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33D5">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61335C8D">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0A7275D3">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w:t>
      </w:r>
      <w:bookmarkStart w:id="1" w:name="_GoBack"/>
      <w:bookmarkEnd w:id="1"/>
      <w:r>
        <w:rPr>
          <w:rFonts w:hint="eastAsia" w:ascii="宋体" w:hAnsi="宋体" w:eastAsia="宋体" w:cs="宋体"/>
          <w:b/>
          <w:color w:val="000000" w:themeColor="text1"/>
          <w:sz w:val="84"/>
          <w:szCs w:val="84"/>
          <w14:textFill>
            <w14:solidFill>
              <w14:schemeClr w14:val="tx1"/>
            </w14:solidFill>
          </w14:textFill>
        </w:rPr>
        <w:t>件</w:t>
      </w:r>
    </w:p>
    <w:p w14:paraId="641EE901">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10DDC4E6">
      <w:pPr>
        <w:spacing w:line="360" w:lineRule="auto"/>
        <w:rPr>
          <w:rFonts w:ascii="宋体" w:hAnsi="宋体" w:eastAsia="宋体" w:cs="宋体"/>
          <w:color w:val="000000" w:themeColor="text1"/>
          <w:sz w:val="30"/>
          <w:szCs w:val="30"/>
          <w14:textFill>
            <w14:solidFill>
              <w14:schemeClr w14:val="tx1"/>
            </w14:solidFill>
          </w14:textFill>
        </w:rPr>
      </w:pPr>
    </w:p>
    <w:p w14:paraId="26D776DC">
      <w:pPr>
        <w:spacing w:line="360" w:lineRule="auto"/>
        <w:rPr>
          <w:rFonts w:ascii="宋体" w:hAnsi="宋体" w:eastAsia="宋体" w:cs="宋体"/>
          <w:color w:val="000000" w:themeColor="text1"/>
          <w:sz w:val="30"/>
          <w:szCs w:val="30"/>
          <w14:textFill>
            <w14:solidFill>
              <w14:schemeClr w14:val="tx1"/>
            </w14:solidFill>
          </w14:textFill>
        </w:rPr>
      </w:pPr>
    </w:p>
    <w:p w14:paraId="32F79E74">
      <w:pPr>
        <w:spacing w:line="360" w:lineRule="auto"/>
        <w:rPr>
          <w:rFonts w:ascii="宋体" w:hAnsi="宋体" w:eastAsia="宋体" w:cs="宋体"/>
          <w:color w:val="000000" w:themeColor="text1"/>
          <w:sz w:val="30"/>
          <w:szCs w:val="30"/>
          <w14:textFill>
            <w14:solidFill>
              <w14:schemeClr w14:val="tx1"/>
            </w14:solidFill>
          </w14:textFill>
        </w:rPr>
      </w:pPr>
    </w:p>
    <w:p w14:paraId="60869B62">
      <w:pPr>
        <w:spacing w:line="360" w:lineRule="auto"/>
        <w:rPr>
          <w:rFonts w:ascii="宋体" w:hAnsi="宋体" w:eastAsia="宋体" w:cs="宋体"/>
          <w:color w:val="000000" w:themeColor="text1"/>
          <w:sz w:val="30"/>
          <w:szCs w:val="30"/>
          <w14:textFill>
            <w14:solidFill>
              <w14:schemeClr w14:val="tx1"/>
            </w14:solidFill>
          </w14:textFill>
        </w:rPr>
      </w:pPr>
    </w:p>
    <w:p w14:paraId="2703F73D">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5E30A391">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广东省肇庆监狱2025年网络安全保障服务项目（第二次）</w:t>
      </w:r>
    </w:p>
    <w:p w14:paraId="0AFFEBAA">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17008126">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09673E9D">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58D9BC2A">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广东省肇庆监狱</w:t>
      </w:r>
    </w:p>
    <w:p w14:paraId="34147AC3">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10B66D13">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年七月</w:t>
      </w:r>
    </w:p>
    <w:p w14:paraId="41832A66">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5FFE633E">
      <w:pPr>
        <w:pStyle w:val="45"/>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3D3239B5">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ADCBC14">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1128379D">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EEA4E89">
      <w:pPr>
        <w:pStyle w:val="59"/>
        <w:numPr>
          <w:ilvl w:val="0"/>
          <w:numId w:val="5"/>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0DD3C912">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10D56F37">
      <w:pPr>
        <w:pStyle w:val="59"/>
        <w:numPr>
          <w:ilvl w:val="0"/>
          <w:numId w:val="6"/>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671842E1">
      <w:pPr>
        <w:pStyle w:val="59"/>
        <w:numPr>
          <w:ilvl w:val="0"/>
          <w:numId w:val="7"/>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28CAB0E5">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02F0FE0A">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724E65A0">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449D9A79">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6D3BDB5C">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2C5B5C99">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47FC1CF1">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2DEF2EB5">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4BDF9179">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5ADC9FE1">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5CEE5B2B">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3F2C780F">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28069F75">
      <w:pPr>
        <w:pStyle w:val="59"/>
        <w:numPr>
          <w:ilvl w:val="0"/>
          <w:numId w:val="6"/>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21201456">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66B8EFFF">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FDBF1C9">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13D7984B">
      <w:pPr>
        <w:pStyle w:val="59"/>
        <w:numPr>
          <w:ilvl w:val="0"/>
          <w:numId w:val="6"/>
        </w:numPr>
        <w:spacing w:line="360" w:lineRule="auto"/>
        <w:ind w:left="420" w:hanging="420" w:firstLineChars="0"/>
        <w:rPr>
          <w:rStyle w:val="52"/>
          <w:rFonts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50FA3AC7">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AADD3B7">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99FCAC6">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32331015">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供应商须提供1人担任项目经理，要求具有信息系统项目管理师证书，同时具备等保三级及以上项目经验。供应商需提供：①有效的信息系统项目管理师证书；</w:t>
      </w:r>
      <w:r>
        <w:rPr>
          <w:rFonts w:hint="eastAsia"/>
        </w:rPr>
        <w:t>等保三级及以上项目</w:t>
      </w:r>
      <w:r>
        <w:rPr>
          <w:rFonts w:hint="eastAsia" w:ascii="宋体" w:hAnsi="宋体" w:eastAsia="宋体" w:cs="宋体"/>
          <w:color w:val="000000" w:themeColor="text1"/>
          <w:kern w:val="0"/>
          <w:szCs w:val="20"/>
          <w14:textFill>
            <w14:solidFill>
              <w14:schemeClr w14:val="tx1"/>
            </w14:solidFill>
          </w14:textFill>
        </w:rPr>
        <w:t>合同关键页（含该人员的名称、签订合同双方的单位名称、合同项目名称、合同概况、签订合同双方的落款盖章、签订日期的关键页）。</w:t>
      </w:r>
    </w:p>
    <w:p w14:paraId="6BFCBCA9">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至少1人专职工程师，要求具有信息安全工程师证书（或为CISP注册信息安全专业人员，或为CISAW信息安全保障人员），同时具备等保三级及以上项目经验。供应商须提供：①有效的信息安全工程师证书，或CISP注册信息安全专业人员有效的证明材料，或CISAW信息安全保障人员有效的证明材料；</w:t>
      </w:r>
      <w:r>
        <w:rPr>
          <w:rFonts w:hint="eastAsia"/>
        </w:rPr>
        <w:t>等保三级及以上项目</w:t>
      </w:r>
      <w:r>
        <w:rPr>
          <w:rFonts w:hint="eastAsia" w:ascii="宋体" w:hAnsi="宋体" w:eastAsia="宋体" w:cs="宋体"/>
          <w:color w:val="000000" w:themeColor="text1"/>
          <w:kern w:val="0"/>
          <w:szCs w:val="20"/>
          <w14:textFill>
            <w14:solidFill>
              <w14:schemeClr w14:val="tx1"/>
            </w14:solidFill>
          </w14:textFill>
        </w:rPr>
        <w:t>合同关键页（含该人员的名称、签订合同双方的单位名称、合同项目名称、合同概况、签订合同双方的落款盖章、签订日期的关键页）</w:t>
      </w:r>
      <w:r>
        <w:rPr>
          <w:rFonts w:hint="eastAsia" w:ascii="宋体" w:hAnsi="宋体" w:eastAsia="宋体" w:cs="宋体"/>
          <w:lang w:bidi="ar"/>
        </w:rPr>
        <w:t>。</w:t>
      </w:r>
    </w:p>
    <w:p w14:paraId="59DE80BA">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供应商须提供不少于2人现场测评人员，且现场人员具有“信息安全等级测评师”</w:t>
      </w:r>
      <w:r>
        <w:rPr>
          <w:rFonts w:hint="eastAsia" w:ascii="宋体" w:hAnsi="宋体" w:eastAsia="宋体" w:cs="宋体"/>
          <w:szCs w:val="21"/>
        </w:rPr>
        <w:t>或“网络安全等级测评师证书”</w:t>
      </w:r>
      <w:r>
        <w:rPr>
          <w:rFonts w:hint="eastAsia" w:ascii="宋体" w:hAnsi="宋体" w:eastAsia="宋体" w:cs="宋体"/>
          <w:color w:val="000000" w:themeColor="text1"/>
          <w:kern w:val="0"/>
          <w:szCs w:val="20"/>
          <w14:textFill>
            <w14:solidFill>
              <w14:schemeClr w14:val="tx1"/>
            </w14:solidFill>
          </w14:textFill>
        </w:rPr>
        <w:t>中级及以上认证证书，供应商须提供有效的</w:t>
      </w:r>
      <w:r>
        <w:rPr>
          <w:rFonts w:hint="eastAsia" w:ascii="宋体" w:hAnsi="宋体" w:eastAsia="宋体" w:cs="宋体"/>
          <w:lang w:bidi="ar"/>
        </w:rPr>
        <w:t>公安部信息安全等级保护评估中心颁布的信息安全等级测评师证书（DJCP），或中关村信息安全测评联盟颁布的网络安全等级测评师证书。</w:t>
      </w:r>
    </w:p>
    <w:p w14:paraId="47FD379C">
      <w:pPr>
        <w:pStyle w:val="59"/>
        <w:numPr>
          <w:ilvl w:val="0"/>
          <w:numId w:val="6"/>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584B45EB">
      <w:pPr>
        <w:pStyle w:val="59"/>
        <w:numPr>
          <w:ilvl w:val="0"/>
          <w:numId w:val="10"/>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5AC637F0">
      <w:pPr>
        <w:pStyle w:val="59"/>
        <w:numPr>
          <w:ilvl w:val="0"/>
          <w:numId w:val="10"/>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15CDDCA">
      <w:pPr>
        <w:pStyle w:val="59"/>
        <w:numPr>
          <w:ilvl w:val="0"/>
          <w:numId w:val="6"/>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62B53B90">
      <w:pPr>
        <w:pStyle w:val="59"/>
        <w:numPr>
          <w:ilvl w:val="0"/>
          <w:numId w:val="11"/>
        </w:numPr>
        <w:spacing w:line="360" w:lineRule="auto"/>
        <w:ind w:left="732" w:hanging="312" w:firstLineChars="0"/>
        <w:rPr>
          <w:rFonts w:ascii="宋体" w:hAnsi="宋体"/>
          <w:color w:val="000000"/>
          <w:kern w:val="0"/>
          <w:szCs w:val="21"/>
        </w:rPr>
      </w:pPr>
      <w:r>
        <w:rPr>
          <w:rFonts w:hint="eastAsia" w:ascii="宋体" w:hAnsi="宋体"/>
          <w:color w:val="000000"/>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DBAF175">
      <w:pPr>
        <w:pStyle w:val="59"/>
        <w:numPr>
          <w:ilvl w:val="0"/>
          <w:numId w:val="6"/>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67CDFB41">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42CE013">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289D3596">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21D788F">
      <w:pPr>
        <w:pStyle w:val="44"/>
        <w:numPr>
          <w:ilvl w:val="0"/>
          <w:numId w:val="12"/>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FA6E137">
      <w:pPr>
        <w:pStyle w:val="44"/>
        <w:numPr>
          <w:ilvl w:val="0"/>
          <w:numId w:val="12"/>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301AB799">
      <w:pPr>
        <w:pStyle w:val="44"/>
        <w:numPr>
          <w:ilvl w:val="0"/>
          <w:numId w:val="12"/>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0C024067">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4D6D5E66">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77CB449F">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4C14723C">
      <w:pPr>
        <w:pStyle w:val="59"/>
        <w:widowControl/>
        <w:numPr>
          <w:ilvl w:val="0"/>
          <w:numId w:val="13"/>
        </w:numPr>
        <w:spacing w:line="360" w:lineRule="auto"/>
        <w:ind w:left="1418" w:hanging="56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476F45FB">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12DC9464">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33356A84">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2344078C">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03E2452E">
      <w:pPr>
        <w:pStyle w:val="59"/>
        <w:numPr>
          <w:ilvl w:val="0"/>
          <w:numId w:val="6"/>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1A84957C">
      <w:pPr>
        <w:pStyle w:val="59"/>
        <w:numPr>
          <w:ilvl w:val="0"/>
          <w:numId w:val="14"/>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6B676A1F">
      <w:pPr>
        <w:pStyle w:val="59"/>
        <w:numPr>
          <w:ilvl w:val="0"/>
          <w:numId w:val="15"/>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795F0A50">
      <w:pPr>
        <w:pStyle w:val="59"/>
        <w:numPr>
          <w:ilvl w:val="0"/>
          <w:numId w:val="15"/>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4E1BA45C">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157D3CA9">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008CCDB4">
      <w:pPr>
        <w:pStyle w:val="59"/>
        <w:numPr>
          <w:ilvl w:val="0"/>
          <w:numId w:val="6"/>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34BC2F9C">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327B3683">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3BE6FF77">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27E35F72">
      <w:pPr>
        <w:pStyle w:val="59"/>
        <w:numPr>
          <w:ilvl w:val="0"/>
          <w:numId w:val="5"/>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58D16716">
      <w:pPr>
        <w:pStyle w:val="59"/>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广东省肇庆监狱纪检监督部门电话  </w:t>
      </w:r>
      <w:r>
        <w:rPr>
          <w:rFonts w:ascii="宋体" w:hAnsi="宋体" w:eastAsia="宋体"/>
        </w:rPr>
        <w:t>0758—3173809。</w:t>
      </w:r>
    </w:p>
    <w:p w14:paraId="746CAC8D">
      <w:pPr>
        <w:pStyle w:val="59"/>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08249D34">
      <w:pPr>
        <w:pStyle w:val="59"/>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FAF90A7">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D4D62CA">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6CD38645">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09D2E953">
      <w:pPr>
        <w:numPr>
          <w:ilvl w:val="0"/>
          <w:numId w:val="16"/>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7B4DCA20">
      <w:pPr>
        <w:pStyle w:val="26"/>
        <w:numPr>
          <w:ilvl w:val="0"/>
          <w:numId w:val="17"/>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247"/>
        <w:gridCol w:w="3505"/>
        <w:gridCol w:w="2069"/>
      </w:tblGrid>
      <w:tr w14:paraId="7EFF3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137" w:type="dxa"/>
            <w:tcBorders>
              <w:top w:val="single" w:color="auto" w:sz="12" w:space="0"/>
              <w:bottom w:val="single" w:color="auto" w:sz="2" w:space="0"/>
            </w:tcBorders>
            <w:shd w:val="clear" w:color="auto" w:fill="EEECE1"/>
            <w:vAlign w:val="center"/>
          </w:tcPr>
          <w:p w14:paraId="72501792">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项目内容</w:t>
            </w:r>
          </w:p>
        </w:tc>
        <w:tc>
          <w:tcPr>
            <w:tcW w:w="1247" w:type="dxa"/>
            <w:tcBorders>
              <w:top w:val="single" w:color="auto" w:sz="12" w:space="0"/>
              <w:bottom w:val="single" w:color="auto" w:sz="2" w:space="0"/>
            </w:tcBorders>
            <w:shd w:val="clear" w:color="auto" w:fill="EEECE1"/>
            <w:vAlign w:val="center"/>
          </w:tcPr>
          <w:p w14:paraId="05A53640">
            <w:pPr>
              <w:spacing w:line="360" w:lineRule="auto"/>
              <w:jc w:val="center"/>
              <w:rPr>
                <w:rFonts w:ascii="宋体" w:hAnsi="宋体" w:eastAsia="宋体" w:cs="宋体"/>
                <w:b/>
                <w:szCs w:val="21"/>
              </w:rPr>
            </w:pPr>
            <w:r>
              <w:rPr>
                <w:rFonts w:hint="eastAsia" w:ascii="宋体" w:hAnsi="宋体" w:eastAsia="宋体" w:cs="宋体"/>
                <w:b/>
                <w:szCs w:val="21"/>
              </w:rPr>
              <w:t>数量</w:t>
            </w:r>
          </w:p>
        </w:tc>
        <w:tc>
          <w:tcPr>
            <w:tcW w:w="3505" w:type="dxa"/>
            <w:tcBorders>
              <w:top w:val="single" w:color="auto" w:sz="12" w:space="0"/>
              <w:bottom w:val="single" w:color="auto" w:sz="2" w:space="0"/>
            </w:tcBorders>
            <w:shd w:val="clear" w:color="auto" w:fill="EEECE1"/>
            <w:vAlign w:val="center"/>
          </w:tcPr>
          <w:p w14:paraId="2E1EF29E">
            <w:pPr>
              <w:adjustRightInd w:val="0"/>
              <w:jc w:val="center"/>
              <w:rPr>
                <w:rFonts w:ascii="宋体" w:hAnsi="宋体" w:eastAsia="宋体" w:cs="宋体"/>
                <w:b/>
                <w:color w:val="FF0000"/>
                <w:szCs w:val="21"/>
              </w:rPr>
            </w:pPr>
            <w:r>
              <w:rPr>
                <w:rFonts w:hint="eastAsia" w:ascii="宋体" w:hAnsi="宋体" w:eastAsia="宋体" w:cs="宋体"/>
                <w:b/>
                <w:szCs w:val="21"/>
              </w:rPr>
              <w:t>项目服务期限</w:t>
            </w:r>
          </w:p>
        </w:tc>
        <w:tc>
          <w:tcPr>
            <w:tcW w:w="2069" w:type="dxa"/>
            <w:tcBorders>
              <w:top w:val="single" w:color="auto" w:sz="12" w:space="0"/>
              <w:bottom w:val="single" w:color="auto" w:sz="2" w:space="0"/>
            </w:tcBorders>
            <w:shd w:val="clear" w:color="auto" w:fill="EEECE1"/>
            <w:vAlign w:val="center"/>
          </w:tcPr>
          <w:p w14:paraId="744E682B">
            <w:pPr>
              <w:jc w:val="center"/>
              <w:rPr>
                <w:rFonts w:ascii="宋体" w:hAnsi="宋体" w:eastAsia="宋体" w:cs="宋体"/>
                <w:b/>
                <w:szCs w:val="21"/>
              </w:rPr>
            </w:pPr>
            <w:r>
              <w:rPr>
                <w:rFonts w:hint="eastAsia" w:ascii="宋体" w:hAnsi="宋体" w:eastAsia="宋体" w:cs="宋体"/>
                <w:b/>
                <w:szCs w:val="21"/>
              </w:rPr>
              <w:t>最高限价</w:t>
            </w:r>
          </w:p>
        </w:tc>
      </w:tr>
      <w:tr w14:paraId="51728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137" w:type="dxa"/>
            <w:tcBorders>
              <w:top w:val="single" w:color="auto" w:sz="2" w:space="0"/>
              <w:bottom w:val="single" w:color="auto" w:sz="2" w:space="0"/>
            </w:tcBorders>
            <w:vAlign w:val="center"/>
          </w:tcPr>
          <w:p w14:paraId="1F407213">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广东省肇庆监狱2025年网络安全保障服务项目（第二次）</w:t>
            </w:r>
          </w:p>
        </w:tc>
        <w:tc>
          <w:tcPr>
            <w:tcW w:w="1247" w:type="dxa"/>
            <w:tcBorders>
              <w:top w:val="single" w:color="auto" w:sz="2" w:space="0"/>
              <w:bottom w:val="single" w:color="auto" w:sz="2" w:space="0"/>
            </w:tcBorders>
            <w:vAlign w:val="center"/>
          </w:tcPr>
          <w:p w14:paraId="06651135">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3505" w:type="dxa"/>
            <w:tcBorders>
              <w:top w:val="single" w:color="auto" w:sz="2" w:space="0"/>
              <w:bottom w:val="single" w:color="auto" w:sz="2" w:space="0"/>
            </w:tcBorders>
            <w:vAlign w:val="center"/>
          </w:tcPr>
          <w:p w14:paraId="6E51CA9C">
            <w:pPr>
              <w:numPr>
                <w:ilvl w:val="0"/>
                <w:numId w:val="18"/>
              </w:numPr>
              <w:adjustRightInd w:val="0"/>
              <w:ind w:firstLine="0"/>
              <w:jc w:val="left"/>
              <w:rPr>
                <w:rFonts w:ascii="宋体" w:hAnsi="宋体" w:eastAsia="宋体" w:cs="宋体"/>
                <w:szCs w:val="21"/>
              </w:rPr>
            </w:pPr>
            <w:r>
              <w:rPr>
                <w:rFonts w:hint="eastAsia" w:ascii="宋体" w:hAnsi="宋体" w:eastAsia="宋体" w:cs="宋体"/>
                <w:szCs w:val="21"/>
              </w:rPr>
              <w:t>等保测评服务以合同签订之日起</w:t>
            </w:r>
            <w:r>
              <w:rPr>
                <w:rFonts w:hint="eastAsia" w:ascii="宋体" w:hAnsi="宋体" w:eastAsia="宋体" w:cs="宋体"/>
                <w:szCs w:val="21"/>
                <w:u w:val="single"/>
              </w:rPr>
              <w:t>60</w:t>
            </w:r>
            <w:r>
              <w:rPr>
                <w:rFonts w:hint="eastAsia" w:ascii="宋体" w:hAnsi="宋体" w:eastAsia="宋体" w:cs="宋体"/>
                <w:szCs w:val="21"/>
              </w:rPr>
              <w:t>天内完成测评服务，以提交报告给公安并收到回执为准。</w:t>
            </w:r>
          </w:p>
          <w:p w14:paraId="52D6B0E4">
            <w:pPr>
              <w:numPr>
                <w:ilvl w:val="0"/>
                <w:numId w:val="18"/>
              </w:numPr>
              <w:adjustRightInd w:val="0"/>
              <w:ind w:firstLine="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网络安全加固，网络安全应急响应等服务以2025年8月12日起，服务期限为</w:t>
            </w:r>
            <w:r>
              <w:rPr>
                <w:rFonts w:hint="eastAsia" w:ascii="宋体" w:hAnsi="宋体" w:eastAsia="宋体" w:cs="宋体"/>
                <w:szCs w:val="21"/>
                <w:u w:val="single"/>
              </w:rPr>
              <w:t>一年</w:t>
            </w:r>
            <w:r>
              <w:rPr>
                <w:rFonts w:hint="eastAsia" w:ascii="宋体" w:hAnsi="宋体" w:eastAsia="宋体" w:cs="宋体"/>
                <w:szCs w:val="21"/>
              </w:rPr>
              <w:t>。</w:t>
            </w:r>
          </w:p>
        </w:tc>
        <w:tc>
          <w:tcPr>
            <w:tcW w:w="2069" w:type="dxa"/>
            <w:tcBorders>
              <w:top w:val="single" w:color="auto" w:sz="2" w:space="0"/>
              <w:bottom w:val="single" w:color="auto" w:sz="2" w:space="0"/>
            </w:tcBorders>
            <w:vAlign w:val="center"/>
          </w:tcPr>
          <w:p w14:paraId="114CFC2A">
            <w:pPr>
              <w:spacing w:line="360" w:lineRule="auto"/>
              <w:jc w:val="center"/>
              <w:rPr>
                <w:rFonts w:ascii="宋体" w:hAnsi="宋体" w:eastAsia="宋体" w:cs="宋体"/>
                <w:szCs w:val="21"/>
              </w:rPr>
            </w:pPr>
            <w:r>
              <w:rPr>
                <w:rFonts w:ascii="宋体" w:hAnsi="宋体" w:eastAsia="宋体" w:cs="宋体"/>
                <w:color w:val="000000" w:themeColor="text1"/>
                <w:szCs w:val="21"/>
                <w14:textFill>
                  <w14:solidFill>
                    <w14:schemeClr w14:val="tx1"/>
                  </w14:solidFill>
                </w14:textFill>
              </w:rPr>
              <w:t>人民币</w:t>
            </w:r>
            <w:r>
              <w:rPr>
                <w:rFonts w:hint="eastAsia" w:ascii="宋体" w:hAnsi="宋体" w:eastAsia="宋体" w:cs="仿宋_GB2312"/>
                <w:kern w:val="0"/>
                <w:szCs w:val="21"/>
              </w:rPr>
              <w:t>180000</w:t>
            </w:r>
            <w:r>
              <w:rPr>
                <w:rFonts w:ascii="宋体" w:hAnsi="宋体" w:eastAsia="宋体" w:cs="宋体"/>
                <w:color w:val="000000" w:themeColor="text1"/>
                <w:szCs w:val="21"/>
                <w14:textFill>
                  <w14:solidFill>
                    <w14:schemeClr w14:val="tx1"/>
                  </w14:solidFill>
                </w14:textFill>
              </w:rPr>
              <w:t>元</w:t>
            </w:r>
          </w:p>
        </w:tc>
      </w:tr>
    </w:tbl>
    <w:p w14:paraId="31F94334">
      <w:pPr>
        <w:pStyle w:val="26"/>
        <w:numPr>
          <w:ilvl w:val="0"/>
          <w:numId w:val="17"/>
        </w:numPr>
        <w:tabs>
          <w:tab w:val="left" w:pos="540"/>
        </w:tabs>
        <w:adjustRightInd w:val="0"/>
        <w:snapToGrid w:val="0"/>
        <w:spacing w:line="360" w:lineRule="auto"/>
        <w:rPr>
          <w:rFonts w:hAnsi="宋体" w:cs="宋体"/>
          <w:b/>
          <w:sz w:val="21"/>
        </w:rPr>
      </w:pPr>
      <w:r>
        <w:rPr>
          <w:rFonts w:hint="eastAsia" w:hAnsi="宋体" w:cs="宋体"/>
          <w:b/>
          <w:sz w:val="21"/>
        </w:rPr>
        <w:t>项目名称</w:t>
      </w:r>
    </w:p>
    <w:p w14:paraId="4293EF37">
      <w:pPr>
        <w:snapToGrid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广东省肇庆监狱2025年网络安全保障服务项目（第二次）</w:t>
      </w:r>
    </w:p>
    <w:p w14:paraId="404CFC34">
      <w:pPr>
        <w:pStyle w:val="26"/>
        <w:numPr>
          <w:ilvl w:val="0"/>
          <w:numId w:val="17"/>
        </w:numPr>
        <w:tabs>
          <w:tab w:val="left" w:pos="540"/>
        </w:tabs>
        <w:adjustRightInd w:val="0"/>
        <w:snapToGrid w:val="0"/>
        <w:spacing w:line="360" w:lineRule="auto"/>
        <w:rPr>
          <w:rFonts w:hAnsi="宋体" w:cs="宋体"/>
          <w:sz w:val="21"/>
        </w:rPr>
      </w:pPr>
      <w:r>
        <w:rPr>
          <w:rFonts w:hint="eastAsia" w:hAnsi="宋体" w:cs="宋体"/>
          <w:b/>
          <w:bCs/>
          <w:sz w:val="21"/>
        </w:rPr>
        <w:t>项目金额</w:t>
      </w:r>
    </w:p>
    <w:p w14:paraId="64742DF5">
      <w:pPr>
        <w:spacing w:line="360" w:lineRule="auto"/>
        <w:ind w:firstLine="420" w:firstLineChars="200"/>
        <w:rPr>
          <w:rFonts w:ascii="宋体" w:hAnsi="宋体" w:eastAsia="宋体" w:cs="宋体"/>
          <w:i/>
          <w:color w:val="7F7F7F"/>
          <w:szCs w:val="21"/>
        </w:rPr>
      </w:pPr>
      <w:r>
        <w:rPr>
          <w:rFonts w:hint="eastAsia" w:ascii="宋体" w:hAnsi="宋体" w:eastAsia="宋体" w:cs="宋体"/>
          <w:szCs w:val="21"/>
        </w:rPr>
        <w:t>本项目最高限价为</w:t>
      </w:r>
      <w:r>
        <w:rPr>
          <w:rFonts w:hint="eastAsia" w:ascii="宋体" w:hAnsi="宋体" w:eastAsia="宋体" w:cs="宋体"/>
          <w:szCs w:val="21"/>
          <w:u w:val="single"/>
        </w:rPr>
        <w:t>180000</w:t>
      </w:r>
      <w:r>
        <w:rPr>
          <w:rFonts w:hint="eastAsia" w:ascii="宋体" w:hAnsi="宋体" w:eastAsia="宋体" w:cs="宋体"/>
          <w:szCs w:val="21"/>
        </w:rPr>
        <w:t>元</w:t>
      </w:r>
      <w:r>
        <w:rPr>
          <w:rFonts w:hint="eastAsia" w:ascii="宋体" w:hAnsi="宋体" w:eastAsia="宋体" w:cs="宋体"/>
          <w:i/>
          <w:color w:val="7F7F7F"/>
          <w:szCs w:val="21"/>
        </w:rPr>
        <w:t>。</w:t>
      </w:r>
    </w:p>
    <w:p w14:paraId="5813EC64">
      <w:pPr>
        <w:pStyle w:val="2"/>
        <w:spacing w:line="360" w:lineRule="auto"/>
        <w:rPr>
          <w:rFonts w:ascii="宋体" w:hAnsi="宋体" w:cs="宋体"/>
          <w:szCs w:val="21"/>
        </w:rPr>
      </w:pPr>
      <w:r>
        <w:rPr>
          <w:rFonts w:hint="eastAsia" w:ascii="宋体" w:hAnsi="宋体" w:cs="宋体"/>
          <w:szCs w:val="21"/>
        </w:rPr>
        <w:t>项目合同总价包括了服务期间所有服务费用、设备费用、正常的税金、雇员费用、税费、不可预见费等完成本项目内容所需的一切费用及项目实施过程中应预见和不可预见费用等。成交人不得再向采购人收取任何费用。</w:t>
      </w:r>
    </w:p>
    <w:p w14:paraId="0F6090BF">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项目服务期限</w:t>
      </w:r>
    </w:p>
    <w:p w14:paraId="069DAFC1">
      <w:pPr>
        <w:numPr>
          <w:ilvl w:val="0"/>
          <w:numId w:val="19"/>
        </w:numPr>
        <w:spacing w:line="360" w:lineRule="auto"/>
        <w:jc w:val="left"/>
        <w:rPr>
          <w:rFonts w:ascii="宋体" w:hAnsi="宋体" w:eastAsia="宋体" w:cs="宋体"/>
          <w:szCs w:val="21"/>
        </w:rPr>
      </w:pPr>
      <w:r>
        <w:rPr>
          <w:rFonts w:hint="eastAsia" w:ascii="宋体" w:hAnsi="宋体" w:eastAsia="宋体" w:cs="宋体"/>
          <w:szCs w:val="21"/>
        </w:rPr>
        <w:t>等保测评服务以合同签订之日起</w:t>
      </w:r>
      <w:r>
        <w:rPr>
          <w:rFonts w:hint="eastAsia" w:ascii="宋体" w:hAnsi="宋体" w:eastAsia="宋体" w:cs="宋体"/>
          <w:szCs w:val="21"/>
          <w:u w:val="single"/>
        </w:rPr>
        <w:t>60</w:t>
      </w:r>
      <w:r>
        <w:rPr>
          <w:rFonts w:hint="eastAsia" w:ascii="宋体" w:hAnsi="宋体" w:eastAsia="宋体" w:cs="宋体"/>
          <w:szCs w:val="21"/>
        </w:rPr>
        <w:t>天内完成测评服务，以提交报告给公安并收到回执为准。</w:t>
      </w:r>
    </w:p>
    <w:p w14:paraId="6A6C33B6">
      <w:pPr>
        <w:numPr>
          <w:ilvl w:val="0"/>
          <w:numId w:val="19"/>
        </w:numPr>
        <w:spacing w:line="360" w:lineRule="auto"/>
        <w:jc w:val="left"/>
        <w:rPr>
          <w:rFonts w:ascii="宋体" w:hAnsi="宋体" w:eastAsia="宋体" w:cs="宋体"/>
          <w:szCs w:val="21"/>
        </w:rPr>
      </w:pPr>
      <w:r>
        <w:rPr>
          <w:rFonts w:hint="eastAsia" w:ascii="宋体" w:hAnsi="宋体" w:eastAsia="宋体" w:cs="宋体"/>
          <w:szCs w:val="21"/>
        </w:rPr>
        <w:t>网络安全加固，网络安全应急响应等服务以2025年8月12日起，服务期限为</w:t>
      </w:r>
      <w:r>
        <w:rPr>
          <w:rFonts w:hint="eastAsia" w:ascii="宋体" w:hAnsi="宋体" w:eastAsia="宋体" w:cs="宋体"/>
          <w:szCs w:val="21"/>
          <w:u w:val="single"/>
        </w:rPr>
        <w:t>一年</w:t>
      </w:r>
      <w:r>
        <w:rPr>
          <w:rFonts w:hint="eastAsia" w:ascii="宋体" w:hAnsi="宋体" w:eastAsia="宋体" w:cs="宋体"/>
          <w:szCs w:val="21"/>
        </w:rPr>
        <w:t>。</w:t>
      </w:r>
    </w:p>
    <w:p w14:paraId="5408BA96">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项目内容</w:t>
      </w:r>
    </w:p>
    <w:p w14:paraId="6DEAF4CA">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项目概述</w:t>
      </w:r>
    </w:p>
    <w:p w14:paraId="69BDE397">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广东省肇庆监狱拟对已完成定级、备案的第三级信息系统（包括其所含各相关子系统（模块））开展网络安全等级保护测评、整改，网络安全设备升级，安全加固服务，网络安全培训及网络安全应急演练等相关工作。</w:t>
      </w:r>
    </w:p>
    <w:p w14:paraId="34D0FB96">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项目范围</w:t>
      </w:r>
    </w:p>
    <w:p w14:paraId="50507A44">
      <w:pPr>
        <w:spacing w:line="360" w:lineRule="auto"/>
        <w:ind w:firstLine="420" w:firstLineChars="200"/>
        <w:rPr>
          <w:rFonts w:ascii="宋体" w:hAnsi="宋体" w:eastAsia="宋体" w:cs="宋体"/>
          <w:szCs w:val="21"/>
        </w:rPr>
      </w:pPr>
      <w:r>
        <w:rPr>
          <w:rFonts w:hint="eastAsia" w:ascii="宋体" w:hAnsi="宋体" w:eastAsia="宋体" w:cs="宋体"/>
          <w:szCs w:val="21"/>
        </w:rPr>
        <w:t>本项目服务范围包括：共计1个已完成定级、备案第三级信息系统（包括其所含各相关子系统（模块））；上述信息系统所涉及的网络、主机、安全设备、应用、数据、机房环境、管理制度等；监狱网络安全设备升级；安全加固服务。具体如下：</w:t>
      </w:r>
    </w:p>
    <w:p w14:paraId="3A6F5533">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信息系统及分布情况：1个第三级信息系统（包括其所含各相关子系统（模块））所涉及的基础软硬件环境等均部署于监狱中心机房。成交人需根据实施阶段对待测信息系统所涵盖的范围进行调整，采购人无需支付额外费用。</w:t>
      </w:r>
    </w:p>
    <w:p w14:paraId="5C245ED7">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网络情况：系统部署与政法内网，政法内网部分包括政法网出口、核心区、安全管理区、生产区（其中生产区包含应用区和数据库区）、存储区等网络区域，通过专线与上级单位互联，进行数据交互。</w:t>
      </w:r>
    </w:p>
    <w:p w14:paraId="7A574BB9">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监狱网络安全设备：天融信应用安全网关系统（IDP特征库、WEB过滤库、专业版快速扫描查杀防病毒库、应用识别特征库1年升级服务许可,适用于NU-31116产品(绑SN)），如果旧版本不能升级，需提供部署新版本。天融信Web应用安全防护系统（WAF产品特征库1年升级License,适用于TWF-52116产品(绑SN)），如果旧版本不能升级，需提供部署新版本。天融信安全管理系统V3(日志服务器系统），原许可型号TAEX_S，许可类型396e0c65，升级版本，如果旧版本不能升级，需提供部署新版本，系统永久授权。</w:t>
      </w:r>
    </w:p>
    <w:p w14:paraId="0200EE73">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安全加固服务：对单位终端、操作系统安全加固和优化，对机房网络设备安全加固和优化，包括主机（PC、办公终端）、网络设备和网络设施（交换机、路由器等）打补丁、升级、修补、加固和优化，协助处理应急网络安全事件并提供相关报告，</w:t>
      </w:r>
      <w:r>
        <w:rPr>
          <w:rFonts w:hint="eastAsia" w:ascii="宋体" w:hAnsi="宋体" w:eastAsia="宋体" w:cs="宋体"/>
          <w:color w:val="000000"/>
          <w:kern w:val="0"/>
          <w:szCs w:val="21"/>
        </w:rPr>
        <w:t>对全狱终端</w:t>
      </w:r>
      <w:r>
        <w:rPr>
          <w:rFonts w:hint="eastAsia" w:ascii="宋体" w:hAnsi="宋体" w:eastAsia="宋体" w:cs="宋体"/>
          <w:szCs w:val="21"/>
        </w:rPr>
        <w:t>系统、安全设备、网络进行漏洞扫描、修复，要求每月现场驻场处置不少于3个工作日。网络安全加固和优化过程需记录完整技术方法，形成经验教训登记册文档，移交给建设单位。</w:t>
      </w:r>
    </w:p>
    <w:p w14:paraId="78C8572A">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安全应急响应服务：对建设单位网络安全事件进行现场应急处置；节假日提供网络安全检查及运维协助，如线上处理不了则必须当天到达现场处理；合同服务期内组织一次网络安全应急演练，形成网络安全应急演练记录表，记录完整技术方法，移交给建设单位。</w:t>
      </w:r>
    </w:p>
    <w:p w14:paraId="38C4D89A">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网络安全培训：组织一次本地网络安全知识培训，形成网络安全培训记录表，记录完整技术方法，移交给建设单位；提供不少于2人次CISP(或同等国家认证）线下培训课程服务与考试领证服务。</w:t>
      </w:r>
    </w:p>
    <w:p w14:paraId="72B65D8A">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项目内容清单</w:t>
      </w:r>
    </w:p>
    <w:tbl>
      <w:tblPr>
        <w:tblStyle w:val="50"/>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232"/>
        <w:gridCol w:w="4711"/>
        <w:gridCol w:w="1398"/>
      </w:tblGrid>
      <w:tr w14:paraId="1EA5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592F6FEA">
            <w:pPr>
              <w:jc w:val="center"/>
              <w:rPr>
                <w:rFonts w:ascii="宋体" w:hAnsi="宋体" w:eastAsia="宋体" w:cs="宋体"/>
                <w:b/>
                <w:bCs/>
                <w:szCs w:val="21"/>
              </w:rPr>
            </w:pPr>
            <w:r>
              <w:rPr>
                <w:rFonts w:hint="eastAsia" w:ascii="宋体" w:hAnsi="宋体" w:eastAsia="宋体" w:cs="宋体"/>
                <w:b/>
                <w:bCs/>
                <w:szCs w:val="21"/>
              </w:rPr>
              <w:t>序号</w:t>
            </w:r>
          </w:p>
        </w:tc>
        <w:tc>
          <w:tcPr>
            <w:tcW w:w="3232" w:type="dxa"/>
            <w:vAlign w:val="center"/>
          </w:tcPr>
          <w:p w14:paraId="0BE55CB9">
            <w:pPr>
              <w:jc w:val="center"/>
              <w:rPr>
                <w:rFonts w:ascii="宋体" w:hAnsi="宋体" w:eastAsia="宋体" w:cs="宋体"/>
                <w:b/>
                <w:bCs/>
                <w:szCs w:val="21"/>
              </w:rPr>
            </w:pPr>
            <w:r>
              <w:rPr>
                <w:rFonts w:hint="eastAsia" w:ascii="宋体" w:hAnsi="宋体" w:eastAsia="宋体" w:cs="宋体"/>
                <w:b/>
                <w:bCs/>
                <w:szCs w:val="21"/>
              </w:rPr>
              <w:t>项目内容</w:t>
            </w:r>
          </w:p>
        </w:tc>
        <w:tc>
          <w:tcPr>
            <w:tcW w:w="4711" w:type="dxa"/>
            <w:vAlign w:val="center"/>
          </w:tcPr>
          <w:p w14:paraId="7922CA38">
            <w:pPr>
              <w:jc w:val="center"/>
              <w:rPr>
                <w:rFonts w:ascii="宋体" w:hAnsi="宋体" w:eastAsia="宋体" w:cs="宋体"/>
                <w:b/>
                <w:bCs/>
                <w:szCs w:val="21"/>
              </w:rPr>
            </w:pPr>
            <w:r>
              <w:rPr>
                <w:rFonts w:hint="eastAsia" w:ascii="宋体" w:hAnsi="宋体" w:eastAsia="宋体" w:cs="宋体"/>
                <w:b/>
                <w:bCs/>
                <w:szCs w:val="21"/>
              </w:rPr>
              <w:t>内容详情</w:t>
            </w:r>
          </w:p>
        </w:tc>
        <w:tc>
          <w:tcPr>
            <w:tcW w:w="1398" w:type="dxa"/>
            <w:vAlign w:val="center"/>
          </w:tcPr>
          <w:p w14:paraId="46B4BC35">
            <w:pPr>
              <w:jc w:val="center"/>
              <w:rPr>
                <w:rFonts w:ascii="宋体" w:hAnsi="宋体" w:eastAsia="宋体" w:cs="宋体"/>
                <w:b/>
                <w:bCs/>
                <w:szCs w:val="21"/>
              </w:rPr>
            </w:pPr>
            <w:r>
              <w:rPr>
                <w:rFonts w:hint="eastAsia" w:ascii="宋体" w:hAnsi="宋体" w:eastAsia="宋体" w:cs="宋体"/>
                <w:b/>
                <w:bCs/>
                <w:szCs w:val="21"/>
              </w:rPr>
              <w:t>备注</w:t>
            </w:r>
          </w:p>
        </w:tc>
      </w:tr>
      <w:tr w14:paraId="1ABE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3CDB97C1">
            <w:pPr>
              <w:jc w:val="center"/>
              <w:rPr>
                <w:rFonts w:ascii="宋体" w:hAnsi="宋体" w:eastAsia="宋体" w:cs="宋体"/>
                <w:szCs w:val="21"/>
              </w:rPr>
            </w:pPr>
            <w:r>
              <w:rPr>
                <w:rFonts w:hint="eastAsia" w:ascii="宋体" w:hAnsi="宋体" w:eastAsia="宋体" w:cs="宋体"/>
                <w:szCs w:val="21"/>
              </w:rPr>
              <w:t>1</w:t>
            </w:r>
          </w:p>
        </w:tc>
        <w:tc>
          <w:tcPr>
            <w:tcW w:w="3232" w:type="dxa"/>
            <w:vAlign w:val="center"/>
          </w:tcPr>
          <w:p w14:paraId="4F59AA3E">
            <w:pPr>
              <w:jc w:val="center"/>
              <w:rPr>
                <w:rFonts w:ascii="宋体" w:hAnsi="宋体" w:eastAsia="宋体" w:cs="宋体"/>
                <w:szCs w:val="21"/>
              </w:rPr>
            </w:pPr>
            <w:r>
              <w:rPr>
                <w:rFonts w:hint="eastAsia" w:ascii="宋体" w:hAnsi="宋体" w:eastAsia="宋体" w:cs="宋体"/>
                <w:color w:val="000000"/>
                <w:kern w:val="0"/>
                <w:szCs w:val="21"/>
              </w:rPr>
              <w:t>信息系统等级保护测评服务</w:t>
            </w:r>
          </w:p>
        </w:tc>
        <w:tc>
          <w:tcPr>
            <w:tcW w:w="4711" w:type="dxa"/>
            <w:vAlign w:val="center"/>
          </w:tcPr>
          <w:p w14:paraId="3DE4F247">
            <w:pPr>
              <w:jc w:val="left"/>
              <w:rPr>
                <w:rFonts w:ascii="宋体" w:hAnsi="宋体" w:eastAsia="宋体" w:cs="宋体"/>
                <w:szCs w:val="21"/>
              </w:rPr>
            </w:pPr>
            <w:r>
              <w:rPr>
                <w:rFonts w:hint="eastAsia" w:ascii="宋体" w:hAnsi="宋体" w:eastAsia="宋体" w:cs="宋体"/>
                <w:szCs w:val="21"/>
              </w:rPr>
              <w:t>一个三级系统的等保测评</w:t>
            </w:r>
          </w:p>
        </w:tc>
        <w:tc>
          <w:tcPr>
            <w:tcW w:w="1398" w:type="dxa"/>
            <w:vAlign w:val="center"/>
          </w:tcPr>
          <w:p w14:paraId="132F5AE6">
            <w:pPr>
              <w:jc w:val="center"/>
              <w:rPr>
                <w:rFonts w:ascii="宋体" w:hAnsi="宋体" w:eastAsia="宋体" w:cs="宋体"/>
                <w:szCs w:val="21"/>
              </w:rPr>
            </w:pPr>
            <w:r>
              <w:rPr>
                <w:rFonts w:hint="eastAsia" w:ascii="宋体" w:hAnsi="宋体" w:eastAsia="宋体" w:cs="宋体"/>
                <w:szCs w:val="21"/>
              </w:rPr>
              <w:t>一年服务</w:t>
            </w:r>
          </w:p>
        </w:tc>
      </w:tr>
      <w:tr w14:paraId="75EF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26AB33A9">
            <w:pPr>
              <w:jc w:val="center"/>
              <w:rPr>
                <w:rFonts w:ascii="宋体" w:hAnsi="宋体" w:eastAsia="宋体" w:cs="宋体"/>
                <w:szCs w:val="21"/>
              </w:rPr>
            </w:pPr>
            <w:r>
              <w:rPr>
                <w:rFonts w:hint="eastAsia" w:ascii="宋体" w:hAnsi="宋体" w:eastAsia="宋体" w:cs="宋体"/>
                <w:szCs w:val="21"/>
              </w:rPr>
              <w:t>2</w:t>
            </w:r>
          </w:p>
        </w:tc>
        <w:tc>
          <w:tcPr>
            <w:tcW w:w="3232" w:type="dxa"/>
            <w:vAlign w:val="center"/>
          </w:tcPr>
          <w:p w14:paraId="10E98F4C">
            <w:pPr>
              <w:jc w:val="center"/>
              <w:rPr>
                <w:rFonts w:ascii="宋体" w:hAnsi="宋体" w:eastAsia="宋体" w:cs="宋体"/>
                <w:szCs w:val="21"/>
              </w:rPr>
            </w:pPr>
            <w:r>
              <w:rPr>
                <w:rFonts w:hint="eastAsia" w:ascii="宋体" w:hAnsi="宋体" w:eastAsia="宋体" w:cs="宋体"/>
                <w:color w:val="000000"/>
                <w:kern w:val="0"/>
                <w:szCs w:val="21"/>
              </w:rPr>
              <w:t>信息系统等级保护整改优化</w:t>
            </w:r>
          </w:p>
        </w:tc>
        <w:tc>
          <w:tcPr>
            <w:tcW w:w="4711" w:type="dxa"/>
            <w:vAlign w:val="center"/>
          </w:tcPr>
          <w:p w14:paraId="6B2B1339">
            <w:pPr>
              <w:numPr>
                <w:ilvl w:val="0"/>
                <w:numId w:val="22"/>
              </w:numPr>
              <w:jc w:val="left"/>
              <w:rPr>
                <w:rFonts w:ascii="宋体" w:hAnsi="宋体" w:eastAsia="宋体" w:cs="宋体"/>
                <w:color w:val="000000"/>
                <w:kern w:val="0"/>
                <w:szCs w:val="21"/>
              </w:rPr>
            </w:pPr>
            <w:r>
              <w:rPr>
                <w:rFonts w:hint="eastAsia" w:ascii="宋体" w:hAnsi="宋体" w:eastAsia="宋体" w:cs="宋体"/>
                <w:szCs w:val="21"/>
              </w:rPr>
              <w:t>对测评系统进行</w:t>
            </w:r>
            <w:r>
              <w:rPr>
                <w:rFonts w:hint="eastAsia" w:ascii="宋体" w:hAnsi="宋体" w:eastAsia="宋体" w:cs="宋体"/>
                <w:color w:val="000000"/>
                <w:kern w:val="0"/>
                <w:szCs w:val="21"/>
              </w:rPr>
              <w:t>渗透测试、漏洞扫描并整优化以满足等保要求</w:t>
            </w:r>
          </w:p>
          <w:p w14:paraId="6E8D6FE2">
            <w:pPr>
              <w:numPr>
                <w:ilvl w:val="0"/>
                <w:numId w:val="22"/>
              </w:numPr>
              <w:jc w:val="left"/>
              <w:rPr>
                <w:rFonts w:ascii="宋体" w:hAnsi="宋体" w:eastAsia="宋体" w:cs="宋体"/>
                <w:color w:val="000000"/>
                <w:kern w:val="0"/>
                <w:szCs w:val="21"/>
              </w:rPr>
            </w:pPr>
            <w:r>
              <w:rPr>
                <w:rFonts w:hint="eastAsia" w:ascii="宋体" w:hAnsi="宋体" w:eastAsia="宋体" w:cs="宋体"/>
                <w:color w:val="000000"/>
                <w:kern w:val="0"/>
                <w:szCs w:val="21"/>
              </w:rPr>
              <w:t>对管理制度审核、建设以满足等保要求</w:t>
            </w:r>
          </w:p>
          <w:p w14:paraId="430A2CCF">
            <w:pPr>
              <w:numPr>
                <w:ilvl w:val="0"/>
                <w:numId w:val="22"/>
              </w:numPr>
              <w:jc w:val="left"/>
              <w:rPr>
                <w:rFonts w:ascii="宋体" w:hAnsi="宋体" w:eastAsia="宋体" w:cs="宋体"/>
                <w:color w:val="000000"/>
                <w:kern w:val="0"/>
                <w:szCs w:val="21"/>
              </w:rPr>
            </w:pPr>
            <w:r>
              <w:rPr>
                <w:rFonts w:hint="eastAsia" w:ascii="宋体" w:hAnsi="宋体" w:eastAsia="宋体" w:cs="宋体"/>
                <w:color w:val="000000"/>
                <w:kern w:val="0"/>
                <w:szCs w:val="21"/>
              </w:rPr>
              <w:t>对测评系统差距分析、风险评估并整改优化以满足等保要求</w:t>
            </w:r>
          </w:p>
        </w:tc>
        <w:tc>
          <w:tcPr>
            <w:tcW w:w="1398" w:type="dxa"/>
            <w:vAlign w:val="center"/>
          </w:tcPr>
          <w:p w14:paraId="7865D6D7">
            <w:pPr>
              <w:jc w:val="center"/>
              <w:rPr>
                <w:rFonts w:ascii="宋体" w:hAnsi="宋体" w:eastAsia="宋体" w:cs="宋体"/>
                <w:szCs w:val="21"/>
              </w:rPr>
            </w:pPr>
            <w:r>
              <w:rPr>
                <w:rFonts w:hint="eastAsia" w:ascii="宋体" w:hAnsi="宋体" w:eastAsia="宋体" w:cs="宋体"/>
                <w:szCs w:val="21"/>
              </w:rPr>
              <w:t>一年服务</w:t>
            </w:r>
          </w:p>
        </w:tc>
      </w:tr>
      <w:tr w14:paraId="17F3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0F92C000">
            <w:pPr>
              <w:jc w:val="center"/>
              <w:rPr>
                <w:rFonts w:ascii="宋体" w:hAnsi="宋体" w:eastAsia="宋体" w:cs="宋体"/>
                <w:szCs w:val="21"/>
              </w:rPr>
            </w:pPr>
            <w:r>
              <w:rPr>
                <w:rFonts w:hint="eastAsia" w:ascii="宋体" w:hAnsi="宋体" w:eastAsia="宋体" w:cs="宋体"/>
                <w:szCs w:val="21"/>
              </w:rPr>
              <w:t>3</w:t>
            </w:r>
          </w:p>
        </w:tc>
        <w:tc>
          <w:tcPr>
            <w:tcW w:w="3232" w:type="dxa"/>
            <w:vAlign w:val="center"/>
          </w:tcPr>
          <w:p w14:paraId="0BDC8743">
            <w:pPr>
              <w:jc w:val="center"/>
              <w:rPr>
                <w:rFonts w:ascii="宋体" w:hAnsi="宋体" w:eastAsia="宋体" w:cs="宋体"/>
                <w:color w:val="000000"/>
                <w:kern w:val="0"/>
                <w:szCs w:val="21"/>
              </w:rPr>
            </w:pPr>
            <w:r>
              <w:rPr>
                <w:rFonts w:hint="eastAsia" w:ascii="宋体" w:hAnsi="宋体" w:eastAsia="宋体" w:cs="宋体"/>
                <w:color w:val="000000"/>
                <w:kern w:val="0"/>
                <w:szCs w:val="21"/>
              </w:rPr>
              <w:t>安全加固服务</w:t>
            </w:r>
          </w:p>
        </w:tc>
        <w:tc>
          <w:tcPr>
            <w:tcW w:w="4711" w:type="dxa"/>
            <w:vAlign w:val="center"/>
          </w:tcPr>
          <w:p w14:paraId="263DBEDA">
            <w:pPr>
              <w:jc w:val="left"/>
              <w:rPr>
                <w:rFonts w:ascii="宋体" w:hAnsi="宋体" w:eastAsia="宋体" w:cs="宋体"/>
                <w:color w:val="000000"/>
                <w:kern w:val="0"/>
                <w:szCs w:val="21"/>
              </w:rPr>
            </w:pPr>
            <w:r>
              <w:rPr>
                <w:rFonts w:hint="eastAsia" w:ascii="宋体" w:hAnsi="宋体" w:eastAsia="宋体" w:cs="宋体"/>
                <w:color w:val="000000"/>
                <w:kern w:val="0"/>
                <w:szCs w:val="21"/>
              </w:rPr>
              <w:t>对全狱终端，服务器，业务系统，安全设备、网络进行漏洞扫描、修复（要求每月现场驻场处置时间不少于3个工作日）</w:t>
            </w:r>
          </w:p>
        </w:tc>
        <w:tc>
          <w:tcPr>
            <w:tcW w:w="1398" w:type="dxa"/>
            <w:vAlign w:val="center"/>
          </w:tcPr>
          <w:p w14:paraId="29CF7CCD">
            <w:pPr>
              <w:jc w:val="center"/>
              <w:rPr>
                <w:rFonts w:ascii="宋体" w:hAnsi="宋体" w:eastAsia="宋体" w:cs="宋体"/>
                <w:szCs w:val="21"/>
              </w:rPr>
            </w:pPr>
            <w:r>
              <w:rPr>
                <w:rFonts w:hint="eastAsia" w:ascii="宋体" w:hAnsi="宋体" w:eastAsia="宋体" w:cs="宋体"/>
                <w:szCs w:val="21"/>
              </w:rPr>
              <w:t>一年服务</w:t>
            </w:r>
          </w:p>
        </w:tc>
      </w:tr>
      <w:tr w14:paraId="4CE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73E2C4B6">
            <w:pPr>
              <w:jc w:val="center"/>
              <w:rPr>
                <w:rFonts w:ascii="宋体" w:hAnsi="宋体" w:eastAsia="宋体" w:cs="宋体"/>
                <w:szCs w:val="21"/>
              </w:rPr>
            </w:pPr>
            <w:r>
              <w:rPr>
                <w:rFonts w:hint="eastAsia" w:ascii="宋体" w:hAnsi="宋体" w:eastAsia="宋体" w:cs="宋体"/>
                <w:szCs w:val="21"/>
              </w:rPr>
              <w:t>4</w:t>
            </w:r>
          </w:p>
        </w:tc>
        <w:tc>
          <w:tcPr>
            <w:tcW w:w="3232" w:type="dxa"/>
            <w:vMerge w:val="restart"/>
            <w:vAlign w:val="center"/>
          </w:tcPr>
          <w:p w14:paraId="5DA17440">
            <w:pPr>
              <w:jc w:val="center"/>
              <w:rPr>
                <w:rFonts w:ascii="宋体" w:hAnsi="宋体" w:eastAsia="宋体" w:cs="宋体"/>
                <w:szCs w:val="21"/>
              </w:rPr>
            </w:pPr>
            <w:r>
              <w:rPr>
                <w:rFonts w:hint="eastAsia" w:ascii="宋体" w:hAnsi="宋体" w:eastAsia="宋体" w:cs="宋体"/>
                <w:color w:val="000000"/>
                <w:kern w:val="0"/>
                <w:szCs w:val="21"/>
              </w:rPr>
              <w:t>网络安全设备病毒库，特征库升级服务，审计系统授权数升级服务</w:t>
            </w:r>
          </w:p>
        </w:tc>
        <w:tc>
          <w:tcPr>
            <w:tcW w:w="4711" w:type="dxa"/>
            <w:vAlign w:val="center"/>
          </w:tcPr>
          <w:p w14:paraId="15F59817">
            <w:pPr>
              <w:jc w:val="left"/>
              <w:rPr>
                <w:rFonts w:ascii="宋体" w:hAnsi="宋体" w:eastAsia="宋体" w:cs="宋体"/>
                <w:szCs w:val="21"/>
              </w:rPr>
            </w:pPr>
            <w:r>
              <w:rPr>
                <w:rFonts w:hint="eastAsia" w:ascii="宋体" w:hAnsi="宋体" w:eastAsia="宋体" w:cs="宋体"/>
                <w:color w:val="000000"/>
                <w:kern w:val="0"/>
                <w:szCs w:val="21"/>
              </w:rPr>
              <w:t>天融信应用安全网关系统（IDP特征库、WEB过滤库、专业版快速扫描查杀防病毒库、应用识别特征库升级服务许可,适用于NU-31116产品(绑SN)）</w:t>
            </w:r>
          </w:p>
        </w:tc>
        <w:tc>
          <w:tcPr>
            <w:tcW w:w="1398" w:type="dxa"/>
            <w:vAlign w:val="center"/>
          </w:tcPr>
          <w:p w14:paraId="09D85FDC">
            <w:pPr>
              <w:jc w:val="center"/>
              <w:rPr>
                <w:rFonts w:ascii="宋体" w:hAnsi="宋体" w:eastAsia="宋体" w:cs="宋体"/>
                <w:szCs w:val="21"/>
              </w:rPr>
            </w:pPr>
            <w:r>
              <w:rPr>
                <w:rFonts w:hint="eastAsia" w:ascii="宋体" w:hAnsi="宋体" w:eastAsia="宋体" w:cs="宋体"/>
                <w:szCs w:val="21"/>
              </w:rPr>
              <w:t>一年服务</w:t>
            </w:r>
          </w:p>
        </w:tc>
      </w:tr>
      <w:tr w14:paraId="650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1A54A52A">
            <w:pPr>
              <w:jc w:val="center"/>
              <w:rPr>
                <w:rFonts w:ascii="宋体" w:hAnsi="宋体" w:eastAsia="宋体" w:cs="宋体"/>
                <w:szCs w:val="21"/>
              </w:rPr>
            </w:pPr>
            <w:r>
              <w:rPr>
                <w:rFonts w:hint="eastAsia" w:ascii="宋体" w:hAnsi="宋体" w:eastAsia="宋体" w:cs="宋体"/>
                <w:szCs w:val="21"/>
              </w:rPr>
              <w:t>5</w:t>
            </w:r>
          </w:p>
        </w:tc>
        <w:tc>
          <w:tcPr>
            <w:tcW w:w="3232" w:type="dxa"/>
            <w:vMerge w:val="continue"/>
            <w:vAlign w:val="center"/>
          </w:tcPr>
          <w:p w14:paraId="3C50EE3C">
            <w:pPr>
              <w:jc w:val="center"/>
              <w:rPr>
                <w:rFonts w:ascii="宋体" w:hAnsi="宋体" w:eastAsia="宋体" w:cs="宋体"/>
                <w:szCs w:val="21"/>
              </w:rPr>
            </w:pPr>
          </w:p>
        </w:tc>
        <w:tc>
          <w:tcPr>
            <w:tcW w:w="4711" w:type="dxa"/>
            <w:vAlign w:val="center"/>
          </w:tcPr>
          <w:p w14:paraId="07D0538F">
            <w:pPr>
              <w:jc w:val="left"/>
              <w:rPr>
                <w:rFonts w:ascii="宋体" w:hAnsi="宋体" w:eastAsia="宋体" w:cs="宋体"/>
                <w:szCs w:val="21"/>
              </w:rPr>
            </w:pPr>
            <w:r>
              <w:rPr>
                <w:rFonts w:hint="eastAsia" w:ascii="宋体" w:hAnsi="宋体" w:eastAsia="宋体" w:cs="宋体"/>
                <w:color w:val="000000"/>
                <w:kern w:val="0"/>
                <w:szCs w:val="21"/>
              </w:rPr>
              <w:t>天融信Web应用安全防护系统（WAF产品特征库升级License,适用于TWF-52116产品(绑SN)）</w:t>
            </w:r>
          </w:p>
        </w:tc>
        <w:tc>
          <w:tcPr>
            <w:tcW w:w="1398" w:type="dxa"/>
            <w:vAlign w:val="center"/>
          </w:tcPr>
          <w:p w14:paraId="5E224DAB">
            <w:pPr>
              <w:jc w:val="center"/>
              <w:rPr>
                <w:rFonts w:ascii="宋体" w:hAnsi="宋体" w:eastAsia="宋体" w:cs="宋体"/>
                <w:szCs w:val="21"/>
              </w:rPr>
            </w:pPr>
            <w:r>
              <w:rPr>
                <w:rFonts w:hint="eastAsia" w:ascii="宋体" w:hAnsi="宋体" w:eastAsia="宋体" w:cs="宋体"/>
                <w:szCs w:val="21"/>
              </w:rPr>
              <w:t>一年服务</w:t>
            </w:r>
          </w:p>
        </w:tc>
      </w:tr>
      <w:tr w14:paraId="5C5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5FCBD7CD">
            <w:pPr>
              <w:jc w:val="center"/>
              <w:rPr>
                <w:rFonts w:ascii="宋体" w:hAnsi="宋体" w:eastAsia="宋体" w:cs="宋体"/>
                <w:szCs w:val="21"/>
              </w:rPr>
            </w:pPr>
            <w:r>
              <w:rPr>
                <w:rFonts w:hint="eastAsia" w:ascii="宋体" w:hAnsi="宋体" w:eastAsia="宋体" w:cs="宋体"/>
                <w:szCs w:val="21"/>
              </w:rPr>
              <w:t>6</w:t>
            </w:r>
          </w:p>
        </w:tc>
        <w:tc>
          <w:tcPr>
            <w:tcW w:w="3232" w:type="dxa"/>
            <w:vMerge w:val="continue"/>
            <w:vAlign w:val="center"/>
          </w:tcPr>
          <w:p w14:paraId="2A22BBED">
            <w:pPr>
              <w:jc w:val="center"/>
              <w:rPr>
                <w:rFonts w:ascii="宋体" w:hAnsi="宋体" w:eastAsia="宋体" w:cs="宋体"/>
                <w:szCs w:val="21"/>
              </w:rPr>
            </w:pPr>
          </w:p>
        </w:tc>
        <w:tc>
          <w:tcPr>
            <w:tcW w:w="4711" w:type="dxa"/>
            <w:vAlign w:val="center"/>
          </w:tcPr>
          <w:p w14:paraId="11902E85">
            <w:pPr>
              <w:jc w:val="left"/>
              <w:rPr>
                <w:rFonts w:ascii="宋体" w:hAnsi="宋体" w:eastAsia="宋体" w:cs="宋体"/>
                <w:color w:val="000000"/>
                <w:kern w:val="0"/>
                <w:szCs w:val="21"/>
              </w:rPr>
            </w:pPr>
            <w:r>
              <w:rPr>
                <w:rFonts w:hint="eastAsia" w:ascii="宋体" w:hAnsi="宋体" w:eastAsia="宋体" w:cs="宋体"/>
                <w:szCs w:val="21"/>
              </w:rPr>
              <w:t>天融信安全管理系统V3(日志服务器系统），原许可型号TAEX_S，许可类型396e0c65，升级版本或提供全新版本。</w:t>
            </w:r>
          </w:p>
        </w:tc>
        <w:tc>
          <w:tcPr>
            <w:tcW w:w="1398" w:type="dxa"/>
            <w:vAlign w:val="center"/>
          </w:tcPr>
          <w:p w14:paraId="6355595D">
            <w:pPr>
              <w:jc w:val="center"/>
              <w:rPr>
                <w:rFonts w:ascii="宋体" w:hAnsi="宋体" w:eastAsia="宋体" w:cs="宋体"/>
                <w:szCs w:val="21"/>
              </w:rPr>
            </w:pPr>
            <w:r>
              <w:rPr>
                <w:rFonts w:hint="eastAsia" w:ascii="宋体" w:hAnsi="宋体" w:eastAsia="宋体" w:cs="宋体"/>
                <w:szCs w:val="21"/>
              </w:rPr>
              <w:t>永久授权</w:t>
            </w:r>
          </w:p>
        </w:tc>
      </w:tr>
      <w:tr w14:paraId="04B5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58E309F7">
            <w:pPr>
              <w:jc w:val="center"/>
              <w:rPr>
                <w:rFonts w:ascii="宋体" w:hAnsi="宋体" w:eastAsia="宋体" w:cs="宋体"/>
                <w:szCs w:val="21"/>
              </w:rPr>
            </w:pPr>
            <w:r>
              <w:rPr>
                <w:rFonts w:hint="eastAsia" w:ascii="宋体" w:hAnsi="宋体" w:eastAsia="宋体" w:cs="宋体"/>
                <w:szCs w:val="21"/>
              </w:rPr>
              <w:t>7</w:t>
            </w:r>
          </w:p>
        </w:tc>
        <w:tc>
          <w:tcPr>
            <w:tcW w:w="3232" w:type="dxa"/>
            <w:vAlign w:val="center"/>
          </w:tcPr>
          <w:p w14:paraId="19021ED3">
            <w:pPr>
              <w:jc w:val="center"/>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tc>
        <w:tc>
          <w:tcPr>
            <w:tcW w:w="4711" w:type="dxa"/>
            <w:vAlign w:val="center"/>
          </w:tcPr>
          <w:p w14:paraId="0165532E">
            <w:pPr>
              <w:numPr>
                <w:ilvl w:val="0"/>
                <w:numId w:val="23"/>
              </w:numPr>
              <w:jc w:val="left"/>
              <w:rPr>
                <w:rFonts w:ascii="宋体" w:hAnsi="宋体" w:eastAsia="宋体" w:cs="宋体"/>
                <w:szCs w:val="21"/>
              </w:rPr>
            </w:pPr>
            <w:r>
              <w:rPr>
                <w:rFonts w:hint="eastAsia" w:ascii="宋体" w:hAnsi="宋体" w:eastAsia="宋体" w:cs="宋体"/>
                <w:szCs w:val="21"/>
              </w:rPr>
              <w:t>网络安全事件应急处置（现场）</w:t>
            </w:r>
          </w:p>
          <w:p w14:paraId="2734CCFA">
            <w:pPr>
              <w:numPr>
                <w:ilvl w:val="0"/>
                <w:numId w:val="23"/>
              </w:numPr>
              <w:jc w:val="left"/>
              <w:rPr>
                <w:rFonts w:ascii="宋体" w:hAnsi="宋体" w:eastAsia="宋体" w:cs="宋体"/>
                <w:szCs w:val="21"/>
              </w:rPr>
            </w:pPr>
            <w:r>
              <w:rPr>
                <w:rFonts w:hint="eastAsia" w:ascii="宋体" w:hAnsi="宋体" w:eastAsia="宋体" w:cs="宋体"/>
                <w:szCs w:val="21"/>
              </w:rPr>
              <w:t>节假日提供网络安全检查及运维协助</w:t>
            </w:r>
          </w:p>
          <w:p w14:paraId="2FA84E51">
            <w:pPr>
              <w:pStyle w:val="2"/>
              <w:numPr>
                <w:ilvl w:val="0"/>
                <w:numId w:val="23"/>
              </w:numPr>
              <w:spacing w:line="240" w:lineRule="auto"/>
              <w:ind w:firstLine="0" w:firstLineChars="0"/>
              <w:rPr>
                <w:rFonts w:ascii="宋体" w:hAnsi="宋体" w:cs="宋体"/>
                <w:szCs w:val="21"/>
              </w:rPr>
            </w:pPr>
            <w:r>
              <w:rPr>
                <w:rFonts w:hint="eastAsia" w:ascii="宋体" w:hAnsi="宋体" w:cs="宋体"/>
                <w:szCs w:val="21"/>
              </w:rPr>
              <w:t>组织网络安全应急演练一次</w:t>
            </w:r>
          </w:p>
        </w:tc>
        <w:tc>
          <w:tcPr>
            <w:tcW w:w="1398" w:type="dxa"/>
            <w:vAlign w:val="center"/>
          </w:tcPr>
          <w:p w14:paraId="66D140F1">
            <w:pPr>
              <w:jc w:val="center"/>
              <w:rPr>
                <w:rFonts w:ascii="宋体" w:hAnsi="宋体" w:eastAsia="宋体" w:cs="宋体"/>
                <w:szCs w:val="21"/>
              </w:rPr>
            </w:pPr>
            <w:r>
              <w:rPr>
                <w:rFonts w:hint="eastAsia" w:ascii="宋体" w:hAnsi="宋体" w:eastAsia="宋体" w:cs="宋体"/>
                <w:szCs w:val="21"/>
              </w:rPr>
              <w:t>一年服务</w:t>
            </w:r>
          </w:p>
        </w:tc>
      </w:tr>
      <w:tr w14:paraId="5322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3C23FEF6">
            <w:pPr>
              <w:jc w:val="center"/>
              <w:rPr>
                <w:rFonts w:ascii="宋体" w:hAnsi="宋体" w:eastAsia="宋体" w:cs="宋体"/>
                <w:szCs w:val="21"/>
              </w:rPr>
            </w:pPr>
            <w:r>
              <w:rPr>
                <w:rFonts w:hint="eastAsia" w:ascii="宋体" w:hAnsi="宋体" w:eastAsia="宋体" w:cs="宋体"/>
                <w:szCs w:val="21"/>
              </w:rPr>
              <w:t>8</w:t>
            </w:r>
          </w:p>
        </w:tc>
        <w:tc>
          <w:tcPr>
            <w:tcW w:w="3232" w:type="dxa"/>
            <w:vAlign w:val="center"/>
          </w:tcPr>
          <w:p w14:paraId="4BF8F26B">
            <w:pPr>
              <w:jc w:val="center"/>
              <w:rPr>
                <w:rFonts w:ascii="宋体" w:hAnsi="宋体" w:eastAsia="宋体" w:cs="宋体"/>
                <w:szCs w:val="21"/>
              </w:rPr>
            </w:pPr>
            <w:r>
              <w:rPr>
                <w:rFonts w:hint="eastAsia" w:ascii="宋体" w:hAnsi="宋体" w:eastAsia="宋体" w:cs="宋体"/>
                <w:color w:val="000000"/>
                <w:kern w:val="0"/>
                <w:szCs w:val="21"/>
              </w:rPr>
              <w:t>网络安全培训</w:t>
            </w:r>
          </w:p>
        </w:tc>
        <w:tc>
          <w:tcPr>
            <w:tcW w:w="4711" w:type="dxa"/>
            <w:vAlign w:val="center"/>
          </w:tcPr>
          <w:p w14:paraId="2878BE8D">
            <w:pPr>
              <w:numPr>
                <w:ilvl w:val="0"/>
                <w:numId w:val="24"/>
              </w:numPr>
              <w:jc w:val="left"/>
              <w:rPr>
                <w:rFonts w:ascii="宋体" w:hAnsi="宋体" w:eastAsia="宋体" w:cs="宋体"/>
                <w:szCs w:val="21"/>
              </w:rPr>
            </w:pPr>
            <w:r>
              <w:rPr>
                <w:rFonts w:hint="eastAsia" w:ascii="宋体" w:hAnsi="宋体" w:eastAsia="宋体" w:cs="宋体"/>
                <w:szCs w:val="21"/>
              </w:rPr>
              <w:t>组织本地网络安全知识培训一次（具体培训时间由成交供应商与采购人进行协商确认）</w:t>
            </w:r>
          </w:p>
          <w:p w14:paraId="3B32EC3B">
            <w:pPr>
              <w:pStyle w:val="2"/>
              <w:numPr>
                <w:ilvl w:val="0"/>
                <w:numId w:val="24"/>
              </w:numPr>
              <w:spacing w:line="240" w:lineRule="auto"/>
              <w:ind w:firstLine="0" w:firstLineChars="0"/>
              <w:rPr>
                <w:rFonts w:ascii="宋体" w:hAnsi="宋体" w:cs="宋体"/>
                <w:szCs w:val="21"/>
              </w:rPr>
            </w:pPr>
            <w:r>
              <w:rPr>
                <w:rFonts w:hint="eastAsia" w:ascii="宋体" w:hAnsi="宋体" w:cs="宋体"/>
                <w:szCs w:val="21"/>
              </w:rPr>
              <w:t>提供不少于2人次CISP(或同等国家认证）线下培训课程服务与考试领证服务</w:t>
            </w:r>
          </w:p>
        </w:tc>
        <w:tc>
          <w:tcPr>
            <w:tcW w:w="1398" w:type="dxa"/>
            <w:vAlign w:val="center"/>
          </w:tcPr>
          <w:p w14:paraId="2B9D7870">
            <w:pPr>
              <w:jc w:val="center"/>
              <w:rPr>
                <w:rFonts w:ascii="宋体" w:hAnsi="宋体" w:eastAsia="宋体" w:cs="宋体"/>
                <w:szCs w:val="21"/>
              </w:rPr>
            </w:pPr>
            <w:r>
              <w:rPr>
                <w:rFonts w:hint="eastAsia" w:ascii="宋体" w:hAnsi="宋体" w:eastAsia="宋体" w:cs="宋体"/>
                <w:szCs w:val="21"/>
              </w:rPr>
              <w:t>一年服务</w:t>
            </w:r>
          </w:p>
        </w:tc>
      </w:tr>
    </w:tbl>
    <w:p w14:paraId="6251A88B">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项目目标</w:t>
      </w:r>
    </w:p>
    <w:p w14:paraId="71BBBC2D">
      <w:pPr>
        <w:spacing w:line="360" w:lineRule="auto"/>
        <w:ind w:firstLine="420" w:firstLineChars="200"/>
        <w:rPr>
          <w:rFonts w:ascii="宋体" w:hAnsi="宋体" w:eastAsia="宋体" w:cs="宋体"/>
          <w:szCs w:val="21"/>
        </w:rPr>
      </w:pPr>
      <w:r>
        <w:rPr>
          <w:rFonts w:hint="eastAsia" w:ascii="宋体" w:hAnsi="宋体" w:eastAsia="宋体" w:cs="宋体"/>
          <w:szCs w:val="21"/>
        </w:rPr>
        <w:t>按照《信息安全技术网络安全等级保护基本要求》（GB/T22239-2019）标准要求对第三级信息系统开展等保测评工作，协助监狱完成各类问题的整改及验证工作，合格后出具等级保护测评等相关报告。更新监狱网络安全设备特征库、病毒库，更新日志服务器系统版本或提高全新版本。对监狱终端、服务器、网络设备提供漏洞扫描，修复，提供每月不少于3个工作日的现场驻场服务，协助处理网络安全漏洞及应急网络安全事件。</w:t>
      </w:r>
    </w:p>
    <w:p w14:paraId="4A2F08D4">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测评标准</w:t>
      </w:r>
    </w:p>
    <w:p w14:paraId="097277DF">
      <w:pPr>
        <w:spacing w:line="360" w:lineRule="auto"/>
        <w:ind w:firstLine="420" w:firstLineChars="200"/>
        <w:rPr>
          <w:rFonts w:ascii="宋体" w:hAnsi="宋体" w:eastAsia="宋体" w:cs="宋体"/>
          <w:szCs w:val="21"/>
        </w:rPr>
      </w:pPr>
      <w:r>
        <w:rPr>
          <w:rFonts w:hint="eastAsia" w:ascii="宋体" w:hAnsi="宋体" w:eastAsia="宋体" w:cs="宋体"/>
          <w:szCs w:val="21"/>
        </w:rPr>
        <w:t>依照我国网络安全等级保护法律法规和制度规范，开展等保测评工作。项目实施过程中应包括不限于以下法规和技术标准：</w:t>
      </w:r>
    </w:p>
    <w:p w14:paraId="076D6B19">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《中华人民共和国网络安全法》</w:t>
      </w:r>
    </w:p>
    <w:p w14:paraId="0BB263B2">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《中华人民共和国计算机信息系统安全保护条例》（国务院147 号令）</w:t>
      </w:r>
    </w:p>
    <w:p w14:paraId="55A74D53">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《国家信息化领导小组关于加强信息安全保障工作的意见》（中办发〔2003〕27号）</w:t>
      </w:r>
    </w:p>
    <w:p w14:paraId="0E4E42B2">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《关于信息安全等级保护工作的实施意见》（公通字〔2004〕66 号）</w:t>
      </w:r>
    </w:p>
    <w:p w14:paraId="6B615C76">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《信息安全等级保护管理办法》（公通字〔2007〕43 号） </w:t>
      </w:r>
    </w:p>
    <w:p w14:paraId="112504BE">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《关于开展全国重要信息系统安全等级保护定级工作的通知》（公信安〔2007〕861号）</w:t>
      </w:r>
    </w:p>
    <w:p w14:paraId="5433B9D3">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《信息安全等级保护备案实施细则》（公信安〔2007〕1360 号） </w:t>
      </w:r>
    </w:p>
    <w:p w14:paraId="5F6CB475">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《计算机信息系统安全保护等级划分准则》（GB 17859—1999） </w:t>
      </w:r>
    </w:p>
    <w:p w14:paraId="6853E06A">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网络安全等级保护测评要求》（GB/T 28448—2019）</w:t>
      </w:r>
    </w:p>
    <w:p w14:paraId="74D542A2">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网络安全等级保护测评过程指南》（GB/T 28449—2018）</w:t>
      </w:r>
    </w:p>
    <w:p w14:paraId="346A31EB">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《信息安全技术 网络安全等级保护基本要求》（GB/T 22239-2019） </w:t>
      </w:r>
    </w:p>
    <w:p w14:paraId="6909E1F4">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网络安全等级保护定级指南》（GB/T 22240-2020）</w:t>
      </w:r>
    </w:p>
    <w:p w14:paraId="3B2E48D3">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服务要求</w:t>
      </w:r>
    </w:p>
    <w:p w14:paraId="79AC91CD">
      <w:pPr>
        <w:numPr>
          <w:ilvl w:val="0"/>
          <w:numId w:val="26"/>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具体要求内容</w:t>
      </w:r>
    </w:p>
    <w:p w14:paraId="6C626CCA">
      <w:pPr>
        <w:spacing w:line="360" w:lineRule="auto"/>
        <w:ind w:firstLine="420" w:firstLineChars="200"/>
        <w:rPr>
          <w:rFonts w:ascii="宋体" w:hAnsi="宋体" w:eastAsia="宋体" w:cs="宋体"/>
          <w:szCs w:val="21"/>
        </w:rPr>
      </w:pPr>
      <w:r>
        <w:rPr>
          <w:rFonts w:hint="eastAsia" w:ascii="宋体" w:hAnsi="宋体" w:eastAsia="宋体" w:cs="宋体"/>
          <w:szCs w:val="21"/>
        </w:rPr>
        <w:t>本项目采购的信息安全评测服务包括差距分析、风险评估、整改建议、等级保护测评和制度审核等，详细如下：</w:t>
      </w:r>
    </w:p>
    <w:p w14:paraId="16F48363">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信息系统差距分析活动</w:t>
      </w:r>
    </w:p>
    <w:p w14:paraId="3D612623">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信息系统安全等级保护差距分析将根据《信息安全技术 网络安全等级保护测评要求》（GB/T 28448-2019）、《信息安全技术 网络安全等级保护测评过程指南》（GB/T 28229-2018）等标准文件的要求，对已定级信息系统，进行系统现状调研，逐项进行合规性检测。其实质是采用基线安全分析的方法，明确当前信息系统与等级保护要求的不符合项及差距。</w:t>
      </w:r>
    </w:p>
    <w:p w14:paraId="5300D6E5">
      <w:pPr>
        <w:spacing w:line="360" w:lineRule="auto"/>
        <w:ind w:firstLine="420" w:firstLineChars="200"/>
        <w:rPr>
          <w:rFonts w:ascii="宋体" w:hAnsi="宋体" w:eastAsia="宋体" w:cs="宋体"/>
          <w:szCs w:val="21"/>
        </w:rPr>
      </w:pPr>
      <w:r>
        <w:rPr>
          <w:rFonts w:hint="eastAsia" w:ascii="宋体" w:hAnsi="宋体" w:eastAsia="宋体" w:cs="宋体"/>
          <w:szCs w:val="21"/>
        </w:rPr>
        <w:t>根据项目的总体要求及信息系统等级保护体系建设现状需要，对信息系统进行差距分析，从安全技术差距分析测评和安全管理差距分析测评两部分进行，对系统各项安全指标进行符合性评估，并标识系统不符合项，明确系统与国家安全等级保护相关标准要求的差距。</w:t>
      </w:r>
    </w:p>
    <w:p w14:paraId="6240E249">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信息系统整改咨询服务</w:t>
      </w:r>
    </w:p>
    <w:p w14:paraId="6E35F537">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建设整改咨询主要是依据差距分析报告，对被测信息系统面临的安全风险进行总结分析，对信息系统不符合信息系统等级保护建设基本要求的部分提供可行性整改建议或方案，从整体上把控内容，主要从技术和管理两方面进行整改，最终能够使被测信息系统在进行安全建设整改后可通过等级保护的测评。</w:t>
      </w:r>
    </w:p>
    <w:p w14:paraId="270D31FF">
      <w:pPr>
        <w:spacing w:line="360" w:lineRule="auto"/>
        <w:ind w:firstLine="420" w:firstLineChars="200"/>
        <w:rPr>
          <w:rFonts w:ascii="宋体" w:hAnsi="宋体" w:eastAsia="宋体" w:cs="宋体"/>
          <w:szCs w:val="21"/>
        </w:rPr>
      </w:pPr>
      <w:r>
        <w:rPr>
          <w:rFonts w:hint="eastAsia" w:ascii="宋体" w:hAnsi="宋体" w:eastAsia="宋体" w:cs="宋体"/>
          <w:szCs w:val="21"/>
        </w:rPr>
        <w:t>成交人需要根据差距分析中出现的问题、差距分析中存在的差距点、渗透测试发现的信息系统脆弱性以及漏洞扫描结果等相关信息，结合系统实际情况，提供合理、切实可行的整改加固建议，并全程协助各单位进行整改工作，使各系统达到等级保护相应级别的要求。成交人据此完成《网络安全等级保护整改建议书》及其它资料的编撰和整理。</w:t>
      </w:r>
    </w:p>
    <w:p w14:paraId="4043D695">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信息系统等级保护测评服务</w:t>
      </w:r>
    </w:p>
    <w:p w14:paraId="058BEEE5">
      <w:pPr>
        <w:spacing w:line="360" w:lineRule="auto"/>
        <w:ind w:firstLine="420" w:firstLineChars="200"/>
        <w:rPr>
          <w:rFonts w:ascii="宋体" w:hAnsi="宋体" w:eastAsia="宋体" w:cs="宋体"/>
          <w:szCs w:val="21"/>
        </w:rPr>
      </w:pPr>
      <w:r>
        <w:rPr>
          <w:rFonts w:hint="eastAsia" w:ascii="宋体" w:hAnsi="宋体" w:eastAsia="宋体" w:cs="宋体"/>
          <w:szCs w:val="21"/>
        </w:rPr>
        <w:t>按照等级保护《信息安全技术 网络安全等级保护测评要求》（GB/T 28448-2019）、《信息安全技术 网络安全等级保护基本要求》（GB/T22239-2019）对待测信息系统进行正式的信息安全等级保护测评及复测评，出具公安部门认可的网络安全等级测评报告。</w:t>
      </w:r>
    </w:p>
    <w:p w14:paraId="645875B8">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等级测评主要检测和评估信息系统在安全技术、安全管理等方面是否符合已确定的安全等级三级的要求，对于尚未符合要求的信息系统，分析和评估其潜在威胁、薄弱环节以及现有安全防护措施，综合考虑信息系统的重要性和面临的安全威胁等因素，提出相应的整改建议，并根据初次等级保护测评工作中发现的问题进行整改，待整改工作结束后，进行等级保护复测确认，以确保信息系统的安全保护措施符合相应安全等级三级的基本要求，并提交符合国家等级保护测评三级要求的等级保护测评报告。</w:t>
      </w:r>
    </w:p>
    <w:p w14:paraId="30A90C54">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管理制度审核</w:t>
      </w:r>
    </w:p>
    <w:p w14:paraId="604ACF5A">
      <w:pPr>
        <w:spacing w:line="360" w:lineRule="auto"/>
        <w:ind w:firstLine="420" w:firstLineChars="200"/>
        <w:rPr>
          <w:rFonts w:ascii="宋体" w:hAnsi="宋体" w:eastAsia="宋体" w:cs="宋体"/>
          <w:szCs w:val="21"/>
        </w:rPr>
      </w:pPr>
      <w:r>
        <w:rPr>
          <w:rFonts w:hint="eastAsia" w:ascii="宋体" w:hAnsi="宋体" w:eastAsia="宋体" w:cs="宋体"/>
          <w:szCs w:val="21"/>
        </w:rPr>
        <w:t>本项服务旨在依据国家信息安全管理相关要求，成交人为采购人开展安全建设及整改工作提供咨询指导。成交人依据有关国家标准，审核本项目执行过程中编制的网络安全等保相关制度，并提出修改意见。</w:t>
      </w:r>
    </w:p>
    <w:p w14:paraId="31018B8F">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协助应检</w:t>
      </w:r>
    </w:p>
    <w:p w14:paraId="2353BAF4">
      <w:pPr>
        <w:spacing w:line="360" w:lineRule="auto"/>
        <w:ind w:firstLine="420" w:firstLineChars="200"/>
        <w:rPr>
          <w:rFonts w:ascii="宋体" w:hAnsi="宋体" w:eastAsia="宋体" w:cs="宋体"/>
          <w:szCs w:val="21"/>
        </w:rPr>
      </w:pPr>
      <w:r>
        <w:rPr>
          <w:rFonts w:hint="eastAsia" w:ascii="宋体" w:hAnsi="宋体" w:eastAsia="宋体" w:cs="宋体"/>
          <w:szCs w:val="21"/>
        </w:rPr>
        <w:t>成交人需配合采购人进行网络安全等保相关检查。具体内容如下：</w:t>
      </w:r>
    </w:p>
    <w:p w14:paraId="5E37D97D">
      <w:pPr>
        <w:spacing w:line="360" w:lineRule="auto"/>
        <w:ind w:firstLine="420" w:firstLineChars="200"/>
        <w:rPr>
          <w:rFonts w:ascii="宋体" w:hAnsi="宋体" w:eastAsia="宋体" w:cs="宋体"/>
          <w:szCs w:val="21"/>
        </w:rPr>
      </w:pPr>
      <w:r>
        <w:rPr>
          <w:rFonts w:hint="eastAsia" w:ascii="宋体" w:hAnsi="宋体" w:eastAsia="宋体" w:cs="宋体"/>
          <w:szCs w:val="21"/>
        </w:rPr>
        <w:t>检查前：需协助对应检系统开展自查，对自查发现的问题进行整改和完善；</w:t>
      </w:r>
    </w:p>
    <w:p w14:paraId="1F9F68C1">
      <w:pPr>
        <w:spacing w:line="360" w:lineRule="auto"/>
        <w:ind w:firstLine="420" w:firstLineChars="200"/>
        <w:rPr>
          <w:rFonts w:ascii="宋体" w:hAnsi="宋体" w:eastAsia="宋体" w:cs="宋体"/>
          <w:szCs w:val="21"/>
        </w:rPr>
      </w:pPr>
      <w:r>
        <w:rPr>
          <w:rFonts w:hint="eastAsia" w:ascii="宋体" w:hAnsi="宋体" w:eastAsia="宋体" w:cs="宋体"/>
          <w:szCs w:val="21"/>
        </w:rPr>
        <w:t>检查中：指派专人参与的安全检查，并对检查过程中发现的问题进行记录；</w:t>
      </w:r>
    </w:p>
    <w:p w14:paraId="41826D82">
      <w:pPr>
        <w:spacing w:line="360" w:lineRule="auto"/>
        <w:ind w:firstLine="420" w:firstLineChars="200"/>
        <w:rPr>
          <w:rFonts w:ascii="宋体" w:hAnsi="宋体" w:eastAsia="宋体" w:cs="宋体"/>
          <w:szCs w:val="21"/>
        </w:rPr>
      </w:pPr>
      <w:r>
        <w:rPr>
          <w:rFonts w:hint="eastAsia" w:ascii="宋体" w:hAnsi="宋体" w:eastAsia="宋体" w:cs="宋体"/>
          <w:szCs w:val="21"/>
        </w:rPr>
        <w:t>检查后：协助完成网安检查过程中出现的安全问题的整改及编制整改报告。</w:t>
      </w:r>
    </w:p>
    <w:p w14:paraId="43AFF350">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信息系统风险评估工作</w:t>
      </w:r>
    </w:p>
    <w:p w14:paraId="50160ACB">
      <w:pPr>
        <w:spacing w:line="360" w:lineRule="auto"/>
        <w:ind w:firstLine="420" w:firstLineChars="200"/>
        <w:rPr>
          <w:rFonts w:ascii="宋体" w:hAnsi="宋体" w:eastAsia="宋体" w:cs="宋体"/>
          <w:szCs w:val="21"/>
        </w:rPr>
      </w:pPr>
      <w:r>
        <w:rPr>
          <w:rFonts w:hint="eastAsia" w:ascii="宋体" w:hAnsi="宋体" w:eastAsia="宋体" w:cs="宋体"/>
          <w:szCs w:val="21"/>
        </w:rPr>
        <w:t>成交人需依据风险评估工作的相关内容，对所有被评估对象进行检查、分析，使其满足项目最终验收要求。须严格按照相关制度和标准的要求，结合被评估单位的具体情况，确定科学严谨的现场实施方案，并完成《风险评估实施方案》的编写。风险评估方案的内容一般包括（但不仅限于）：团队组织：包括评估团队成员、组织结构、角色、责任等内容。工作计划：风险评估各阶段的工作计划，包括工作内容、工作形式、工作成果等内容。时间进度安排：项目实施的时间进度安排。</w:t>
      </w:r>
    </w:p>
    <w:p w14:paraId="78A8F991">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渗透测试</w:t>
      </w:r>
    </w:p>
    <w:p w14:paraId="057B1821">
      <w:pPr>
        <w:spacing w:line="360" w:lineRule="auto"/>
        <w:ind w:firstLine="420" w:firstLineChars="200"/>
        <w:rPr>
          <w:rFonts w:ascii="宋体" w:hAnsi="宋体" w:eastAsia="宋体" w:cs="宋体"/>
          <w:szCs w:val="21"/>
        </w:rPr>
      </w:pPr>
      <w:r>
        <w:rPr>
          <w:rFonts w:hint="eastAsia" w:ascii="宋体" w:hAnsi="宋体" w:eastAsia="宋体" w:cs="宋体"/>
          <w:szCs w:val="21"/>
        </w:rPr>
        <w:t>成交人依据已经掌握的安全漏洞信息，模拟黑客的真实攻击方法对系统和网络进行非破坏性质的攻击性测试，并出具《信息系统渗透测试报告》。渗透测试内容应该主要包含外部测试、内部测试，黑盒测试和白盒测试，渗透测试范围应包含第三级系统及各相关子系统，所有的渗透测试行为需在采购人的书面明确授权和监督下进行。</w:t>
      </w:r>
    </w:p>
    <w:p w14:paraId="5E59658E">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漏洞扫描</w:t>
      </w:r>
    </w:p>
    <w:p w14:paraId="2699E1F0">
      <w:pPr>
        <w:spacing w:line="360" w:lineRule="auto"/>
        <w:ind w:firstLine="420" w:firstLineChars="200"/>
        <w:rPr>
          <w:rFonts w:ascii="宋体" w:hAnsi="宋体" w:eastAsia="宋体" w:cs="宋体"/>
          <w:szCs w:val="21"/>
        </w:rPr>
      </w:pPr>
      <w:r>
        <w:rPr>
          <w:rFonts w:hint="eastAsia" w:ascii="宋体" w:hAnsi="宋体" w:eastAsia="宋体" w:cs="宋体"/>
          <w:szCs w:val="21"/>
        </w:rPr>
        <w:t>通过技术手段对第三级系统及各相关子系统进行漏洞扫描，发现可被利用的安全漏洞，并协助项目建设各相关单位进行漏洞修复。进行漏洞扫描后根据扫描结果出具《信息系统漏洞扫描报告》。</w:t>
      </w:r>
    </w:p>
    <w:p w14:paraId="787D767F">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安全基线核查</w:t>
      </w:r>
    </w:p>
    <w:p w14:paraId="0037DCD4">
      <w:pPr>
        <w:spacing w:line="360" w:lineRule="auto"/>
        <w:ind w:firstLine="420" w:firstLineChars="200"/>
        <w:rPr>
          <w:rFonts w:ascii="宋体" w:hAnsi="宋体" w:eastAsia="宋体" w:cs="宋体"/>
          <w:szCs w:val="21"/>
        </w:rPr>
      </w:pPr>
      <w:r>
        <w:rPr>
          <w:rFonts w:hint="eastAsia" w:ascii="宋体" w:hAnsi="宋体" w:eastAsia="宋体" w:cs="宋体"/>
          <w:szCs w:val="21"/>
        </w:rPr>
        <w:t>基于网络安全法要求以及监管合规要求进行网络安全法责任落实情况预查，为特殊时期的安全提供保障、落实国家政策、法律法规及监管单位的政策合规性的需求。预查内容包括：网络安全保障工作落实情况预查、网络安全信息系统预警及处理方案预查、网络安全管理制度建设与落实情况预查、其他（包含制度、数据、运维、边界、管理、新技术、新应用等）网络安全保护工作情况预查等。基于预查结果出具《信息系统安全配置策略符合性检查报告》、《信息系统安全策略自查报告》、《信息系统安全配置应急自查报告》。</w:t>
      </w:r>
    </w:p>
    <w:p w14:paraId="7A1F59B3">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网络加固及现场驻场服务</w:t>
      </w:r>
    </w:p>
    <w:p w14:paraId="1FC11A12">
      <w:pPr>
        <w:spacing w:line="360" w:lineRule="auto"/>
        <w:ind w:firstLine="420" w:firstLineChars="200"/>
        <w:rPr>
          <w:rFonts w:ascii="宋体" w:hAnsi="宋体" w:eastAsia="宋体" w:cs="宋体"/>
          <w:szCs w:val="21"/>
        </w:rPr>
      </w:pPr>
      <w:r>
        <w:rPr>
          <w:rFonts w:hint="eastAsia" w:ascii="宋体" w:hAnsi="宋体" w:eastAsia="宋体" w:cs="宋体"/>
          <w:szCs w:val="21"/>
        </w:rPr>
        <w:t>对单位终端操作系统安全加固和优化，对机房网络设备安全加固和优化，包括主机（PC、办公终端）、网络设备和网络设施（交换机、路由器等）进行打补丁、升级、修补、加固和优化，协助处理应急网络安全事件并提供相关报告，</w:t>
      </w:r>
      <w:r>
        <w:rPr>
          <w:rFonts w:hint="eastAsia" w:ascii="宋体" w:hAnsi="宋体" w:eastAsia="宋体" w:cs="宋体"/>
          <w:color w:val="000000"/>
          <w:kern w:val="0"/>
          <w:szCs w:val="21"/>
        </w:rPr>
        <w:t>对全狱终端</w:t>
      </w:r>
      <w:r>
        <w:rPr>
          <w:rFonts w:hint="eastAsia" w:ascii="宋体" w:hAnsi="宋体" w:eastAsia="宋体" w:cs="宋体"/>
          <w:szCs w:val="21"/>
        </w:rPr>
        <w:t>系统，安全设备、网络进行漏洞扫描、修复，要求每月安排工程师现场驻场处置不少于3个工作日。</w:t>
      </w:r>
    </w:p>
    <w:p w14:paraId="4E11F7EF">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监狱网络安全设备授权服务</w:t>
      </w:r>
    </w:p>
    <w:p w14:paraId="22616C09">
      <w:pPr>
        <w:spacing w:line="360" w:lineRule="auto"/>
        <w:ind w:firstLine="420" w:firstLineChars="200"/>
        <w:rPr>
          <w:rFonts w:ascii="宋体" w:hAnsi="宋体" w:eastAsia="宋体" w:cs="宋体"/>
          <w:szCs w:val="21"/>
        </w:rPr>
      </w:pPr>
      <w:r>
        <w:rPr>
          <w:rFonts w:hint="eastAsia" w:ascii="宋体" w:hAnsi="宋体" w:eastAsia="宋体" w:cs="宋体"/>
          <w:szCs w:val="21"/>
        </w:rPr>
        <w:t>天融信应用安全网关系统（IDP特征库、WEB过滤库、专业版快速扫描查杀防病毒库、应用识别特征库1年升级服务许可,适用于NU-31116产品(绑SN)），如果旧版本不能升级，需提供部署新版本。天融信Web应用安全防护系统（WAF产品特征库1年升级License,适用于TWF-52116产品(绑SN)），如果旧版本不能升级，需提供部署新版本。天融信安全管理系统V3(日志服务器系统），原许可型号TAEX_S，许可类型396e0c65，升级版本，如果旧版本不能升级，需提供部署新版本，系统永久授权。</w:t>
      </w:r>
    </w:p>
    <w:p w14:paraId="0E7A5171">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网络安全培训服务</w:t>
      </w:r>
    </w:p>
    <w:p w14:paraId="05930A10">
      <w:pPr>
        <w:spacing w:line="360" w:lineRule="auto"/>
        <w:ind w:firstLine="420" w:firstLineChars="200"/>
        <w:rPr>
          <w:rFonts w:ascii="宋体" w:hAnsi="宋体" w:eastAsia="宋体" w:cs="宋体"/>
          <w:szCs w:val="21"/>
        </w:rPr>
      </w:pPr>
      <w:r>
        <w:rPr>
          <w:rFonts w:hint="eastAsia" w:ascii="宋体" w:hAnsi="宋体" w:eastAsia="宋体" w:cs="宋体"/>
          <w:szCs w:val="21"/>
        </w:rPr>
        <w:t>成交人为采购人提供1次本地网络安全培训，形成《网络安全培训会议纪要》。成交人为采购人提供不少于2人次CISP(或同等国家认证）线下培训课程服务与考试领证服务</w:t>
      </w:r>
      <w:r>
        <w:rPr>
          <w:rFonts w:hint="eastAsia" w:ascii="宋体" w:hAnsi="宋体" w:eastAsia="宋体" w:cs="宋体"/>
          <w:b/>
          <w:bCs/>
          <w:szCs w:val="21"/>
        </w:rPr>
        <w:t>，</w:t>
      </w:r>
      <w:r>
        <w:rPr>
          <w:rFonts w:hint="eastAsia" w:ascii="宋体" w:hAnsi="宋体" w:eastAsia="宋体" w:cs="宋体"/>
          <w:szCs w:val="21"/>
        </w:rPr>
        <w:t>培训费等相关费用由成交人承担。</w:t>
      </w:r>
    </w:p>
    <w:p w14:paraId="74F5A927">
      <w:pPr>
        <w:numPr>
          <w:ilvl w:val="0"/>
          <w:numId w:val="27"/>
        </w:numPr>
        <w:spacing w:line="360" w:lineRule="auto"/>
        <w:ind w:left="0"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p w14:paraId="0F6736DB">
      <w:pPr>
        <w:spacing w:line="360" w:lineRule="auto"/>
        <w:ind w:firstLine="420" w:firstLineChars="200"/>
        <w:rPr>
          <w:rFonts w:ascii="宋体" w:hAnsi="宋体" w:eastAsia="宋体" w:cs="宋体"/>
          <w:szCs w:val="21"/>
        </w:rPr>
      </w:pPr>
      <w:r>
        <w:rPr>
          <w:rFonts w:hint="eastAsia" w:ascii="宋体" w:hAnsi="宋体" w:eastAsia="宋体" w:cs="宋体"/>
          <w:szCs w:val="21"/>
        </w:rPr>
        <w:t>成交人需成立项目</w:t>
      </w:r>
      <w:r>
        <w:rPr>
          <w:rFonts w:hint="eastAsia" w:ascii="宋体" w:hAnsi="宋体" w:eastAsia="宋体" w:cs="宋体"/>
          <w:color w:val="000000"/>
          <w:kern w:val="0"/>
          <w:szCs w:val="21"/>
        </w:rPr>
        <w:t>网络安全应急响应</w:t>
      </w:r>
      <w:r>
        <w:rPr>
          <w:rFonts w:hint="eastAsia" w:ascii="宋体" w:hAnsi="宋体" w:eastAsia="宋体" w:cs="宋体"/>
          <w:szCs w:val="21"/>
        </w:rPr>
        <w:t>服务团队，团队至少有一名项目经理与一名专职网络安全工程师组成，需提供7*24技术支持服务，采购人出现网络安全事件需要应急处置时，成交人需30分钟内响应，2小时内安排项目专职工程师到采购人指定现场进行处置，同时节假日提供网络安全检查及运维协助，形成《网络安全事件应急处置统计表》。组织网络安全应急演练一次，形成《网络安全事件应急演练会议纪要》。</w:t>
      </w:r>
    </w:p>
    <w:p w14:paraId="05B02270">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其他要求</w:t>
      </w:r>
    </w:p>
    <w:p w14:paraId="5125E2FA">
      <w:pPr>
        <w:spacing w:line="360" w:lineRule="auto"/>
        <w:ind w:firstLine="420" w:firstLineChars="200"/>
        <w:rPr>
          <w:rFonts w:ascii="宋体" w:hAnsi="宋体" w:eastAsia="宋体" w:cs="宋体"/>
          <w:szCs w:val="21"/>
        </w:rPr>
      </w:pPr>
      <w:r>
        <w:rPr>
          <w:rFonts w:hint="eastAsia" w:ascii="宋体" w:hAnsi="宋体" w:eastAsia="宋体" w:cs="宋体"/>
          <w:szCs w:val="21"/>
        </w:rPr>
        <w:t>成交人在本项目实施期间应根据本项目实施阶段的国家网络安全等级保护相关要求进行以上工作，因国家网络安全等级保护测评标准变更引起的工作量变更，采购人无需支付额外费用。</w:t>
      </w:r>
    </w:p>
    <w:p w14:paraId="358164D1">
      <w:pPr>
        <w:numPr>
          <w:ilvl w:val="0"/>
          <w:numId w:val="26"/>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文档内容</w:t>
      </w:r>
    </w:p>
    <w:p w14:paraId="40057127">
      <w:pPr>
        <w:spacing w:line="360" w:lineRule="auto"/>
        <w:ind w:firstLine="420" w:firstLineChars="200"/>
        <w:rPr>
          <w:rFonts w:ascii="宋体" w:hAnsi="宋体" w:eastAsia="宋体" w:cs="宋体"/>
          <w:szCs w:val="21"/>
        </w:rPr>
      </w:pPr>
      <w:r>
        <w:rPr>
          <w:rFonts w:hint="eastAsia" w:ascii="宋体" w:hAnsi="宋体" w:eastAsia="宋体" w:cs="宋体"/>
          <w:szCs w:val="21"/>
        </w:rPr>
        <w:t>根据以上服务需求内容，成交人负责编制的文档应包括但不限于以下文档内容作为产出物：</w:t>
      </w:r>
    </w:p>
    <w:p w14:paraId="2BD2CD18">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《网络安全设计方案》</w:t>
      </w:r>
    </w:p>
    <w:p w14:paraId="5112E916">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《网络安全等级保护差距分析报告》</w:t>
      </w:r>
    </w:p>
    <w:p w14:paraId="5D84C2E3">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《信息系统风险评估报告》</w:t>
      </w:r>
    </w:p>
    <w:p w14:paraId="49356CC2">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《信息系统渗透测试报告》</w:t>
      </w:r>
    </w:p>
    <w:p w14:paraId="219A36B4">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《信息系统漏洞扫描报告》</w:t>
      </w:r>
    </w:p>
    <w:p w14:paraId="34316445">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《网络安全等级保护整改建议书》</w:t>
      </w:r>
    </w:p>
    <w:p w14:paraId="65E06C7A">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《等级保护测评报告》</w:t>
      </w:r>
    </w:p>
    <w:p w14:paraId="6DAE741C">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《信息系统安全配置策略符合性检查报告》</w:t>
      </w:r>
    </w:p>
    <w:p w14:paraId="58A956AC">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《信息系统安全策略自查报告》</w:t>
      </w:r>
    </w:p>
    <w:p w14:paraId="736EF21A">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《信息系统安全配置应急自查报告》</w:t>
      </w:r>
    </w:p>
    <w:p w14:paraId="024AC5B0">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《肇庆监狱2025年网络安全加固技术方案记录表》</w:t>
      </w:r>
    </w:p>
    <w:p w14:paraId="098E9655">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《肇庆监狱2025年网络安全应急演练记录表》</w:t>
      </w:r>
    </w:p>
    <w:p w14:paraId="3E29E07F">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《肇庆监狱2025年网络安全培训记录表》</w:t>
      </w:r>
    </w:p>
    <w:p w14:paraId="679639A6">
      <w:pPr>
        <w:spacing w:line="360" w:lineRule="auto"/>
        <w:ind w:firstLine="420" w:firstLineChars="200"/>
        <w:rPr>
          <w:rFonts w:ascii="宋体" w:hAnsi="宋体" w:eastAsia="宋体" w:cs="宋体"/>
          <w:szCs w:val="21"/>
        </w:rPr>
      </w:pPr>
      <w:r>
        <w:rPr>
          <w:rFonts w:hint="eastAsia" w:ascii="宋体" w:hAnsi="宋体" w:eastAsia="宋体" w:cs="宋体"/>
          <w:szCs w:val="21"/>
        </w:rPr>
        <w:t>除上述1</w:t>
      </w:r>
      <w:r>
        <w:rPr>
          <w:rFonts w:ascii="宋体" w:hAnsi="宋体" w:eastAsia="宋体" w:cs="宋体"/>
          <w:szCs w:val="21"/>
        </w:rPr>
        <w:t>3</w:t>
      </w:r>
      <w:r>
        <w:rPr>
          <w:rFonts w:hint="eastAsia" w:ascii="宋体" w:hAnsi="宋体" w:eastAsia="宋体" w:cs="宋体"/>
          <w:szCs w:val="21"/>
        </w:rPr>
        <w:t>个已列明的文档产出物外，成交人应在本项目实施期间根据国家网络安全等级保护相关要求的变化，补充对应的文档产出物，采购人无需支付额外费用。</w:t>
      </w:r>
    </w:p>
    <w:p w14:paraId="092E77D7">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实施要求</w:t>
      </w:r>
    </w:p>
    <w:p w14:paraId="56B8211C">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实施管理要求</w:t>
      </w:r>
    </w:p>
    <w:p w14:paraId="70DB1D3D">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成交人应成立项目管理组织，严格遵守采购人项目管控相关规章制度的要求。在项目实施的各个阶段，按照采购单位相关要求提交文档，并配合其工作。</w:t>
      </w:r>
    </w:p>
    <w:p w14:paraId="20FDA6D9">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成交人应基于成熟的项目管理方法论，制订完善的项目管理制度、流程，合理划分项目管理的阶段，借助工程管理工具，在项目实施过程中对项目进行规范化管理，确保项目实施进度和实施质量。</w:t>
      </w:r>
    </w:p>
    <w:p w14:paraId="3DF685B5">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成交人应提供项目管理方案，至少覆盖进度管理、范围管理、风险管理、需求管理、质量管理、资源管理、时间管理、沟通管理等。</w:t>
      </w:r>
    </w:p>
    <w:p w14:paraId="35745768">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成交人应根据项目管理的需要，提供和使用项目管理工具。如采购人要求使用的，必须使用采购人提供的项目管理工具。</w:t>
      </w:r>
    </w:p>
    <w:p w14:paraId="4B4A04C7">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成交人提供项目管理工具的，应保证采购人免费使用该管理工具，如涉及版权纠纷，后果由成交人承担。</w:t>
      </w:r>
    </w:p>
    <w:p w14:paraId="71A61185">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成交人各阶段产出物采用特殊格式的，成交人需提供相应的打开、编译、运行、修改、打印等工具，并确保采购人无限制的使用；不受版权和知识产权限制，采购人不对工具额外付费。</w:t>
      </w:r>
    </w:p>
    <w:p w14:paraId="0AFB033F">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成交人应认真估算工作量，做好工作量冗余。终验前，成交人须无条件接受并按采购人要求完成各种项目变更，采购人不另行支付费用。</w:t>
      </w:r>
    </w:p>
    <w:p w14:paraId="5AB838F7">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成交人在项目实施过程中所需各种检测工具、项目管理工具等由成交人提供，其结果文档应不依赖于工具而具有可读性，采购人不对此额外付费。</w:t>
      </w:r>
    </w:p>
    <w:p w14:paraId="686E3498">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组织人员要求</w:t>
      </w:r>
    </w:p>
    <w:p w14:paraId="66E49564">
      <w:pPr>
        <w:spacing w:line="360" w:lineRule="auto"/>
        <w:ind w:firstLine="420" w:firstLineChars="200"/>
        <w:rPr>
          <w:rFonts w:ascii="宋体" w:hAnsi="宋体" w:eastAsia="宋体" w:cs="宋体"/>
          <w:szCs w:val="21"/>
        </w:rPr>
      </w:pPr>
      <w:r>
        <w:rPr>
          <w:rFonts w:hint="eastAsia" w:ascii="宋体" w:hAnsi="宋体" w:eastAsia="宋体" w:cs="宋体"/>
          <w:szCs w:val="21"/>
        </w:rPr>
        <w:t>成交人负责提出项目实施的项目人员配置方案，主要要求如下：</w:t>
      </w:r>
    </w:p>
    <w:p w14:paraId="6A4405ED">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项目实施由成交人安排项目经理配合项目单位，负责项目管理、项目质量控制、项目进度控制、项目测试验收等工作，安排专职工程师配合负责系统测评，系统测试整改，网络安全应急服务等工作。</w:t>
      </w:r>
    </w:p>
    <w:p w14:paraId="4EA444D1">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成交人应提供至少1人担任项目经理，要求具有信息系统项目管理师证书</w:t>
      </w:r>
      <w:r>
        <w:rPr>
          <w:rFonts w:hint="eastAsia"/>
        </w:rPr>
        <w:t>，</w:t>
      </w:r>
      <w:r>
        <w:rPr>
          <w:rFonts w:hint="eastAsia" w:ascii="宋体" w:hAnsi="宋体" w:eastAsia="宋体" w:cs="宋体"/>
          <w:szCs w:val="21"/>
        </w:rPr>
        <w:t>同时具备等保三级及以上项目经验，具有集成、实施项目的丰富经验和较强的沟通协调能力；具有预见和应对项目风险能力。自合同签订之日起至该项目相关系统等保测评全部完成前，项目经理需提供5*8技术支持服务，进行安全建设咨询与指导工作等。</w:t>
      </w:r>
    </w:p>
    <w:p w14:paraId="0EF0D919">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至少1人专职工程师，要求具有信息安全工程师证书（或为CISP注册信息安全专业人员，或为CISAW信息安全保障人员），同时具备等保三级及以上项目经验，具有集成、实施项目的丰富经验和较强的沟通协调能力；自8月12日起，专职工程师需提供7*24技术支持服务，日常的网络安全应急响应服务，每月不少于3个工作日的现场驻场服务等。</w:t>
      </w:r>
    </w:p>
    <w:p w14:paraId="48C55F62">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在本项目实施中，应选派工作责任心强、技术水平高、业务熟练、具备等级测评或风险评估实施经验的人员参加本项目的实施。人员总数建议不少于4人，其中测评人员现场不低于2人，且现场人员具有“信息安全等级测评师”或“网络安全等级测评师证书”中级及以上认证证书。</w:t>
      </w:r>
    </w:p>
    <w:p w14:paraId="56E9217F">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成交人选派的项目组成员应以专职为主，专职人员在项目实施期间不得兼任与本项目无关的其他工作，专职人员比例应不低于 90％。</w:t>
      </w:r>
    </w:p>
    <w:p w14:paraId="48B6D862">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在合同签订前提供项目经理与专职工程师名单，同时根据人员要求提供相应的证书或证明文件，在进入系统测评阶段需按要求提供现场测评实施人员名单由采购人确认后，才能进入测评阶段。采购人如认为成交人提供的项目组成员达不到要求，有权要求成交人更换，成交人必须负责在一周之内调换符合采购人要求的项目成员。成交人应按阶段提交项目参与人员名单，经采购人确认。成交人应保证项目组成员的稳定性，如特殊情况需要调整项目组成员的，应提前一个月书面通知采购人，并获得采购人的确认后才能安排调整。</w:t>
      </w:r>
    </w:p>
    <w:p w14:paraId="2997F9E0">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为确保项目顺利实施，项目实施队伍应保持适当的规模，项目组组织结构需分工合理、层次清晰，且分工要为适应项目实施需要。配备人员数量应满足项目需要，原则上每一现场实施人员不得少于1人，不允许职责交叉，不得因为人员离职影响项目的正常开展。</w:t>
      </w:r>
    </w:p>
    <w:p w14:paraId="4659CAC9">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项目经理、专职工程师，测评实施人员应满足项目需要，如果人员不能胜任，采购人有权要求成交人更换人员。成交人原则上不允许更换人员，若更换人员必须书面征得采购人同意，且更换的人员必须具有同等级别和实施经验，并且做好项目交接和资料回收工作；人员搭配应合理，并满足项目实施的要求。</w:t>
      </w:r>
    </w:p>
    <w:p w14:paraId="7DC554A3">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服务质量要求</w:t>
      </w:r>
    </w:p>
    <w:p w14:paraId="164CE655">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是本项目技术服务与质量保障的主要承担者和责任人。成交人必须能依据竞价书中各项需求提供及时、高效的技术保障与服务，协助采购人实现系统的长期稳定运行。技术与质量保障的范围包括本项目所涉及的所有服务。在项目规定的技术服务范围及期限内，不得另行收费。具体服务与质量保障要求如下：</w:t>
      </w:r>
    </w:p>
    <w:p w14:paraId="1F2CFAC3">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成交人方必须拥有完善的技术保障服务体系，能够为采购人提供统一快捷的技术保障服务。成交人必须向采购人免费提供电话、E-mail 技术支撑等方式。</w:t>
      </w:r>
    </w:p>
    <w:p w14:paraId="1B9CC0F1">
      <w:pPr>
        <w:spacing w:line="360" w:lineRule="auto"/>
        <w:ind w:firstLine="420" w:firstLineChars="200"/>
        <w:rPr>
          <w:rFonts w:ascii="宋体" w:hAnsi="宋体" w:eastAsia="宋体" w:cs="宋体"/>
          <w:szCs w:val="21"/>
        </w:rPr>
      </w:pPr>
      <w:r>
        <w:rPr>
          <w:rFonts w:hint="eastAsia" w:ascii="宋体" w:hAnsi="宋体" w:eastAsia="宋体" w:cs="宋体"/>
          <w:szCs w:val="21"/>
        </w:rPr>
        <w:t>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67A29692">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成交人参与项目的所有人员应严格遵守采购人的保密要求签订保密协议或保密承诺书, 并由成交人担保。成交人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成交人一方的原因造成泄密，采购人将保留追究其法律责任的权利。</w:t>
      </w:r>
    </w:p>
    <w:p w14:paraId="637741A5">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知识转移的目标是成交人采取有效的方式、途径来保证采购人能顺利的接受本项目产生的各项电子版和纸质版文档交付物以及相关项目成果。在采购时，成交人需详细列出知识转移的方案和方式。成交人要规范和完善项目成果、交付物和中间成果的转交过程。成交人在按计划完成和提交项目成果等交付物的同时，这些文档均要以严格的档案管理规范集中组织并保存，提供电子、纸质等多种备查方式，向采购人相关人员开放项目文档，使得采购人可以随时查阅文档，了解和掌握项目中的各种知识。</w:t>
      </w:r>
    </w:p>
    <w:p w14:paraId="711E3247">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采购人对项目实施过程中所产生的所有成果（包括相关技术资料、文档等）享有所有权（永久使用权、复制权和修改权等）。除本项目工作所需外，未经采购人书面同意，成交人不得擅自使用、复制采购人的商标、标志、数据信息、文档及其他资料。</w:t>
      </w:r>
    </w:p>
    <w:p w14:paraId="2E7BB7BE">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保证在本项目中所有预装和为本项目安装的软件为在中国境内具有合法版权或使用权的正版软件且无质量瑕疵。成交人应保证其所提供的产品及服务不侵犯第三方的知识产权，否则，由此给采购人造成的一切损失由成交人承担。成交人为本项目提供的产品（设备及软件）均为终身授权产品，使用范围为本项目相关系统且无任何限制。</w:t>
      </w:r>
    </w:p>
    <w:p w14:paraId="5B44C7DE">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成交人应对项目所涉及的各阶段工作文档的电子版和纸质版，按采购人质量、数量、提供方式、提供时间等要求进行整理，经采购人确认后提交采购人归档。</w:t>
      </w:r>
    </w:p>
    <w:p w14:paraId="78B4734D">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在项目实施过程的各阶段，本项目相关技术人员适当参与，以工作中的配合关系和传帮带的工作模式进行知识与技能的转移。在此过程中，成交人须将信息安全等级测评和风险评估方法和经验等通过集中培训和文档提交等形式进行转移。</w:t>
      </w:r>
    </w:p>
    <w:p w14:paraId="3DB84124">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服务期限要求</w:t>
      </w:r>
    </w:p>
    <w:p w14:paraId="60A7D8C5">
      <w:pPr>
        <w:spacing w:line="360" w:lineRule="auto"/>
        <w:ind w:firstLine="420" w:firstLineChars="200"/>
        <w:rPr>
          <w:rFonts w:ascii="宋体" w:hAnsi="宋体" w:eastAsia="宋体" w:cs="宋体"/>
          <w:szCs w:val="21"/>
        </w:rPr>
      </w:pPr>
      <w:r>
        <w:rPr>
          <w:rFonts w:hint="eastAsia" w:ascii="宋体" w:hAnsi="宋体" w:eastAsia="宋体" w:cs="宋体"/>
          <w:szCs w:val="21"/>
        </w:rPr>
        <w:t>签订合同后需60天内完成合同规定的三级系统通过网络安全等级保护第三级测评，网络安全加固，网络安全应急响应等服务保障时间为2025年8月12日起，服务期限为</w:t>
      </w:r>
      <w:r>
        <w:rPr>
          <w:rFonts w:hint="eastAsia" w:ascii="宋体" w:hAnsi="宋体" w:eastAsia="宋体" w:cs="宋体"/>
          <w:szCs w:val="21"/>
          <w:u w:val="single"/>
        </w:rPr>
        <w:t xml:space="preserve">  12  </w:t>
      </w:r>
      <w:r>
        <w:rPr>
          <w:rFonts w:hint="eastAsia" w:ascii="宋体" w:hAnsi="宋体" w:eastAsia="宋体" w:cs="宋体"/>
          <w:szCs w:val="21"/>
        </w:rPr>
        <w:t>个月。在本项目服务期内，必须严格按照合同要求完成相关工作，按时提交各阶段文档，协助完成验收工作。</w:t>
      </w:r>
    </w:p>
    <w:p w14:paraId="2233DD7A">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实施方案要求</w:t>
      </w:r>
    </w:p>
    <w:p w14:paraId="3AC457FA">
      <w:pPr>
        <w:spacing w:line="360" w:lineRule="auto"/>
        <w:ind w:firstLine="420" w:firstLineChars="200"/>
        <w:rPr>
          <w:rFonts w:ascii="宋体" w:hAnsi="宋体" w:eastAsia="宋体" w:cs="宋体"/>
          <w:szCs w:val="21"/>
        </w:rPr>
      </w:pPr>
      <w:r>
        <w:rPr>
          <w:rFonts w:hint="eastAsia" w:ascii="宋体" w:hAnsi="宋体" w:eastAsia="宋体" w:cs="宋体"/>
          <w:szCs w:val="21"/>
        </w:rPr>
        <w:t>成交人必须在项目实施前提交详细的项目实施方案，具体包括技术方案、实施方案、知识转移方案等</w:t>
      </w:r>
    </w:p>
    <w:p w14:paraId="196FF6AD">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验收标准</w:t>
      </w:r>
    </w:p>
    <w:p w14:paraId="7757110D">
      <w:pPr>
        <w:spacing w:line="360" w:lineRule="auto"/>
        <w:ind w:firstLine="420" w:firstLineChars="200"/>
        <w:rPr>
          <w:rFonts w:ascii="宋体" w:hAnsi="宋体" w:eastAsia="宋体" w:cs="宋体"/>
          <w:szCs w:val="21"/>
        </w:rPr>
      </w:pPr>
      <w:r>
        <w:rPr>
          <w:rFonts w:hint="eastAsia" w:ascii="宋体" w:hAnsi="宋体" w:eastAsia="宋体" w:cs="宋体"/>
          <w:szCs w:val="21"/>
        </w:rPr>
        <w:t>完成服务需求中所规定的各项内容，保障本项目所涵盖的网络系统全部通过网络安全等级保护第三级测评，完成一年的</w:t>
      </w:r>
      <w:r>
        <w:rPr>
          <w:rFonts w:hint="eastAsia" w:ascii="宋体" w:hAnsi="宋体" w:eastAsia="宋体" w:cs="宋体"/>
          <w:color w:val="000000"/>
          <w:kern w:val="0"/>
          <w:szCs w:val="21"/>
        </w:rPr>
        <w:t>网络安全应急响应服务</w:t>
      </w:r>
      <w:r>
        <w:rPr>
          <w:rFonts w:hint="eastAsia" w:ascii="宋体" w:hAnsi="宋体" w:eastAsia="宋体" w:cs="宋体"/>
          <w:szCs w:val="21"/>
        </w:rPr>
        <w:t>。以上工作完成后，按照采购人要求提交①等保测评报告，②过程文档（《网络安全设计方案》、《网络安全等级保护差距分析报告》、《信息系统风险评估报告》、《信息系统渗透测试报告》、 《信息系统漏洞扫描报告》、《网络安全等级保护整改建议书》、 《信息系统安全配置策略符合性检查报告》、 《信息系统安全策略自查报告》、 《信息系统安全配置应急自查报告》），③公安回执，④每月驻场运维人员考勤表，⑤每月网络安全漏洞修复统计表，⑥肇庆监狱2025年网络安全加固技术方案记录表，⑦肇庆监狱2025年网络安全应急演练记录表，⑧肇庆监狱2025年网络安全培训记录表，进行验收。</w:t>
      </w:r>
    </w:p>
    <w:p w14:paraId="6236277E">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合同签订期限</w:t>
      </w:r>
    </w:p>
    <w:p w14:paraId="5295EBB5">
      <w:pPr>
        <w:spacing w:line="360" w:lineRule="auto"/>
        <w:ind w:firstLine="420" w:firstLineChars="200"/>
        <w:rPr>
          <w:rFonts w:ascii="宋体" w:hAnsi="宋体" w:eastAsia="宋体" w:cs="宋体"/>
          <w:szCs w:val="21"/>
        </w:rPr>
      </w:pPr>
      <w:r>
        <w:rPr>
          <w:rFonts w:hint="eastAsia" w:ascii="宋体" w:hAnsi="宋体" w:eastAsia="宋体" w:cs="宋体"/>
          <w:szCs w:val="21"/>
        </w:rPr>
        <w:t>成交供应商与采购人在本项目结果公告发布之日起15个工作日内签订合同。</w:t>
      </w:r>
    </w:p>
    <w:p w14:paraId="5C805DE9">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付款方式</w:t>
      </w:r>
    </w:p>
    <w:p w14:paraId="439FA7B5">
      <w:pPr>
        <w:spacing w:line="360" w:lineRule="auto"/>
        <w:ind w:firstLine="420" w:firstLineChars="200"/>
        <w:rPr>
          <w:rFonts w:ascii="宋体" w:hAnsi="宋体" w:eastAsia="宋体" w:cs="宋体"/>
          <w:szCs w:val="21"/>
        </w:rPr>
      </w:pPr>
      <w:r>
        <w:rPr>
          <w:rFonts w:hint="eastAsia" w:ascii="宋体" w:hAnsi="宋体" w:eastAsia="宋体" w:cs="宋体"/>
          <w:szCs w:val="21"/>
        </w:rPr>
        <w:t>本项目计划分</w:t>
      </w:r>
      <w:r>
        <w:rPr>
          <w:rFonts w:hint="eastAsia" w:ascii="宋体" w:hAnsi="宋体" w:eastAsia="宋体" w:cs="宋体"/>
          <w:szCs w:val="21"/>
          <w:u w:val="single"/>
        </w:rPr>
        <w:t xml:space="preserve">3 </w:t>
      </w:r>
      <w:r>
        <w:rPr>
          <w:rFonts w:hint="eastAsia" w:ascii="宋体" w:hAnsi="宋体" w:eastAsia="宋体" w:cs="宋体"/>
          <w:szCs w:val="21"/>
        </w:rPr>
        <w:t>期支付，具体支付方式和时间如下：</w:t>
      </w:r>
    </w:p>
    <w:p w14:paraId="5EF1B274">
      <w:pPr>
        <w:numPr>
          <w:ilvl w:val="0"/>
          <w:numId w:val="33"/>
        </w:numPr>
        <w:spacing w:line="360" w:lineRule="auto"/>
        <w:rPr>
          <w:rFonts w:ascii="宋体" w:hAnsi="宋体" w:eastAsia="宋体" w:cs="宋体"/>
          <w:szCs w:val="21"/>
        </w:rPr>
      </w:pPr>
      <w:r>
        <w:rPr>
          <w:rFonts w:hint="eastAsia" w:ascii="宋体" w:hAnsi="宋体" w:eastAsia="宋体" w:cs="宋体"/>
          <w:szCs w:val="21"/>
        </w:rPr>
        <w:t>首期款：签订合同后</w:t>
      </w:r>
      <w:bookmarkStart w:id="0" w:name="_Hlk7423949"/>
      <w:r>
        <w:rPr>
          <w:rFonts w:hint="eastAsia" w:ascii="宋体" w:hAnsi="宋体" w:eastAsia="宋体" w:cs="宋体"/>
          <w:szCs w:val="21"/>
        </w:rPr>
        <w:t xml:space="preserve"> </w:t>
      </w:r>
      <w:r>
        <w:rPr>
          <w:rFonts w:hint="eastAsia" w:ascii="宋体" w:hAnsi="宋体" w:eastAsia="宋体" w:cs="宋体"/>
          <w:szCs w:val="21"/>
          <w:u w:val="single"/>
        </w:rPr>
        <w:t xml:space="preserve"> 10  </w:t>
      </w:r>
      <w:r>
        <w:rPr>
          <w:rFonts w:hint="eastAsia" w:ascii="宋体" w:hAnsi="宋体" w:eastAsia="宋体" w:cs="宋体"/>
          <w:szCs w:val="21"/>
        </w:rPr>
        <w:t>个工作日内</w:t>
      </w:r>
      <w:bookmarkEnd w:id="0"/>
      <w:r>
        <w:rPr>
          <w:rFonts w:hint="eastAsia" w:ascii="宋体" w:hAnsi="宋体" w:eastAsia="宋体" w:cs="宋体"/>
          <w:szCs w:val="21"/>
        </w:rPr>
        <w:t xml:space="preserve">，成交人书面提出支付申请函及拟支付金额等额的符合采购人财务管理要求的相应发票，采购人确认后启动首期款支付流程，占合同总金额的  </w:t>
      </w:r>
      <w:r>
        <w:rPr>
          <w:rFonts w:hint="eastAsia" w:ascii="宋体" w:hAnsi="宋体" w:eastAsia="宋体" w:cs="宋体"/>
          <w:szCs w:val="21"/>
          <w:u w:val="single"/>
        </w:rPr>
        <w:t>30</w:t>
      </w:r>
      <w:r>
        <w:rPr>
          <w:rFonts w:hint="eastAsia" w:ascii="宋体" w:hAnsi="宋体" w:eastAsia="宋体" w:cs="宋体"/>
          <w:szCs w:val="21"/>
        </w:rPr>
        <w:t xml:space="preserve">  %。</w:t>
      </w:r>
    </w:p>
    <w:p w14:paraId="7957F4F6">
      <w:pPr>
        <w:numPr>
          <w:ilvl w:val="0"/>
          <w:numId w:val="33"/>
        </w:numPr>
        <w:spacing w:line="360" w:lineRule="auto"/>
        <w:rPr>
          <w:rFonts w:ascii="宋体" w:hAnsi="宋体" w:eastAsia="宋体" w:cs="宋体"/>
          <w:szCs w:val="21"/>
        </w:rPr>
      </w:pPr>
      <w:r>
        <w:rPr>
          <w:rFonts w:hint="eastAsia" w:ascii="宋体" w:hAnsi="宋体" w:eastAsia="宋体" w:cs="宋体"/>
          <w:szCs w:val="21"/>
        </w:rPr>
        <w:t>进度款：合同签订后</w:t>
      </w:r>
      <w:r>
        <w:rPr>
          <w:rFonts w:hint="eastAsia" w:ascii="宋体" w:hAnsi="宋体" w:eastAsia="宋体" w:cs="宋体"/>
          <w:szCs w:val="21"/>
          <w:u w:val="single"/>
        </w:rPr>
        <w:t>60</w:t>
      </w:r>
      <w:r>
        <w:rPr>
          <w:rFonts w:hint="eastAsia" w:ascii="宋体" w:hAnsi="宋体" w:eastAsia="宋体" w:cs="宋体"/>
          <w:szCs w:val="21"/>
        </w:rPr>
        <w:t xml:space="preserve">天内完成合同规定的三级系统通过网络安全等级保护第三级测评后，成交人书面提出支付申请函及拟支付金额等额的符合采购人财务管理要求的相应发票，采购人确认后启动进度款支付流程，占合同总金额的 </w:t>
      </w:r>
      <w:r>
        <w:rPr>
          <w:rFonts w:hint="eastAsia" w:ascii="宋体" w:hAnsi="宋体" w:eastAsia="宋体" w:cs="宋体"/>
          <w:szCs w:val="21"/>
          <w:u w:val="single"/>
        </w:rPr>
        <w:t>30</w:t>
      </w:r>
      <w:r>
        <w:rPr>
          <w:rFonts w:hint="eastAsia" w:ascii="宋体" w:hAnsi="宋体" w:eastAsia="宋体" w:cs="宋体"/>
          <w:szCs w:val="21"/>
        </w:rPr>
        <w:t xml:space="preserve"> %。</w:t>
      </w:r>
    </w:p>
    <w:p w14:paraId="3E5D85FE">
      <w:pPr>
        <w:numPr>
          <w:ilvl w:val="0"/>
          <w:numId w:val="33"/>
        </w:numPr>
        <w:spacing w:line="360" w:lineRule="auto"/>
        <w:rPr>
          <w:rFonts w:ascii="宋体" w:hAnsi="宋体" w:eastAsia="宋体" w:cs="宋体"/>
          <w:szCs w:val="21"/>
        </w:rPr>
      </w:pPr>
      <w:r>
        <w:rPr>
          <w:rFonts w:hint="eastAsia" w:ascii="宋体" w:hAnsi="宋体" w:eastAsia="宋体" w:cs="宋体"/>
          <w:szCs w:val="21"/>
        </w:rPr>
        <w:t xml:space="preserve">尾款：合同服务期限到期并通过验收后 </w:t>
      </w:r>
      <w:r>
        <w:rPr>
          <w:rFonts w:hint="eastAsia" w:ascii="宋体" w:hAnsi="宋体" w:eastAsia="宋体" w:cs="宋体"/>
          <w:szCs w:val="21"/>
          <w:u w:val="single"/>
        </w:rPr>
        <w:t xml:space="preserve"> 10</w:t>
      </w:r>
      <w:r>
        <w:rPr>
          <w:rFonts w:hint="eastAsia" w:ascii="宋体" w:hAnsi="宋体" w:eastAsia="宋体" w:cs="宋体"/>
          <w:szCs w:val="21"/>
        </w:rPr>
        <w:t xml:space="preserve">  个工作日内，成交人书面提出支付申请函及拟支付金额等额的符合采购人财务管理要求的相应发票，采购人确认后启动尾款支付流程，占合同总金额的</w:t>
      </w:r>
      <w:r>
        <w:rPr>
          <w:rFonts w:hint="eastAsia" w:ascii="宋体" w:hAnsi="宋体" w:eastAsia="宋体" w:cs="宋体"/>
          <w:szCs w:val="21"/>
          <w:u w:val="single"/>
        </w:rPr>
        <w:t xml:space="preserve"> 40</w:t>
      </w:r>
      <w:r>
        <w:rPr>
          <w:rFonts w:hint="eastAsia" w:ascii="宋体" w:hAnsi="宋体" w:eastAsia="宋体" w:cs="宋体"/>
          <w:szCs w:val="21"/>
        </w:rPr>
        <w:t xml:space="preserve"> %。</w:t>
      </w:r>
    </w:p>
    <w:p w14:paraId="24EA283C">
      <w:pPr>
        <w:numPr>
          <w:ilvl w:val="0"/>
          <w:numId w:val="33"/>
        </w:numPr>
        <w:spacing w:line="360" w:lineRule="auto"/>
        <w:rPr>
          <w:rFonts w:ascii="宋体" w:hAnsi="宋体" w:eastAsia="宋体" w:cs="宋体"/>
          <w:szCs w:val="21"/>
        </w:rPr>
      </w:pPr>
      <w:r>
        <w:rPr>
          <w:rFonts w:hint="eastAsia" w:ascii="宋体" w:hAnsi="宋体" w:eastAsia="宋体" w:cs="宋体"/>
          <w:szCs w:val="21"/>
        </w:rPr>
        <w:t>项目合同总价包括了服务期间所有服务费用、设备费用、正常的税金、雇员费用、税费、不可预见费等完成本项目内容所需的一切费用及项目实施过程中应预见和不可预见费用等。成交人不得再向采购人收取任何费用。</w:t>
      </w:r>
    </w:p>
    <w:p w14:paraId="461639CC">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违约责任与赔偿损失</w:t>
      </w:r>
    </w:p>
    <w:p w14:paraId="5DB42332">
      <w:pPr>
        <w:numPr>
          <w:ilvl w:val="0"/>
          <w:numId w:val="34"/>
        </w:numPr>
        <w:spacing w:line="360" w:lineRule="auto"/>
        <w:rPr>
          <w:rFonts w:ascii="宋体" w:hAnsi="宋体" w:eastAsia="宋体" w:cs="宋体"/>
          <w:szCs w:val="21"/>
        </w:rPr>
      </w:pPr>
      <w:r>
        <w:rPr>
          <w:rFonts w:hint="eastAsia" w:ascii="宋体" w:hAnsi="宋体" w:eastAsia="宋体" w:cs="宋体"/>
          <w:szCs w:val="21"/>
        </w:rPr>
        <w:t>成交人在合同签订前未按要求提供相应的项目成员名单，视为成交人违约，采购人有权拒签合同，要求成交人支付合同总价10%违约金，并且给采购人造成的经济损失由成交人承担赔偿责任。</w:t>
      </w:r>
    </w:p>
    <w:p w14:paraId="62B71811">
      <w:pPr>
        <w:numPr>
          <w:ilvl w:val="0"/>
          <w:numId w:val="34"/>
        </w:numPr>
        <w:spacing w:line="360" w:lineRule="auto"/>
        <w:rPr>
          <w:rFonts w:ascii="宋体" w:hAnsi="宋体" w:eastAsia="宋体" w:cs="宋体"/>
          <w:szCs w:val="21"/>
        </w:rPr>
      </w:pPr>
      <w:r>
        <w:rPr>
          <w:rFonts w:hint="eastAsia" w:ascii="宋体" w:hAnsi="宋体" w:eastAsia="宋体" w:cs="宋体"/>
          <w:szCs w:val="21"/>
        </w:rPr>
        <w:t>成交人未按合同要求的时间内完成项目清单内容，从逾期之日起每日按本项目合同总价5‰的数额向采购人支付违约金，期10天以上（含10天）的，采购人有权终止合同，要求成交人支付合同总价10%违约金，并且给采购人造成的经济损失由成交人承担赔偿责任。</w:t>
      </w:r>
    </w:p>
    <w:p w14:paraId="25233B63">
      <w:pPr>
        <w:numPr>
          <w:ilvl w:val="0"/>
          <w:numId w:val="34"/>
        </w:numPr>
        <w:spacing w:line="360" w:lineRule="auto"/>
        <w:rPr>
          <w:rFonts w:ascii="宋体" w:hAnsi="宋体" w:eastAsia="宋体" w:cs="宋体"/>
          <w:szCs w:val="21"/>
        </w:rPr>
      </w:pPr>
      <w:r>
        <w:rPr>
          <w:rFonts w:hint="eastAsia" w:ascii="宋体" w:hAnsi="宋体" w:eastAsia="宋体" w:cs="宋体"/>
          <w:szCs w:val="21"/>
        </w:rPr>
        <w:t>合同期内采购人和成交人双方无正当理由终止合同的，违约方须向守约方支付合同总额 20%的违约金。如因成交人违约导致合同解除的，成交人应返还采购人已支付的全部合同款项。违约金不足以弥补守约方所受损失的，守约方有权进一步追偿。若采购人解除合同后，成交人须在接到采购人解约通知之日起 10 天内退回采购人已支付合同价款。</w:t>
      </w:r>
    </w:p>
    <w:p w14:paraId="53AA1E6E">
      <w:pPr>
        <w:numPr>
          <w:ilvl w:val="0"/>
          <w:numId w:val="34"/>
        </w:numPr>
        <w:spacing w:line="360" w:lineRule="auto"/>
        <w:rPr>
          <w:rFonts w:ascii="宋体" w:hAnsi="宋体" w:eastAsia="宋体" w:cs="宋体"/>
          <w:szCs w:val="21"/>
        </w:rPr>
      </w:pPr>
      <w:r>
        <w:rPr>
          <w:rFonts w:hint="eastAsia" w:ascii="宋体" w:hAnsi="宋体" w:eastAsia="宋体" w:cs="宋体"/>
          <w:szCs w:val="21"/>
        </w:rPr>
        <w:t>合同期内，如成交人出现2次或以上未按合同要求或时间完成服务的，视为成交人严重违约，采购人要求立即解除本项目合同，成交人应返还采购人已支付的全部款项，且采购人有权要求成交人按合同总额20%支付违约金。</w:t>
      </w:r>
    </w:p>
    <w:p w14:paraId="405E3728">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争议解决方式</w:t>
      </w:r>
    </w:p>
    <w:p w14:paraId="7976C129">
      <w:pPr>
        <w:spacing w:line="360" w:lineRule="auto"/>
        <w:ind w:firstLine="420" w:firstLineChars="200"/>
        <w:rPr>
          <w:rFonts w:ascii="宋体" w:hAnsi="宋体" w:eastAsia="宋体" w:cs="宋体"/>
          <w:szCs w:val="21"/>
        </w:rPr>
      </w:pPr>
      <w:r>
        <w:rPr>
          <w:rFonts w:hint="eastAsia" w:ascii="宋体" w:hAnsi="宋体" w:eastAsia="宋体" w:cs="宋体"/>
          <w:szCs w:val="21"/>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5BDD349C">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不可抗力</w:t>
      </w:r>
    </w:p>
    <w:p w14:paraId="5038221B">
      <w:pPr>
        <w:spacing w:line="360" w:lineRule="auto"/>
        <w:ind w:firstLine="420" w:firstLineChars="200"/>
        <w:rPr>
          <w:rFonts w:ascii="宋体" w:hAnsi="宋体" w:eastAsia="宋体" w:cs="宋体"/>
          <w:szCs w:val="21"/>
          <w:lang w:val="zh-CN"/>
        </w:rPr>
      </w:pPr>
      <w:r>
        <w:rPr>
          <w:rFonts w:hint="eastAsia" w:ascii="宋体" w:hAnsi="宋体" w:eastAsia="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szCs w:val="21"/>
          <w:lang w:val="zh-CN"/>
        </w:rPr>
        <w:t>部分或全部免于承担违约责任。</w:t>
      </w:r>
    </w:p>
    <w:p w14:paraId="1481530F">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保密</w:t>
      </w:r>
    </w:p>
    <w:p w14:paraId="405C137B">
      <w:pPr>
        <w:numPr>
          <w:ilvl w:val="0"/>
          <w:numId w:val="35"/>
        </w:numPr>
        <w:spacing w:line="360" w:lineRule="auto"/>
        <w:rPr>
          <w:rFonts w:ascii="宋体" w:hAnsi="宋体" w:eastAsia="宋体" w:cs="宋体"/>
          <w:szCs w:val="21"/>
        </w:rPr>
      </w:pPr>
      <w:r>
        <w:rPr>
          <w:rFonts w:hint="eastAsia" w:ascii="宋体" w:hAnsi="宋体" w:eastAsia="宋体" w:cs="宋体"/>
          <w:szCs w:val="21"/>
        </w:rPr>
        <w:t>成交人必须采取措施对本项目合同实施过程中的技术资料保密，否则，由于成交人过错导致的上述资料泄密的，成交人必须承担一切责任。合同内容完成后，甲、乙双方均有责任对本项目合同的技术保密承担责任。</w:t>
      </w:r>
    </w:p>
    <w:p w14:paraId="276435E5">
      <w:pPr>
        <w:numPr>
          <w:ilvl w:val="0"/>
          <w:numId w:val="35"/>
        </w:numPr>
        <w:spacing w:line="360" w:lineRule="auto"/>
        <w:rPr>
          <w:rFonts w:ascii="宋体" w:hAnsi="宋体" w:eastAsia="宋体" w:cs="宋体"/>
          <w:szCs w:val="21"/>
        </w:rPr>
      </w:pPr>
      <w:r>
        <w:rPr>
          <w:rFonts w:hint="eastAsia" w:ascii="宋体" w:hAnsi="宋体" w:eastAsia="宋体" w:cs="宋体"/>
          <w:szCs w:val="21"/>
        </w:rPr>
        <w:t>未经采购人事先书面同意，成交人不得将由采购人为本项目合同提供的技术资料提供给与本项目合同无关的任何第三方，不得将其用于履行本项目合同之外的其它用途。即使向与履行本项目合同有关的人员提供，也应注意保密并限于履行合同所必需的范围。</w:t>
      </w:r>
    </w:p>
    <w:p w14:paraId="4A744E5C">
      <w:pPr>
        <w:numPr>
          <w:ilvl w:val="0"/>
          <w:numId w:val="35"/>
        </w:numPr>
        <w:spacing w:line="360" w:lineRule="auto"/>
        <w:rPr>
          <w:rFonts w:ascii="宋体" w:hAnsi="宋体" w:eastAsia="宋体" w:cs="宋体"/>
          <w:szCs w:val="21"/>
        </w:rPr>
      </w:pPr>
      <w:r>
        <w:rPr>
          <w:rFonts w:hint="eastAsia" w:ascii="宋体" w:hAnsi="宋体" w:eastAsia="宋体" w:cs="宋体"/>
          <w:szCs w:val="21"/>
        </w:rPr>
        <w:t>如果采购人有要求，成交人在完成合同后应将有关资料还给采购人。</w:t>
      </w:r>
    </w:p>
    <w:p w14:paraId="6AEEF3CA">
      <w:pPr>
        <w:rPr>
          <w:rFonts w:hAnsi="宋体" w:cs="宋体"/>
          <w:color w:val="000000" w:themeColor="text1"/>
          <w:lang w:val="zh-CN"/>
          <w14:textFill>
            <w14:solidFill>
              <w14:schemeClr w14:val="tx1"/>
            </w14:solidFill>
          </w14:textFill>
        </w:rPr>
      </w:pPr>
      <w:r>
        <w:rPr>
          <w:rFonts w:hint="eastAsia" w:hAnsi="宋体" w:cs="宋体"/>
          <w:color w:val="000000" w:themeColor="text1"/>
          <w:lang w:val="zh-CN"/>
          <w14:textFill>
            <w14:solidFill>
              <w14:schemeClr w14:val="tx1"/>
            </w14:solidFill>
          </w14:textFill>
        </w:rPr>
        <w:br w:type="page"/>
      </w:r>
    </w:p>
    <w:p w14:paraId="6C0B7A73">
      <w:pPr>
        <w:pStyle w:val="45"/>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0F65878A">
      <w:pPr>
        <w:pStyle w:val="4"/>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5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2057"/>
        <w:gridCol w:w="4148"/>
        <w:gridCol w:w="1273"/>
        <w:gridCol w:w="1118"/>
        <w:gridCol w:w="882"/>
      </w:tblGrid>
      <w:tr w14:paraId="6865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450D730D">
            <w:pPr>
              <w:jc w:val="center"/>
              <w:rPr>
                <w:rFonts w:ascii="宋体" w:hAnsi="宋体" w:eastAsia="宋体" w:cs="宋体"/>
                <w:b/>
                <w:bCs/>
                <w:szCs w:val="21"/>
              </w:rPr>
            </w:pPr>
            <w:r>
              <w:rPr>
                <w:rFonts w:hint="eastAsia" w:ascii="宋体" w:hAnsi="宋体" w:eastAsia="宋体" w:cs="宋体"/>
                <w:b/>
                <w:bCs/>
                <w:szCs w:val="21"/>
              </w:rPr>
              <w:t>序号</w:t>
            </w:r>
          </w:p>
        </w:tc>
        <w:tc>
          <w:tcPr>
            <w:tcW w:w="1034" w:type="pct"/>
            <w:vAlign w:val="center"/>
          </w:tcPr>
          <w:p w14:paraId="3003A339">
            <w:pPr>
              <w:jc w:val="center"/>
              <w:rPr>
                <w:rFonts w:ascii="宋体" w:hAnsi="宋体" w:eastAsia="宋体" w:cs="宋体"/>
                <w:b/>
                <w:bCs/>
                <w:szCs w:val="21"/>
              </w:rPr>
            </w:pPr>
            <w:r>
              <w:rPr>
                <w:rFonts w:hint="eastAsia" w:ascii="宋体" w:hAnsi="宋体" w:eastAsia="宋体" w:cs="宋体"/>
                <w:b/>
                <w:bCs/>
                <w:szCs w:val="21"/>
              </w:rPr>
              <w:t>项目内容</w:t>
            </w:r>
          </w:p>
        </w:tc>
        <w:tc>
          <w:tcPr>
            <w:tcW w:w="2085" w:type="pct"/>
            <w:vAlign w:val="center"/>
          </w:tcPr>
          <w:p w14:paraId="169991F5">
            <w:pPr>
              <w:jc w:val="center"/>
              <w:rPr>
                <w:rFonts w:ascii="宋体" w:hAnsi="宋体" w:eastAsia="宋体" w:cs="宋体"/>
                <w:b/>
                <w:bCs/>
                <w:szCs w:val="21"/>
              </w:rPr>
            </w:pPr>
            <w:r>
              <w:rPr>
                <w:rFonts w:hint="eastAsia" w:ascii="宋体" w:hAnsi="宋体" w:eastAsia="宋体" w:cs="宋体"/>
                <w:b/>
                <w:bCs/>
                <w:szCs w:val="21"/>
              </w:rPr>
              <w:t>内容详情</w:t>
            </w:r>
          </w:p>
        </w:tc>
        <w:tc>
          <w:tcPr>
            <w:tcW w:w="640" w:type="pct"/>
            <w:vAlign w:val="center"/>
          </w:tcPr>
          <w:p w14:paraId="1C812C16">
            <w:pPr>
              <w:jc w:val="center"/>
              <w:rPr>
                <w:rFonts w:ascii="宋体" w:hAnsi="宋体" w:eastAsia="宋体" w:cs="宋体"/>
                <w:b/>
                <w:bCs/>
                <w:szCs w:val="21"/>
              </w:rPr>
            </w:pPr>
            <w:r>
              <w:rPr>
                <w:rFonts w:hint="eastAsia" w:ascii="宋体" w:hAnsi="宋体" w:eastAsia="宋体" w:cs="宋体"/>
                <w:b/>
                <w:bCs/>
                <w:szCs w:val="21"/>
              </w:rPr>
              <w:t>采购人备注</w:t>
            </w:r>
          </w:p>
        </w:tc>
        <w:tc>
          <w:tcPr>
            <w:tcW w:w="562" w:type="pct"/>
            <w:vAlign w:val="center"/>
          </w:tcPr>
          <w:p w14:paraId="228517CB">
            <w:pPr>
              <w:jc w:val="center"/>
              <w:rPr>
                <w:rFonts w:ascii="宋体" w:hAnsi="宋体" w:eastAsia="宋体" w:cs="宋体"/>
                <w:b/>
                <w:bCs/>
                <w:szCs w:val="21"/>
              </w:rPr>
            </w:pPr>
            <w:r>
              <w:rPr>
                <w:rFonts w:hint="eastAsia" w:ascii="宋体" w:hAnsi="宋体" w:eastAsia="宋体" w:cs="宋体"/>
                <w:b/>
                <w:bCs/>
                <w:szCs w:val="21"/>
              </w:rPr>
              <w:t>报价（元）</w:t>
            </w:r>
          </w:p>
        </w:tc>
        <w:tc>
          <w:tcPr>
            <w:tcW w:w="441" w:type="pct"/>
            <w:vAlign w:val="center"/>
          </w:tcPr>
          <w:p w14:paraId="66EE8B61">
            <w:pPr>
              <w:jc w:val="center"/>
              <w:rPr>
                <w:rFonts w:ascii="宋体" w:hAnsi="宋体" w:eastAsia="宋体" w:cs="宋体"/>
                <w:b/>
                <w:bCs/>
                <w:szCs w:val="21"/>
              </w:rPr>
            </w:pPr>
            <w:r>
              <w:rPr>
                <w:rFonts w:hint="eastAsia" w:ascii="宋体" w:hAnsi="宋体" w:eastAsia="宋体" w:cs="宋体"/>
                <w:b/>
                <w:bCs/>
                <w:szCs w:val="21"/>
              </w:rPr>
              <w:t>供应商备注</w:t>
            </w:r>
          </w:p>
        </w:tc>
      </w:tr>
      <w:tr w14:paraId="111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29D25197">
            <w:pPr>
              <w:jc w:val="center"/>
              <w:rPr>
                <w:rFonts w:ascii="宋体" w:hAnsi="宋体" w:eastAsia="宋体" w:cs="宋体"/>
                <w:szCs w:val="21"/>
              </w:rPr>
            </w:pPr>
            <w:r>
              <w:rPr>
                <w:rFonts w:hint="eastAsia" w:ascii="宋体" w:hAnsi="宋体" w:eastAsia="宋体" w:cs="宋体"/>
                <w:szCs w:val="21"/>
              </w:rPr>
              <w:t>1</w:t>
            </w:r>
          </w:p>
        </w:tc>
        <w:tc>
          <w:tcPr>
            <w:tcW w:w="1034" w:type="pct"/>
            <w:vAlign w:val="center"/>
          </w:tcPr>
          <w:p w14:paraId="0490E527">
            <w:pPr>
              <w:jc w:val="center"/>
              <w:rPr>
                <w:rFonts w:ascii="宋体" w:hAnsi="宋体" w:eastAsia="宋体" w:cs="宋体"/>
                <w:szCs w:val="21"/>
              </w:rPr>
            </w:pPr>
            <w:r>
              <w:rPr>
                <w:rFonts w:hint="eastAsia" w:ascii="宋体" w:hAnsi="宋体" w:eastAsia="宋体" w:cs="宋体"/>
                <w:color w:val="000000"/>
                <w:kern w:val="0"/>
                <w:szCs w:val="21"/>
              </w:rPr>
              <w:t>信息系统等级保护测评服务</w:t>
            </w:r>
          </w:p>
        </w:tc>
        <w:tc>
          <w:tcPr>
            <w:tcW w:w="2085" w:type="pct"/>
            <w:vAlign w:val="center"/>
          </w:tcPr>
          <w:p w14:paraId="45B3ADBC">
            <w:pPr>
              <w:jc w:val="left"/>
              <w:rPr>
                <w:rFonts w:ascii="宋体" w:hAnsi="宋体" w:eastAsia="宋体" w:cs="宋体"/>
                <w:szCs w:val="21"/>
              </w:rPr>
            </w:pPr>
            <w:r>
              <w:rPr>
                <w:rFonts w:hint="eastAsia" w:ascii="宋体" w:hAnsi="宋体" w:eastAsia="宋体" w:cs="宋体"/>
                <w:szCs w:val="21"/>
              </w:rPr>
              <w:t>一个三级系统的等保测评</w:t>
            </w:r>
          </w:p>
        </w:tc>
        <w:tc>
          <w:tcPr>
            <w:tcW w:w="640" w:type="pct"/>
            <w:vAlign w:val="center"/>
          </w:tcPr>
          <w:p w14:paraId="191CD15A">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01982B30">
            <w:pPr>
              <w:jc w:val="center"/>
              <w:rPr>
                <w:rFonts w:ascii="宋体" w:hAnsi="宋体" w:eastAsia="宋体" w:cs="宋体"/>
                <w:szCs w:val="21"/>
              </w:rPr>
            </w:pPr>
          </w:p>
        </w:tc>
        <w:tc>
          <w:tcPr>
            <w:tcW w:w="441" w:type="pct"/>
            <w:vAlign w:val="center"/>
          </w:tcPr>
          <w:p w14:paraId="45BD7A79">
            <w:pPr>
              <w:jc w:val="center"/>
              <w:rPr>
                <w:rFonts w:ascii="宋体" w:hAnsi="宋体" w:eastAsia="宋体" w:cs="宋体"/>
                <w:szCs w:val="21"/>
              </w:rPr>
            </w:pPr>
          </w:p>
        </w:tc>
      </w:tr>
      <w:tr w14:paraId="38C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38F2CED7">
            <w:pPr>
              <w:jc w:val="center"/>
              <w:rPr>
                <w:rFonts w:ascii="宋体" w:hAnsi="宋体" w:eastAsia="宋体" w:cs="宋体"/>
                <w:szCs w:val="21"/>
              </w:rPr>
            </w:pPr>
            <w:r>
              <w:rPr>
                <w:rFonts w:hint="eastAsia" w:ascii="宋体" w:hAnsi="宋体" w:eastAsia="宋体" w:cs="宋体"/>
                <w:szCs w:val="21"/>
              </w:rPr>
              <w:t>2</w:t>
            </w:r>
          </w:p>
        </w:tc>
        <w:tc>
          <w:tcPr>
            <w:tcW w:w="1034" w:type="pct"/>
            <w:vAlign w:val="center"/>
          </w:tcPr>
          <w:p w14:paraId="55F5F1D6">
            <w:pPr>
              <w:jc w:val="center"/>
              <w:rPr>
                <w:rFonts w:ascii="宋体" w:hAnsi="宋体" w:eastAsia="宋体" w:cs="宋体"/>
                <w:szCs w:val="21"/>
              </w:rPr>
            </w:pPr>
            <w:r>
              <w:rPr>
                <w:rFonts w:hint="eastAsia" w:ascii="宋体" w:hAnsi="宋体" w:eastAsia="宋体" w:cs="宋体"/>
                <w:color w:val="000000"/>
                <w:kern w:val="0"/>
                <w:szCs w:val="21"/>
              </w:rPr>
              <w:t>信息系统等级保护整改优化</w:t>
            </w:r>
          </w:p>
        </w:tc>
        <w:tc>
          <w:tcPr>
            <w:tcW w:w="2085" w:type="pct"/>
            <w:vAlign w:val="center"/>
          </w:tcPr>
          <w:p w14:paraId="574B6F84">
            <w:pPr>
              <w:numPr>
                <w:ilvl w:val="0"/>
                <w:numId w:val="36"/>
              </w:numPr>
              <w:jc w:val="left"/>
              <w:rPr>
                <w:rFonts w:ascii="宋体" w:hAnsi="宋体" w:eastAsia="宋体" w:cs="宋体"/>
                <w:color w:val="000000"/>
                <w:kern w:val="0"/>
                <w:szCs w:val="21"/>
              </w:rPr>
            </w:pPr>
            <w:r>
              <w:rPr>
                <w:rFonts w:hint="eastAsia" w:ascii="宋体" w:hAnsi="宋体" w:eastAsia="宋体" w:cs="宋体"/>
                <w:szCs w:val="21"/>
              </w:rPr>
              <w:t>对测评系统进行</w:t>
            </w:r>
            <w:r>
              <w:rPr>
                <w:rFonts w:hint="eastAsia" w:ascii="宋体" w:hAnsi="宋体" w:eastAsia="宋体" w:cs="宋体"/>
                <w:color w:val="000000"/>
                <w:kern w:val="0"/>
                <w:szCs w:val="21"/>
              </w:rPr>
              <w:t>渗透测试、漏洞扫描并整优化以满足等保要求</w:t>
            </w:r>
          </w:p>
          <w:p w14:paraId="0401ED74">
            <w:pPr>
              <w:numPr>
                <w:ilvl w:val="0"/>
                <w:numId w:val="36"/>
              </w:numPr>
              <w:jc w:val="left"/>
              <w:rPr>
                <w:rFonts w:ascii="宋体" w:hAnsi="宋体" w:eastAsia="宋体" w:cs="宋体"/>
                <w:color w:val="000000"/>
                <w:kern w:val="0"/>
                <w:szCs w:val="21"/>
              </w:rPr>
            </w:pPr>
            <w:r>
              <w:rPr>
                <w:rFonts w:hint="eastAsia" w:ascii="宋体" w:hAnsi="宋体" w:eastAsia="宋体" w:cs="宋体"/>
                <w:color w:val="000000"/>
                <w:kern w:val="0"/>
                <w:szCs w:val="21"/>
              </w:rPr>
              <w:t>对管理制度审核、建设以满足等保要求</w:t>
            </w:r>
          </w:p>
          <w:p w14:paraId="58FF2E17">
            <w:pPr>
              <w:numPr>
                <w:ilvl w:val="0"/>
                <w:numId w:val="36"/>
              </w:numPr>
              <w:jc w:val="left"/>
              <w:rPr>
                <w:rFonts w:ascii="宋体" w:hAnsi="宋体" w:eastAsia="宋体" w:cs="宋体"/>
                <w:color w:val="000000"/>
                <w:kern w:val="0"/>
                <w:szCs w:val="21"/>
              </w:rPr>
            </w:pPr>
            <w:r>
              <w:rPr>
                <w:rFonts w:hint="eastAsia" w:ascii="宋体" w:hAnsi="宋体" w:eastAsia="宋体" w:cs="宋体"/>
                <w:color w:val="000000"/>
                <w:kern w:val="0"/>
                <w:szCs w:val="21"/>
              </w:rPr>
              <w:t>对测评系统差距分析、风险评估并整改优化以满足等保要求</w:t>
            </w:r>
          </w:p>
        </w:tc>
        <w:tc>
          <w:tcPr>
            <w:tcW w:w="640" w:type="pct"/>
            <w:vAlign w:val="center"/>
          </w:tcPr>
          <w:p w14:paraId="509815FA">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758FE7B1">
            <w:pPr>
              <w:jc w:val="center"/>
              <w:rPr>
                <w:rFonts w:ascii="宋体" w:hAnsi="宋体" w:eastAsia="宋体" w:cs="宋体"/>
                <w:szCs w:val="21"/>
              </w:rPr>
            </w:pPr>
          </w:p>
        </w:tc>
        <w:tc>
          <w:tcPr>
            <w:tcW w:w="441" w:type="pct"/>
            <w:vAlign w:val="center"/>
          </w:tcPr>
          <w:p w14:paraId="2CB86345">
            <w:pPr>
              <w:jc w:val="center"/>
              <w:rPr>
                <w:rFonts w:ascii="宋体" w:hAnsi="宋体" w:eastAsia="宋体" w:cs="宋体"/>
                <w:szCs w:val="21"/>
              </w:rPr>
            </w:pPr>
          </w:p>
        </w:tc>
      </w:tr>
      <w:tr w14:paraId="5BF2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7A7130CD">
            <w:pPr>
              <w:jc w:val="center"/>
              <w:rPr>
                <w:rFonts w:ascii="宋体" w:hAnsi="宋体" w:eastAsia="宋体" w:cs="宋体"/>
                <w:szCs w:val="21"/>
              </w:rPr>
            </w:pPr>
            <w:r>
              <w:rPr>
                <w:rFonts w:hint="eastAsia" w:ascii="宋体" w:hAnsi="宋体" w:eastAsia="宋体" w:cs="宋体"/>
                <w:szCs w:val="21"/>
              </w:rPr>
              <w:t>3</w:t>
            </w:r>
          </w:p>
        </w:tc>
        <w:tc>
          <w:tcPr>
            <w:tcW w:w="1034" w:type="pct"/>
            <w:vAlign w:val="center"/>
          </w:tcPr>
          <w:p w14:paraId="636A1E7C">
            <w:pPr>
              <w:jc w:val="center"/>
              <w:rPr>
                <w:rFonts w:ascii="宋体" w:hAnsi="宋体" w:eastAsia="宋体" w:cs="宋体"/>
                <w:color w:val="000000"/>
                <w:kern w:val="0"/>
                <w:szCs w:val="21"/>
              </w:rPr>
            </w:pPr>
            <w:r>
              <w:rPr>
                <w:rFonts w:hint="eastAsia" w:ascii="宋体" w:hAnsi="宋体" w:eastAsia="宋体" w:cs="宋体"/>
                <w:color w:val="000000"/>
                <w:kern w:val="0"/>
                <w:szCs w:val="21"/>
              </w:rPr>
              <w:t>安全加固服务</w:t>
            </w:r>
          </w:p>
        </w:tc>
        <w:tc>
          <w:tcPr>
            <w:tcW w:w="2085" w:type="pct"/>
            <w:vAlign w:val="center"/>
          </w:tcPr>
          <w:p w14:paraId="7920582E">
            <w:pPr>
              <w:jc w:val="left"/>
              <w:rPr>
                <w:rFonts w:ascii="宋体" w:hAnsi="宋体" w:eastAsia="宋体" w:cs="宋体"/>
                <w:color w:val="000000"/>
                <w:kern w:val="0"/>
                <w:szCs w:val="21"/>
              </w:rPr>
            </w:pPr>
            <w:r>
              <w:rPr>
                <w:rFonts w:hint="eastAsia" w:ascii="宋体" w:hAnsi="宋体" w:eastAsia="宋体" w:cs="宋体"/>
                <w:color w:val="000000"/>
                <w:kern w:val="0"/>
                <w:szCs w:val="21"/>
              </w:rPr>
              <w:t>对全狱终端，服务器，业务系统，安全设备、网络进行漏洞扫描、修复（要求每月现场驻场处置时间不少于3个工作日）</w:t>
            </w:r>
          </w:p>
        </w:tc>
        <w:tc>
          <w:tcPr>
            <w:tcW w:w="640" w:type="pct"/>
            <w:vAlign w:val="center"/>
          </w:tcPr>
          <w:p w14:paraId="68E3D472">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0759FD72">
            <w:pPr>
              <w:jc w:val="center"/>
              <w:rPr>
                <w:rFonts w:ascii="宋体" w:hAnsi="宋体" w:eastAsia="宋体" w:cs="宋体"/>
                <w:szCs w:val="21"/>
              </w:rPr>
            </w:pPr>
          </w:p>
        </w:tc>
        <w:tc>
          <w:tcPr>
            <w:tcW w:w="441" w:type="pct"/>
            <w:vAlign w:val="center"/>
          </w:tcPr>
          <w:p w14:paraId="225CC4B3">
            <w:pPr>
              <w:jc w:val="center"/>
              <w:rPr>
                <w:rFonts w:ascii="宋体" w:hAnsi="宋体" w:eastAsia="宋体" w:cs="宋体"/>
                <w:szCs w:val="21"/>
              </w:rPr>
            </w:pPr>
          </w:p>
        </w:tc>
      </w:tr>
      <w:tr w14:paraId="1E6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0C175F73">
            <w:pPr>
              <w:jc w:val="center"/>
              <w:rPr>
                <w:rFonts w:ascii="宋体" w:hAnsi="宋体" w:eastAsia="宋体" w:cs="宋体"/>
                <w:szCs w:val="21"/>
              </w:rPr>
            </w:pPr>
            <w:r>
              <w:rPr>
                <w:rFonts w:hint="eastAsia" w:ascii="宋体" w:hAnsi="宋体" w:eastAsia="宋体" w:cs="宋体"/>
                <w:szCs w:val="21"/>
              </w:rPr>
              <w:t>4</w:t>
            </w:r>
          </w:p>
        </w:tc>
        <w:tc>
          <w:tcPr>
            <w:tcW w:w="1034" w:type="pct"/>
            <w:vMerge w:val="restart"/>
            <w:vAlign w:val="center"/>
          </w:tcPr>
          <w:p w14:paraId="77B577F2">
            <w:pPr>
              <w:jc w:val="center"/>
              <w:rPr>
                <w:rFonts w:ascii="宋体" w:hAnsi="宋体" w:eastAsia="宋体" w:cs="宋体"/>
                <w:szCs w:val="21"/>
              </w:rPr>
            </w:pPr>
            <w:r>
              <w:rPr>
                <w:rFonts w:hint="eastAsia" w:ascii="宋体" w:hAnsi="宋体" w:eastAsia="宋体" w:cs="宋体"/>
                <w:color w:val="000000"/>
                <w:kern w:val="0"/>
                <w:szCs w:val="21"/>
              </w:rPr>
              <w:t>网络安全设备病毒库，特征库升级服务，审计系统授权数升级服务</w:t>
            </w:r>
          </w:p>
        </w:tc>
        <w:tc>
          <w:tcPr>
            <w:tcW w:w="2085" w:type="pct"/>
            <w:vAlign w:val="center"/>
          </w:tcPr>
          <w:p w14:paraId="07C76F76">
            <w:pPr>
              <w:jc w:val="left"/>
              <w:rPr>
                <w:rFonts w:ascii="宋体" w:hAnsi="宋体" w:eastAsia="宋体" w:cs="宋体"/>
                <w:szCs w:val="21"/>
              </w:rPr>
            </w:pPr>
            <w:r>
              <w:rPr>
                <w:rFonts w:hint="eastAsia" w:ascii="宋体" w:hAnsi="宋体" w:eastAsia="宋体" w:cs="宋体"/>
                <w:color w:val="000000"/>
                <w:kern w:val="0"/>
                <w:szCs w:val="21"/>
              </w:rPr>
              <w:t>天融信应用安全网关系统（IDP特征库、WEB过滤库、专业版快速扫描查杀防病毒库、应用识别特征库升级服务许可,适用于NU-31116产品(绑SN)）</w:t>
            </w:r>
          </w:p>
        </w:tc>
        <w:tc>
          <w:tcPr>
            <w:tcW w:w="640" w:type="pct"/>
            <w:vAlign w:val="center"/>
          </w:tcPr>
          <w:p w14:paraId="090BAEC1">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203BCE06">
            <w:pPr>
              <w:jc w:val="center"/>
              <w:rPr>
                <w:rFonts w:ascii="宋体" w:hAnsi="宋体" w:eastAsia="宋体" w:cs="宋体"/>
                <w:szCs w:val="21"/>
              </w:rPr>
            </w:pPr>
          </w:p>
        </w:tc>
        <w:tc>
          <w:tcPr>
            <w:tcW w:w="441" w:type="pct"/>
            <w:vAlign w:val="center"/>
          </w:tcPr>
          <w:p w14:paraId="315B8097">
            <w:pPr>
              <w:jc w:val="center"/>
              <w:rPr>
                <w:rFonts w:ascii="宋体" w:hAnsi="宋体" w:eastAsia="宋体" w:cs="宋体"/>
                <w:szCs w:val="21"/>
              </w:rPr>
            </w:pPr>
          </w:p>
        </w:tc>
      </w:tr>
      <w:tr w14:paraId="4A2C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088FBB13">
            <w:pPr>
              <w:jc w:val="center"/>
              <w:rPr>
                <w:rFonts w:ascii="宋体" w:hAnsi="宋体" w:eastAsia="宋体" w:cs="宋体"/>
                <w:szCs w:val="21"/>
              </w:rPr>
            </w:pPr>
            <w:r>
              <w:rPr>
                <w:rFonts w:hint="eastAsia" w:ascii="宋体" w:hAnsi="宋体" w:eastAsia="宋体" w:cs="宋体"/>
                <w:szCs w:val="21"/>
              </w:rPr>
              <w:t>5</w:t>
            </w:r>
          </w:p>
        </w:tc>
        <w:tc>
          <w:tcPr>
            <w:tcW w:w="1034" w:type="pct"/>
            <w:vMerge w:val="continue"/>
            <w:vAlign w:val="center"/>
          </w:tcPr>
          <w:p w14:paraId="0D0877B6">
            <w:pPr>
              <w:jc w:val="center"/>
              <w:rPr>
                <w:rFonts w:ascii="宋体" w:hAnsi="宋体" w:eastAsia="宋体" w:cs="宋体"/>
                <w:szCs w:val="21"/>
              </w:rPr>
            </w:pPr>
          </w:p>
        </w:tc>
        <w:tc>
          <w:tcPr>
            <w:tcW w:w="2085" w:type="pct"/>
            <w:vAlign w:val="center"/>
          </w:tcPr>
          <w:p w14:paraId="18E53040">
            <w:pPr>
              <w:jc w:val="left"/>
              <w:rPr>
                <w:rFonts w:ascii="宋体" w:hAnsi="宋体" w:eastAsia="宋体" w:cs="宋体"/>
                <w:szCs w:val="21"/>
              </w:rPr>
            </w:pPr>
            <w:r>
              <w:rPr>
                <w:rFonts w:hint="eastAsia" w:ascii="宋体" w:hAnsi="宋体" w:eastAsia="宋体" w:cs="宋体"/>
                <w:color w:val="000000"/>
                <w:kern w:val="0"/>
                <w:szCs w:val="21"/>
              </w:rPr>
              <w:t>天融信Web应用安全防护系统（WAF产品特征库升级License,适用于TWF-52116产品(绑SN)）</w:t>
            </w:r>
          </w:p>
        </w:tc>
        <w:tc>
          <w:tcPr>
            <w:tcW w:w="640" w:type="pct"/>
            <w:vAlign w:val="center"/>
          </w:tcPr>
          <w:p w14:paraId="2B78C465">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5313128F">
            <w:pPr>
              <w:jc w:val="center"/>
              <w:rPr>
                <w:rFonts w:ascii="宋体" w:hAnsi="宋体" w:eastAsia="宋体" w:cs="宋体"/>
                <w:szCs w:val="21"/>
              </w:rPr>
            </w:pPr>
          </w:p>
        </w:tc>
        <w:tc>
          <w:tcPr>
            <w:tcW w:w="441" w:type="pct"/>
            <w:vAlign w:val="center"/>
          </w:tcPr>
          <w:p w14:paraId="1DBBD6D0">
            <w:pPr>
              <w:jc w:val="center"/>
              <w:rPr>
                <w:rFonts w:ascii="宋体" w:hAnsi="宋体" w:eastAsia="宋体" w:cs="宋体"/>
                <w:szCs w:val="21"/>
              </w:rPr>
            </w:pPr>
          </w:p>
        </w:tc>
      </w:tr>
      <w:tr w14:paraId="5FB6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2C521D27">
            <w:pPr>
              <w:jc w:val="center"/>
              <w:rPr>
                <w:rFonts w:ascii="宋体" w:hAnsi="宋体" w:eastAsia="宋体" w:cs="宋体"/>
                <w:szCs w:val="21"/>
              </w:rPr>
            </w:pPr>
            <w:r>
              <w:rPr>
                <w:rFonts w:hint="eastAsia" w:ascii="宋体" w:hAnsi="宋体" w:eastAsia="宋体" w:cs="宋体"/>
                <w:szCs w:val="21"/>
              </w:rPr>
              <w:t>6</w:t>
            </w:r>
          </w:p>
        </w:tc>
        <w:tc>
          <w:tcPr>
            <w:tcW w:w="1034" w:type="pct"/>
            <w:vMerge w:val="continue"/>
            <w:vAlign w:val="center"/>
          </w:tcPr>
          <w:p w14:paraId="65352221">
            <w:pPr>
              <w:jc w:val="center"/>
              <w:rPr>
                <w:rFonts w:ascii="宋体" w:hAnsi="宋体" w:eastAsia="宋体" w:cs="宋体"/>
                <w:szCs w:val="21"/>
              </w:rPr>
            </w:pPr>
          </w:p>
        </w:tc>
        <w:tc>
          <w:tcPr>
            <w:tcW w:w="2085" w:type="pct"/>
            <w:vAlign w:val="center"/>
          </w:tcPr>
          <w:p w14:paraId="426B3856">
            <w:pPr>
              <w:jc w:val="left"/>
              <w:rPr>
                <w:rFonts w:ascii="宋体" w:hAnsi="宋体" w:eastAsia="宋体" w:cs="宋体"/>
                <w:color w:val="000000"/>
                <w:kern w:val="0"/>
                <w:szCs w:val="21"/>
              </w:rPr>
            </w:pPr>
            <w:r>
              <w:rPr>
                <w:rFonts w:hint="eastAsia" w:ascii="宋体" w:hAnsi="宋体" w:eastAsia="宋体" w:cs="宋体"/>
                <w:szCs w:val="21"/>
              </w:rPr>
              <w:t>天融信安全管理系统V3(日志服务器系统），原许可型号TAEX_S，许可类型396e0c65，升级版本或提供全新版本。</w:t>
            </w:r>
          </w:p>
        </w:tc>
        <w:tc>
          <w:tcPr>
            <w:tcW w:w="640" w:type="pct"/>
            <w:vAlign w:val="center"/>
          </w:tcPr>
          <w:p w14:paraId="265D07BF">
            <w:pPr>
              <w:jc w:val="center"/>
              <w:rPr>
                <w:rFonts w:ascii="宋体" w:hAnsi="宋体" w:eastAsia="宋体" w:cs="宋体"/>
                <w:szCs w:val="21"/>
              </w:rPr>
            </w:pPr>
            <w:r>
              <w:rPr>
                <w:rFonts w:hint="eastAsia" w:ascii="宋体" w:hAnsi="宋体" w:eastAsia="宋体" w:cs="宋体"/>
                <w:szCs w:val="21"/>
              </w:rPr>
              <w:t>永久授权</w:t>
            </w:r>
          </w:p>
        </w:tc>
        <w:tc>
          <w:tcPr>
            <w:tcW w:w="562" w:type="pct"/>
            <w:vAlign w:val="center"/>
          </w:tcPr>
          <w:p w14:paraId="59FEEF52">
            <w:pPr>
              <w:jc w:val="center"/>
              <w:rPr>
                <w:rFonts w:ascii="宋体" w:hAnsi="宋体" w:eastAsia="宋体" w:cs="宋体"/>
                <w:szCs w:val="21"/>
              </w:rPr>
            </w:pPr>
          </w:p>
        </w:tc>
        <w:tc>
          <w:tcPr>
            <w:tcW w:w="441" w:type="pct"/>
            <w:vAlign w:val="center"/>
          </w:tcPr>
          <w:p w14:paraId="242FFAD3">
            <w:pPr>
              <w:jc w:val="center"/>
              <w:rPr>
                <w:rFonts w:ascii="宋体" w:hAnsi="宋体" w:eastAsia="宋体" w:cs="宋体"/>
                <w:szCs w:val="21"/>
              </w:rPr>
            </w:pPr>
          </w:p>
        </w:tc>
      </w:tr>
      <w:tr w14:paraId="588A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6F183829">
            <w:pPr>
              <w:jc w:val="center"/>
              <w:rPr>
                <w:rFonts w:ascii="宋体" w:hAnsi="宋体" w:eastAsia="宋体" w:cs="宋体"/>
                <w:szCs w:val="21"/>
              </w:rPr>
            </w:pPr>
            <w:r>
              <w:rPr>
                <w:rFonts w:hint="eastAsia" w:ascii="宋体" w:hAnsi="宋体" w:eastAsia="宋体" w:cs="宋体"/>
                <w:szCs w:val="21"/>
              </w:rPr>
              <w:t>7</w:t>
            </w:r>
          </w:p>
        </w:tc>
        <w:tc>
          <w:tcPr>
            <w:tcW w:w="1034" w:type="pct"/>
            <w:vAlign w:val="center"/>
          </w:tcPr>
          <w:p w14:paraId="0F2F601A">
            <w:pPr>
              <w:jc w:val="center"/>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tc>
        <w:tc>
          <w:tcPr>
            <w:tcW w:w="2085" w:type="pct"/>
            <w:vAlign w:val="center"/>
          </w:tcPr>
          <w:p w14:paraId="27868BCE">
            <w:pPr>
              <w:numPr>
                <w:ilvl w:val="0"/>
                <w:numId w:val="37"/>
              </w:numPr>
              <w:jc w:val="left"/>
              <w:rPr>
                <w:rFonts w:ascii="宋体" w:hAnsi="宋体" w:eastAsia="宋体" w:cs="宋体"/>
                <w:szCs w:val="21"/>
              </w:rPr>
            </w:pPr>
            <w:r>
              <w:rPr>
                <w:rFonts w:hint="eastAsia" w:ascii="宋体" w:hAnsi="宋体" w:eastAsia="宋体" w:cs="宋体"/>
                <w:szCs w:val="21"/>
              </w:rPr>
              <w:t>网络安全事件应急处置（现场）</w:t>
            </w:r>
          </w:p>
          <w:p w14:paraId="6FAE26D0">
            <w:pPr>
              <w:numPr>
                <w:ilvl w:val="0"/>
                <w:numId w:val="37"/>
              </w:numPr>
              <w:jc w:val="left"/>
              <w:rPr>
                <w:rFonts w:ascii="宋体" w:hAnsi="宋体" w:eastAsia="宋体" w:cs="宋体"/>
                <w:szCs w:val="21"/>
              </w:rPr>
            </w:pPr>
            <w:r>
              <w:rPr>
                <w:rFonts w:hint="eastAsia" w:ascii="宋体" w:hAnsi="宋体" w:eastAsia="宋体" w:cs="宋体"/>
                <w:szCs w:val="21"/>
              </w:rPr>
              <w:t>节假日提供网络安全检查及运维协助</w:t>
            </w:r>
          </w:p>
          <w:p w14:paraId="0713F69F">
            <w:pPr>
              <w:pStyle w:val="2"/>
              <w:numPr>
                <w:ilvl w:val="0"/>
                <w:numId w:val="37"/>
              </w:numPr>
              <w:spacing w:line="240" w:lineRule="auto"/>
              <w:ind w:firstLine="0" w:firstLineChars="0"/>
              <w:rPr>
                <w:rFonts w:ascii="宋体" w:hAnsi="宋体" w:cs="宋体"/>
                <w:szCs w:val="21"/>
              </w:rPr>
            </w:pPr>
            <w:r>
              <w:rPr>
                <w:rFonts w:hint="eastAsia" w:ascii="宋体" w:hAnsi="宋体" w:cs="宋体"/>
                <w:szCs w:val="21"/>
              </w:rPr>
              <w:t>组织网络安全应急演练一次</w:t>
            </w:r>
          </w:p>
        </w:tc>
        <w:tc>
          <w:tcPr>
            <w:tcW w:w="640" w:type="pct"/>
            <w:vAlign w:val="center"/>
          </w:tcPr>
          <w:p w14:paraId="23E8EB62">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399ADC3A">
            <w:pPr>
              <w:jc w:val="center"/>
              <w:rPr>
                <w:rFonts w:ascii="宋体" w:hAnsi="宋体" w:eastAsia="宋体" w:cs="宋体"/>
                <w:szCs w:val="21"/>
              </w:rPr>
            </w:pPr>
          </w:p>
        </w:tc>
        <w:tc>
          <w:tcPr>
            <w:tcW w:w="441" w:type="pct"/>
            <w:vAlign w:val="center"/>
          </w:tcPr>
          <w:p w14:paraId="04FF7DCF">
            <w:pPr>
              <w:jc w:val="center"/>
              <w:rPr>
                <w:rFonts w:ascii="宋体" w:hAnsi="宋体" w:eastAsia="宋体" w:cs="宋体"/>
                <w:szCs w:val="21"/>
              </w:rPr>
            </w:pPr>
          </w:p>
        </w:tc>
      </w:tr>
      <w:tr w14:paraId="5C36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4357FCC2">
            <w:pPr>
              <w:jc w:val="center"/>
              <w:rPr>
                <w:rFonts w:ascii="宋体" w:hAnsi="宋体" w:eastAsia="宋体" w:cs="宋体"/>
                <w:szCs w:val="21"/>
              </w:rPr>
            </w:pPr>
            <w:r>
              <w:rPr>
                <w:rFonts w:hint="eastAsia" w:ascii="宋体" w:hAnsi="宋体" w:eastAsia="宋体" w:cs="宋体"/>
                <w:szCs w:val="21"/>
              </w:rPr>
              <w:t>8</w:t>
            </w:r>
          </w:p>
        </w:tc>
        <w:tc>
          <w:tcPr>
            <w:tcW w:w="1034" w:type="pct"/>
            <w:vAlign w:val="center"/>
          </w:tcPr>
          <w:p w14:paraId="218868CF">
            <w:pPr>
              <w:jc w:val="center"/>
              <w:rPr>
                <w:rFonts w:ascii="宋体" w:hAnsi="宋体" w:eastAsia="宋体" w:cs="宋体"/>
                <w:szCs w:val="21"/>
              </w:rPr>
            </w:pPr>
            <w:r>
              <w:rPr>
                <w:rFonts w:hint="eastAsia" w:ascii="宋体" w:hAnsi="宋体" w:eastAsia="宋体" w:cs="宋体"/>
                <w:color w:val="000000"/>
                <w:kern w:val="0"/>
                <w:szCs w:val="21"/>
              </w:rPr>
              <w:t>网络安全培训</w:t>
            </w:r>
          </w:p>
        </w:tc>
        <w:tc>
          <w:tcPr>
            <w:tcW w:w="2085" w:type="pct"/>
            <w:vAlign w:val="center"/>
          </w:tcPr>
          <w:p w14:paraId="092987DF">
            <w:pPr>
              <w:numPr>
                <w:ilvl w:val="0"/>
                <w:numId w:val="38"/>
              </w:numPr>
              <w:jc w:val="left"/>
              <w:rPr>
                <w:rFonts w:ascii="宋体" w:hAnsi="宋体" w:eastAsia="宋体" w:cs="宋体"/>
                <w:szCs w:val="21"/>
              </w:rPr>
            </w:pPr>
            <w:r>
              <w:rPr>
                <w:rFonts w:hint="eastAsia" w:ascii="宋体" w:hAnsi="宋体" w:eastAsia="宋体" w:cs="宋体"/>
                <w:szCs w:val="21"/>
              </w:rPr>
              <w:t>组织本地网络安全知识培训一次（具体培训时间由成交供应商与采购人进行协商确认）</w:t>
            </w:r>
          </w:p>
          <w:p w14:paraId="194E321B">
            <w:pPr>
              <w:pStyle w:val="2"/>
              <w:numPr>
                <w:ilvl w:val="0"/>
                <w:numId w:val="38"/>
              </w:numPr>
              <w:spacing w:line="240" w:lineRule="auto"/>
              <w:ind w:firstLine="0" w:firstLineChars="0"/>
              <w:rPr>
                <w:rFonts w:ascii="宋体" w:hAnsi="宋体" w:cs="宋体"/>
                <w:szCs w:val="21"/>
              </w:rPr>
            </w:pPr>
            <w:r>
              <w:rPr>
                <w:rFonts w:hint="eastAsia" w:ascii="宋体" w:hAnsi="宋体" w:cs="宋体"/>
                <w:szCs w:val="21"/>
              </w:rPr>
              <w:t>提供不少于2人次CISP(或同等国家认证）线下培训课程服务与考试领证服务</w:t>
            </w:r>
          </w:p>
        </w:tc>
        <w:tc>
          <w:tcPr>
            <w:tcW w:w="640" w:type="pct"/>
            <w:vAlign w:val="center"/>
          </w:tcPr>
          <w:p w14:paraId="67E50335">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57B8FA72">
            <w:pPr>
              <w:jc w:val="center"/>
              <w:rPr>
                <w:rFonts w:ascii="宋体" w:hAnsi="宋体" w:eastAsia="宋体" w:cs="宋体"/>
                <w:szCs w:val="21"/>
              </w:rPr>
            </w:pPr>
          </w:p>
        </w:tc>
        <w:tc>
          <w:tcPr>
            <w:tcW w:w="441" w:type="pct"/>
            <w:vAlign w:val="center"/>
          </w:tcPr>
          <w:p w14:paraId="6E6CBA5B">
            <w:pPr>
              <w:jc w:val="center"/>
              <w:rPr>
                <w:rFonts w:ascii="宋体" w:hAnsi="宋体" w:eastAsia="宋体" w:cs="宋体"/>
                <w:szCs w:val="21"/>
              </w:rPr>
            </w:pPr>
          </w:p>
        </w:tc>
      </w:tr>
      <w:tr w14:paraId="1A73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vAlign w:val="center"/>
          </w:tcPr>
          <w:p w14:paraId="2716381F">
            <w:pPr>
              <w:jc w:val="left"/>
              <w:rPr>
                <w:rFonts w:ascii="宋体" w:hAnsi="宋体" w:eastAsia="宋体" w:cs="宋体"/>
                <w:szCs w:val="21"/>
              </w:rPr>
            </w:pPr>
            <w:r>
              <w:rPr>
                <w:rFonts w:hint="eastAsia" w:ascii="宋体" w:hAnsi="宋体" w:eastAsia="宋体" w:cs="宋体"/>
                <w:b/>
                <w:bCs/>
                <w:szCs w:val="21"/>
              </w:rPr>
              <w:t>合计（各项报价之和）：人民币</w:t>
            </w:r>
            <w:r>
              <w:rPr>
                <w:rFonts w:hint="eastAsia" w:ascii="宋体" w:hAnsi="宋体" w:eastAsia="宋体" w:cs="宋体"/>
                <w:b/>
                <w:bCs/>
                <w:szCs w:val="21"/>
                <w:u w:val="single"/>
              </w:rPr>
              <w:t xml:space="preserve">   </w:t>
            </w:r>
            <w:r>
              <w:rPr>
                <w:rFonts w:hint="eastAsia" w:ascii="宋体" w:hAnsi="宋体" w:eastAsia="宋体" w:cs="宋体"/>
                <w:b/>
                <w:bCs/>
                <w:szCs w:val="21"/>
              </w:rPr>
              <w:t>元</w:t>
            </w:r>
          </w:p>
        </w:tc>
      </w:tr>
    </w:tbl>
    <w:p w14:paraId="643EA999">
      <w:pPr>
        <w:spacing w:line="500" w:lineRule="exact"/>
        <w:rPr>
          <w:rFonts w:ascii="宋体" w:hAnsi="宋体" w:eastAsia="宋体" w:cs="宋体"/>
          <w:b/>
          <w:color w:val="000000" w:themeColor="text1"/>
          <w:spacing w:val="4"/>
          <w:szCs w:val="21"/>
          <w14:textFill>
            <w14:solidFill>
              <w14:schemeClr w14:val="tx1"/>
            </w14:solidFill>
          </w14:textFill>
        </w:rPr>
      </w:pPr>
    </w:p>
    <w:p w14:paraId="52FD2F31">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5608581F">
      <w:pPr>
        <w:numPr>
          <w:ilvl w:val="0"/>
          <w:numId w:val="39"/>
        </w:numPr>
        <w:spacing w:line="360" w:lineRule="auto"/>
        <w:rPr>
          <w:rFonts w:ascii="宋体" w:hAnsi="宋体" w:cs="宋体"/>
          <w:b/>
          <w:bCs/>
          <w:kern w:val="0"/>
          <w:u w:val="single"/>
        </w:rPr>
      </w:pPr>
      <w:r>
        <w:rPr>
          <w:rFonts w:hint="eastAsia" w:ascii="宋体" w:hAnsi="宋体" w:cs="宋体"/>
          <w:b/>
          <w:bCs/>
          <w:kern w:val="0"/>
          <w:u w:val="single"/>
        </w:rPr>
        <w:t>供应商必须按报价表的格式填写，不得增加或删除表格内容。除品牌型号、单价、金额或项目要求填写的内容外，不得擅自改动报价表内容，否则将有可能影响成交结果，不推荐为成交候选人；</w:t>
      </w:r>
    </w:p>
    <w:p w14:paraId="192977A1">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所有价格均系用人民币表示，单位为元，均为含税价；</w:t>
      </w:r>
    </w:p>
    <w:p w14:paraId="66DF1136">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b/>
          <w:bCs/>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6A42786">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平台上报价与报价表合计不一致的，以报价表合计（经价格核准后的价格）为准；</w:t>
      </w:r>
    </w:p>
    <w:p w14:paraId="328D1087">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供应商报价表必须加盖公章，否则视作无效报价。</w:t>
      </w:r>
    </w:p>
    <w:p w14:paraId="68BFE481">
      <w:pPr>
        <w:pStyle w:val="44"/>
        <w:shd w:val="clear" w:color="auto" w:fill="FFFFFF"/>
        <w:spacing w:before="0" w:beforeAutospacing="0" w:after="0" w:afterAutospacing="0" w:line="360" w:lineRule="auto"/>
        <w:ind w:left="420"/>
        <w:rPr>
          <w:b/>
          <w:color w:val="000000" w:themeColor="text1"/>
          <w:sz w:val="21"/>
          <w:szCs w:val="21"/>
          <w14:textFill>
            <w14:solidFill>
              <w14:schemeClr w14:val="tx1"/>
            </w14:solidFill>
          </w14:textFill>
        </w:rPr>
      </w:pPr>
    </w:p>
    <w:p w14:paraId="24AE246C">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47B80ADE">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A85B2FF">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7630E45C">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CB583D9">
      <w:pPr>
        <w:pStyle w:val="4"/>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6A90015C">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319104FC">
      <w:pPr>
        <w:spacing w:line="360" w:lineRule="auto"/>
        <w:rPr>
          <w:rFonts w:ascii="宋体" w:hAnsi="宋体" w:eastAsia="宋体" w:cs="宋体"/>
          <w:color w:val="000000" w:themeColor="text1"/>
          <w:lang w:val="zh-CN"/>
          <w14:textFill>
            <w14:solidFill>
              <w14:schemeClr w14:val="tx1"/>
            </w14:solidFill>
          </w14:textFill>
        </w:rPr>
      </w:pPr>
    </w:p>
    <w:p w14:paraId="2378F3DE">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广东省肇庆监狱2025年网络安全保障服务项目（第二次）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72304797">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13751AF">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02457AB9">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E81BE02">
      <w:pPr>
        <w:pStyle w:val="59"/>
        <w:numPr>
          <w:ilvl w:val="0"/>
          <w:numId w:val="40"/>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263326A">
      <w:pPr>
        <w:pStyle w:val="59"/>
        <w:numPr>
          <w:ilvl w:val="0"/>
          <w:numId w:val="40"/>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0291D544">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2FAF537E">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422CEAE">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765FEC1C">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8F1D499">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5075D71C">
      <w:pPr>
        <w:spacing w:line="360" w:lineRule="auto"/>
        <w:rPr>
          <w:rFonts w:ascii="宋体" w:hAnsi="宋体" w:eastAsia="宋体" w:cs="宋体"/>
          <w:color w:val="000000" w:themeColor="text1"/>
          <w14:textFill>
            <w14:solidFill>
              <w14:schemeClr w14:val="tx1"/>
            </w14:solidFill>
          </w14:textFill>
        </w:rPr>
      </w:pPr>
    </w:p>
    <w:p w14:paraId="53CA2BBB">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DFC879E">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BEB7458">
      <w:pPr>
        <w:rPr>
          <w:rFonts w:ascii="宋体" w:hAnsi="宋体" w:eastAsia="宋体" w:cs="宋体"/>
          <w:b/>
          <w:color w:val="000000" w:themeColor="text1"/>
          <w:szCs w:val="24"/>
          <w14:textFill>
            <w14:solidFill>
              <w14:schemeClr w14:val="tx1"/>
            </w14:solidFill>
          </w14:textFill>
        </w:rPr>
      </w:pPr>
    </w:p>
    <w:p w14:paraId="02DB1370">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9855D65">
      <w:pPr>
        <w:rPr>
          <w:rFonts w:ascii="宋体" w:hAnsi="宋体" w:eastAsia="宋体" w:cs="宋体"/>
          <w:b/>
          <w:color w:val="000000" w:themeColor="text1"/>
          <w:szCs w:val="24"/>
          <w14:textFill>
            <w14:solidFill>
              <w14:schemeClr w14:val="tx1"/>
            </w14:solidFill>
          </w14:textFill>
        </w:rPr>
      </w:pPr>
    </w:p>
    <w:p w14:paraId="7C5CBDE3">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广东省肇庆监狱2025年网络安全保障服务项目（第二次）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0CEDA847">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145D542F">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5B733EE1">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F40133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082EA1F1">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0007566C">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348B25B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59334F20">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06F5E16">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6B793533">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23FAE31C">
      <w:pPr>
        <w:spacing w:line="360" w:lineRule="auto"/>
        <w:ind w:firstLine="420"/>
        <w:rPr>
          <w:rFonts w:ascii="宋体" w:hAnsi="宋体" w:eastAsia="宋体"/>
          <w:szCs w:val="21"/>
        </w:rPr>
      </w:pPr>
      <w:r>
        <w:rPr>
          <w:rFonts w:hint="eastAsia" w:ascii="宋体" w:hAnsi="宋体" w:eastAsia="宋体"/>
          <w:szCs w:val="21"/>
        </w:rPr>
        <w:t>特此声明！</w:t>
      </w:r>
    </w:p>
    <w:p w14:paraId="6AE76D21">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4B528186">
      <w:pPr>
        <w:pStyle w:val="59"/>
        <w:numPr>
          <w:ilvl w:val="0"/>
          <w:numId w:val="4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373FD94E">
      <w:pPr>
        <w:pStyle w:val="59"/>
        <w:numPr>
          <w:ilvl w:val="0"/>
          <w:numId w:val="4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7806732">
      <w:pPr>
        <w:pStyle w:val="59"/>
        <w:tabs>
          <w:tab w:val="left" w:pos="1200"/>
        </w:tabs>
        <w:snapToGrid w:val="0"/>
        <w:spacing w:line="360" w:lineRule="auto"/>
        <w:ind w:left="1200" w:firstLine="0" w:firstLineChars="0"/>
        <w:rPr>
          <w:rFonts w:ascii="宋体" w:hAnsi="宋体" w:eastAsia="宋体" w:cs="宋体"/>
          <w:color w:val="000000" w:themeColor="text1"/>
          <w:szCs w:val="21"/>
          <w14:textFill>
            <w14:solidFill>
              <w14:schemeClr w14:val="tx1"/>
            </w14:solidFill>
          </w14:textFill>
        </w:rPr>
      </w:pPr>
    </w:p>
    <w:p w14:paraId="0403A530">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AE4C282">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5506C52D">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FC721EA">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9C7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3E61">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BE17"/>
    <w:multiLevelType w:val="singleLevel"/>
    <w:tmpl w:val="8B77BE17"/>
    <w:lvl w:ilvl="0" w:tentative="0">
      <w:start w:val="1"/>
      <w:numFmt w:val="decimal"/>
      <w:suff w:val="nothing"/>
      <w:lvlText w:val="（%1）"/>
      <w:lvlJc w:val="left"/>
      <w:pPr>
        <w:ind w:left="425" w:hanging="425"/>
      </w:pPr>
      <w:rPr>
        <w:rFonts w:hint="default"/>
      </w:rPr>
    </w:lvl>
  </w:abstractNum>
  <w:abstractNum w:abstractNumId="1">
    <w:nsid w:val="9C6174B4"/>
    <w:multiLevelType w:val="singleLevel"/>
    <w:tmpl w:val="9C6174B4"/>
    <w:lvl w:ilvl="0" w:tentative="0">
      <w:start w:val="1"/>
      <w:numFmt w:val="decimal"/>
      <w:suff w:val="nothing"/>
      <w:lvlText w:val="（%1）"/>
      <w:lvlJc w:val="left"/>
      <w:pPr>
        <w:ind w:left="425" w:hanging="425"/>
      </w:pPr>
      <w:rPr>
        <w:rFonts w:hint="default"/>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B2237487"/>
    <w:multiLevelType w:val="singleLevel"/>
    <w:tmpl w:val="B2237487"/>
    <w:lvl w:ilvl="0" w:tentative="0">
      <w:start w:val="1"/>
      <w:numFmt w:val="chineseCounting"/>
      <w:suff w:val="nothing"/>
      <w:lvlText w:val="（%1）"/>
      <w:lvlJc w:val="left"/>
      <w:pPr>
        <w:ind w:left="0" w:firstLine="420"/>
      </w:pPr>
      <w:rPr>
        <w:rFonts w:hint="eastAsia"/>
      </w:rPr>
    </w:lvl>
  </w:abstractNum>
  <w:abstractNum w:abstractNumId="4">
    <w:nsid w:val="B62DF5F6"/>
    <w:multiLevelType w:val="singleLevel"/>
    <w:tmpl w:val="B62DF5F6"/>
    <w:lvl w:ilvl="0" w:tentative="0">
      <w:start w:val="1"/>
      <w:numFmt w:val="decimal"/>
      <w:suff w:val="nothing"/>
      <w:lvlText w:val="%1．"/>
      <w:lvlJc w:val="left"/>
      <w:pPr>
        <w:ind w:left="0" w:firstLine="400"/>
      </w:pPr>
      <w:rPr>
        <w:rFonts w:hint="default"/>
      </w:rPr>
    </w:lvl>
  </w:abstractNum>
  <w:abstractNum w:abstractNumId="5">
    <w:nsid w:val="CBF15CCB"/>
    <w:multiLevelType w:val="singleLevel"/>
    <w:tmpl w:val="CBF15CCB"/>
    <w:lvl w:ilvl="0" w:tentative="0">
      <w:start w:val="1"/>
      <w:numFmt w:val="decimal"/>
      <w:suff w:val="nothing"/>
      <w:lvlText w:val="%1．"/>
      <w:lvlJc w:val="left"/>
      <w:pPr>
        <w:ind w:left="0" w:firstLine="400"/>
      </w:pPr>
      <w:rPr>
        <w:rFonts w:hint="default"/>
      </w:rPr>
    </w:lvl>
  </w:abstractNum>
  <w:abstractNum w:abstractNumId="6">
    <w:nsid w:val="D3E653BA"/>
    <w:multiLevelType w:val="singleLevel"/>
    <w:tmpl w:val="D3E653BA"/>
    <w:lvl w:ilvl="0" w:tentative="0">
      <w:start w:val="1"/>
      <w:numFmt w:val="decimal"/>
      <w:suff w:val="nothing"/>
      <w:lvlText w:val="%1．"/>
      <w:lvlJc w:val="left"/>
      <w:pPr>
        <w:ind w:left="0" w:firstLine="400"/>
      </w:pPr>
      <w:rPr>
        <w:rFonts w:hint="default"/>
      </w:rPr>
    </w:lvl>
  </w:abstractNum>
  <w:abstractNum w:abstractNumId="7">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D8BB7972"/>
    <w:multiLevelType w:val="singleLevel"/>
    <w:tmpl w:val="D8BB7972"/>
    <w:lvl w:ilvl="0" w:tentative="0">
      <w:start w:val="1"/>
      <w:numFmt w:val="chineseCounting"/>
      <w:suff w:val="nothing"/>
      <w:lvlText w:val="（%1）"/>
      <w:lvlJc w:val="left"/>
      <w:pPr>
        <w:ind w:left="0" w:firstLine="420"/>
      </w:pPr>
      <w:rPr>
        <w:rFonts w:hint="eastAsia"/>
      </w:rPr>
    </w:lvl>
  </w:abstractNum>
  <w:abstractNum w:abstractNumId="9">
    <w:nsid w:val="EC632C03"/>
    <w:multiLevelType w:val="singleLevel"/>
    <w:tmpl w:val="EC632C03"/>
    <w:lvl w:ilvl="0" w:tentative="0">
      <w:start w:val="1"/>
      <w:numFmt w:val="chineseCounting"/>
      <w:suff w:val="nothing"/>
      <w:lvlText w:val="（%1）"/>
      <w:lvlJc w:val="left"/>
      <w:pPr>
        <w:ind w:left="0" w:firstLine="420"/>
      </w:pPr>
      <w:rPr>
        <w:rFonts w:hint="eastAsia"/>
      </w:rPr>
    </w:lvl>
  </w:abstractNum>
  <w:abstractNum w:abstractNumId="10">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11">
    <w:nsid w:val="F32EAD5D"/>
    <w:multiLevelType w:val="singleLevel"/>
    <w:tmpl w:val="F32EAD5D"/>
    <w:lvl w:ilvl="0" w:tentative="0">
      <w:start w:val="1"/>
      <w:numFmt w:val="decimal"/>
      <w:suff w:val="nothing"/>
      <w:lvlText w:val="（%1）"/>
      <w:lvlJc w:val="left"/>
      <w:pPr>
        <w:ind w:left="425" w:hanging="425"/>
      </w:pPr>
      <w:rPr>
        <w:rFonts w:hint="default"/>
      </w:rPr>
    </w:lvl>
  </w:abstractNum>
  <w:abstractNum w:abstractNumId="12">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3">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196C93A"/>
    <w:multiLevelType w:val="singleLevel"/>
    <w:tmpl w:val="0196C93A"/>
    <w:lvl w:ilvl="0" w:tentative="0">
      <w:start w:val="1"/>
      <w:numFmt w:val="decimal"/>
      <w:suff w:val="nothing"/>
      <w:lvlText w:val="%1．"/>
      <w:lvlJc w:val="left"/>
      <w:pPr>
        <w:ind w:left="0" w:firstLine="400"/>
      </w:pPr>
      <w:rPr>
        <w:rFonts w:hint="default"/>
      </w:rPr>
    </w:lvl>
  </w:abstractNum>
  <w:abstractNum w:abstractNumId="16">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04544B4D"/>
    <w:multiLevelType w:val="multilevel"/>
    <w:tmpl w:val="04544B4D"/>
    <w:lvl w:ilvl="0" w:tentative="0">
      <w:start w:val="1"/>
      <w:numFmt w:val="decimal"/>
      <w:pStyle w:val="262"/>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3028E9E5"/>
    <w:multiLevelType w:val="singleLevel"/>
    <w:tmpl w:val="3028E9E5"/>
    <w:lvl w:ilvl="0" w:tentative="0">
      <w:start w:val="1"/>
      <w:numFmt w:val="chineseCounting"/>
      <w:suff w:val="nothing"/>
      <w:lvlText w:val="（%1）"/>
      <w:lvlJc w:val="left"/>
      <w:pPr>
        <w:ind w:left="0" w:firstLine="420"/>
      </w:pPr>
      <w:rPr>
        <w:rFonts w:hint="eastAsia"/>
      </w:rPr>
    </w:lvl>
  </w:abstractNum>
  <w:abstractNum w:abstractNumId="23">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4">
    <w:nsid w:val="44900E0C"/>
    <w:multiLevelType w:val="singleLevel"/>
    <w:tmpl w:val="44900E0C"/>
    <w:lvl w:ilvl="0" w:tentative="0">
      <w:start w:val="1"/>
      <w:numFmt w:val="decimal"/>
      <w:suff w:val="nothing"/>
      <w:lvlText w:val="（%1）"/>
      <w:lvlJc w:val="left"/>
      <w:pPr>
        <w:ind w:left="425" w:hanging="425"/>
      </w:pPr>
      <w:rPr>
        <w:rFonts w:hint="default"/>
      </w:rPr>
    </w:lvl>
  </w:abstractNum>
  <w:abstractNum w:abstractNumId="2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7">
    <w:nsid w:val="50483B21"/>
    <w:multiLevelType w:val="singleLevel"/>
    <w:tmpl w:val="50483B21"/>
    <w:lvl w:ilvl="0" w:tentative="0">
      <w:start w:val="1"/>
      <w:numFmt w:val="decimal"/>
      <w:lvlText w:val="%1."/>
      <w:lvlJc w:val="left"/>
      <w:pPr>
        <w:tabs>
          <w:tab w:val="left" w:pos="312"/>
        </w:tabs>
      </w:pPr>
    </w:lvl>
  </w:abstractNum>
  <w:abstractNum w:abstractNumId="28">
    <w:nsid w:val="52487A29"/>
    <w:multiLevelType w:val="singleLevel"/>
    <w:tmpl w:val="52487A29"/>
    <w:lvl w:ilvl="0" w:tentative="0">
      <w:start w:val="1"/>
      <w:numFmt w:val="chineseCounting"/>
      <w:suff w:val="nothing"/>
      <w:lvlText w:val="（%1）"/>
      <w:lvlJc w:val="left"/>
      <w:pPr>
        <w:ind w:left="0" w:firstLine="420"/>
      </w:pPr>
      <w:rPr>
        <w:rFonts w:hint="eastAsia"/>
      </w:rPr>
    </w:lvl>
  </w:abstractNum>
  <w:abstractNum w:abstractNumId="29">
    <w:nsid w:val="53E55273"/>
    <w:multiLevelType w:val="singleLevel"/>
    <w:tmpl w:val="53E55273"/>
    <w:lvl w:ilvl="0" w:tentative="0">
      <w:start w:val="1"/>
      <w:numFmt w:val="decimal"/>
      <w:lvlText w:val="%1."/>
      <w:lvlJc w:val="left"/>
      <w:pPr>
        <w:tabs>
          <w:tab w:val="left" w:pos="312"/>
        </w:tabs>
      </w:pPr>
    </w:lvl>
  </w:abstractNum>
  <w:abstractNum w:abstractNumId="30">
    <w:nsid w:val="55B24CED"/>
    <w:multiLevelType w:val="singleLevel"/>
    <w:tmpl w:val="55B24CED"/>
    <w:lvl w:ilvl="0" w:tentative="0">
      <w:start w:val="1"/>
      <w:numFmt w:val="decimal"/>
      <w:lvlText w:val="%1."/>
      <w:lvlJc w:val="left"/>
      <w:pPr>
        <w:tabs>
          <w:tab w:val="left" w:pos="312"/>
        </w:tabs>
      </w:pPr>
    </w:lvl>
  </w:abstractNum>
  <w:abstractNum w:abstractNumId="3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BF3D59"/>
    <w:multiLevelType w:val="multilevel"/>
    <w:tmpl w:val="64BF3D59"/>
    <w:lvl w:ilvl="0" w:tentative="0">
      <w:start w:val="1"/>
      <w:numFmt w:val="decimal"/>
      <w:pStyle w:val="1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6AC02DD4"/>
    <w:multiLevelType w:val="singleLevel"/>
    <w:tmpl w:val="6AC02DD4"/>
    <w:lvl w:ilvl="0" w:tentative="0">
      <w:start w:val="1"/>
      <w:numFmt w:val="decimal"/>
      <w:suff w:val="nothing"/>
      <w:lvlText w:val="（%1）"/>
      <w:lvlJc w:val="left"/>
      <w:pPr>
        <w:ind w:left="425" w:hanging="425"/>
      </w:pPr>
      <w:rPr>
        <w:rFonts w:hint="default"/>
      </w:rPr>
    </w:lvl>
  </w:abstractNum>
  <w:abstractNum w:abstractNumId="34">
    <w:nsid w:val="6B6AC768"/>
    <w:multiLevelType w:val="singleLevel"/>
    <w:tmpl w:val="6B6AC768"/>
    <w:lvl w:ilvl="0" w:tentative="0">
      <w:start w:val="1"/>
      <w:numFmt w:val="chineseCounting"/>
      <w:suff w:val="nothing"/>
      <w:lvlText w:val="（%1）"/>
      <w:lvlJc w:val="left"/>
      <w:pPr>
        <w:ind w:left="0" w:firstLine="420"/>
      </w:pPr>
      <w:rPr>
        <w:rFonts w:hint="eastAsia"/>
      </w:rPr>
    </w:lvl>
  </w:abstractNum>
  <w:abstractNum w:abstractNumId="35">
    <w:nsid w:val="6CA379B1"/>
    <w:multiLevelType w:val="multilevel"/>
    <w:tmpl w:val="6CA379B1"/>
    <w:lvl w:ilvl="0" w:tentative="0">
      <w:start w:val="1"/>
      <w:numFmt w:val="chineseCountingThousand"/>
      <w:pStyle w:val="13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6DCD9225"/>
    <w:multiLevelType w:val="singleLevel"/>
    <w:tmpl w:val="6DCD9225"/>
    <w:lvl w:ilvl="0" w:tentative="0">
      <w:start w:val="1"/>
      <w:numFmt w:val="decimal"/>
      <w:lvlText w:val="%1."/>
      <w:lvlJc w:val="left"/>
      <w:pPr>
        <w:tabs>
          <w:tab w:val="left" w:pos="312"/>
        </w:tabs>
      </w:pPr>
    </w:lvl>
  </w:abstractNum>
  <w:abstractNum w:abstractNumId="37">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6F7068E8"/>
    <w:multiLevelType w:val="singleLevel"/>
    <w:tmpl w:val="6F7068E8"/>
    <w:lvl w:ilvl="0" w:tentative="0">
      <w:start w:val="1"/>
      <w:numFmt w:val="decimal"/>
      <w:lvlText w:val="%1."/>
      <w:lvlJc w:val="left"/>
      <w:pPr>
        <w:tabs>
          <w:tab w:val="left" w:pos="312"/>
        </w:tabs>
      </w:pPr>
    </w:lvl>
  </w:abstractNum>
  <w:abstractNum w:abstractNumId="39">
    <w:nsid w:val="7191B73E"/>
    <w:multiLevelType w:val="singleLevel"/>
    <w:tmpl w:val="7191B73E"/>
    <w:lvl w:ilvl="0" w:tentative="0">
      <w:start w:val="1"/>
      <w:numFmt w:val="decimal"/>
      <w:lvlText w:val="%1."/>
      <w:lvlJc w:val="left"/>
      <w:pPr>
        <w:tabs>
          <w:tab w:val="left" w:pos="312"/>
        </w:tabs>
      </w:pPr>
    </w:lvl>
  </w:abstractNum>
  <w:abstractNum w:abstractNumId="40">
    <w:nsid w:val="72FF3869"/>
    <w:multiLevelType w:val="singleLevel"/>
    <w:tmpl w:val="72FF3869"/>
    <w:lvl w:ilvl="0" w:tentative="0">
      <w:start w:val="1"/>
      <w:numFmt w:val="decimal"/>
      <w:suff w:val="nothing"/>
      <w:lvlText w:val="%1．"/>
      <w:lvlJc w:val="left"/>
      <w:pPr>
        <w:ind w:left="0" w:firstLine="400"/>
      </w:pPr>
      <w:rPr>
        <w:rFonts w:hint="default" w:ascii="宋体" w:hAnsi="宋体" w:eastAsia="宋体" w:cs="宋体"/>
        <w:sz w:val="21"/>
        <w:szCs w:val="21"/>
      </w:rPr>
    </w:lvl>
  </w:abstractNum>
  <w:num w:numId="1">
    <w:abstractNumId w:val="14"/>
  </w:num>
  <w:num w:numId="2">
    <w:abstractNumId w:val="35"/>
  </w:num>
  <w:num w:numId="3">
    <w:abstractNumId w:val="32"/>
  </w:num>
  <w:num w:numId="4">
    <w:abstractNumId w:val="17"/>
  </w:num>
  <w:num w:numId="5">
    <w:abstractNumId w:val="31"/>
  </w:num>
  <w:num w:numId="6">
    <w:abstractNumId w:val="12"/>
  </w:num>
  <w:num w:numId="7">
    <w:abstractNumId w:val="25"/>
  </w:num>
  <w:num w:numId="8">
    <w:abstractNumId w:val="7"/>
  </w:num>
  <w:num w:numId="9">
    <w:abstractNumId w:val="16"/>
  </w:num>
  <w:num w:numId="10">
    <w:abstractNumId w:val="19"/>
  </w:num>
  <w:num w:numId="11">
    <w:abstractNumId w:val="40"/>
  </w:num>
  <w:num w:numId="12">
    <w:abstractNumId w:val="23"/>
  </w:num>
  <w:num w:numId="13">
    <w:abstractNumId w:val="10"/>
  </w:num>
  <w:num w:numId="14">
    <w:abstractNumId w:val="2"/>
  </w:num>
  <w:num w:numId="15">
    <w:abstractNumId w:val="18"/>
  </w:num>
  <w:num w:numId="16">
    <w:abstractNumId w:val="20"/>
  </w:num>
  <w:num w:numId="17">
    <w:abstractNumId w:val="13"/>
  </w:num>
  <w:num w:numId="18">
    <w:abstractNumId w:val="22"/>
  </w:num>
  <w:num w:numId="19">
    <w:abstractNumId w:val="9"/>
  </w:num>
  <w:num w:numId="20">
    <w:abstractNumId w:val="3"/>
  </w:num>
  <w:num w:numId="21">
    <w:abstractNumId w:val="15"/>
  </w:num>
  <w:num w:numId="22">
    <w:abstractNumId w:val="39"/>
  </w:num>
  <w:num w:numId="23">
    <w:abstractNumId w:val="36"/>
  </w:num>
  <w:num w:numId="24">
    <w:abstractNumId w:val="27"/>
  </w:num>
  <w:num w:numId="25">
    <w:abstractNumId w:val="6"/>
  </w:num>
  <w:num w:numId="26">
    <w:abstractNumId w:val="4"/>
  </w:num>
  <w:num w:numId="27">
    <w:abstractNumId w:val="1"/>
  </w:num>
  <w:num w:numId="28">
    <w:abstractNumId w:val="11"/>
  </w:num>
  <w:num w:numId="29">
    <w:abstractNumId w:val="5"/>
  </w:num>
  <w:num w:numId="30">
    <w:abstractNumId w:val="33"/>
  </w:num>
  <w:num w:numId="31">
    <w:abstractNumId w:val="24"/>
  </w:num>
  <w:num w:numId="32">
    <w:abstractNumId w:val="0"/>
  </w:num>
  <w:num w:numId="33">
    <w:abstractNumId w:val="8"/>
  </w:num>
  <w:num w:numId="34">
    <w:abstractNumId w:val="28"/>
  </w:num>
  <w:num w:numId="35">
    <w:abstractNumId w:val="34"/>
  </w:num>
  <w:num w:numId="36">
    <w:abstractNumId w:val="38"/>
  </w:num>
  <w:num w:numId="37">
    <w:abstractNumId w:val="30"/>
  </w:num>
  <w:num w:numId="38">
    <w:abstractNumId w:val="29"/>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1E5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B6"/>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4DD7"/>
    <w:rsid w:val="00175ECB"/>
    <w:rsid w:val="001775AE"/>
    <w:rsid w:val="00182BE9"/>
    <w:rsid w:val="001863E0"/>
    <w:rsid w:val="00192F15"/>
    <w:rsid w:val="001938B3"/>
    <w:rsid w:val="001976BF"/>
    <w:rsid w:val="001A0DDF"/>
    <w:rsid w:val="001A15D4"/>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B26"/>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97813"/>
    <w:rsid w:val="006A32A5"/>
    <w:rsid w:val="006A5FEE"/>
    <w:rsid w:val="006A61C8"/>
    <w:rsid w:val="006A747F"/>
    <w:rsid w:val="006A7F94"/>
    <w:rsid w:val="006B07B5"/>
    <w:rsid w:val="006B1BFB"/>
    <w:rsid w:val="006B20C7"/>
    <w:rsid w:val="006B764E"/>
    <w:rsid w:val="006C25A9"/>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0CC"/>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3BAC"/>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D745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57F9D"/>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3BF4"/>
    <w:rsid w:val="00D24487"/>
    <w:rsid w:val="00D30631"/>
    <w:rsid w:val="00D30F45"/>
    <w:rsid w:val="00D32910"/>
    <w:rsid w:val="00D36B47"/>
    <w:rsid w:val="00D4308A"/>
    <w:rsid w:val="00D44C86"/>
    <w:rsid w:val="00D45EE9"/>
    <w:rsid w:val="00D467C0"/>
    <w:rsid w:val="00D52312"/>
    <w:rsid w:val="00D533FC"/>
    <w:rsid w:val="00D53A7E"/>
    <w:rsid w:val="00D54790"/>
    <w:rsid w:val="00D550AF"/>
    <w:rsid w:val="00D61271"/>
    <w:rsid w:val="00D638E3"/>
    <w:rsid w:val="00D65DF9"/>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C319A"/>
    <w:rsid w:val="00DD147B"/>
    <w:rsid w:val="00DD1F0C"/>
    <w:rsid w:val="00DD2C2A"/>
    <w:rsid w:val="00DD3557"/>
    <w:rsid w:val="00DD4221"/>
    <w:rsid w:val="00DD6373"/>
    <w:rsid w:val="00DE0BAD"/>
    <w:rsid w:val="00DF706C"/>
    <w:rsid w:val="00E01F9F"/>
    <w:rsid w:val="00E0484B"/>
    <w:rsid w:val="00E06F98"/>
    <w:rsid w:val="00E07AB9"/>
    <w:rsid w:val="00E122B1"/>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6E78"/>
    <w:rsid w:val="00EA7CF1"/>
    <w:rsid w:val="00EB0F51"/>
    <w:rsid w:val="00EB3E5D"/>
    <w:rsid w:val="00EC6A4D"/>
    <w:rsid w:val="00EC6B71"/>
    <w:rsid w:val="00ED5181"/>
    <w:rsid w:val="00EE05BE"/>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0FF6A10"/>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6A39FD"/>
    <w:rsid w:val="0C72525B"/>
    <w:rsid w:val="0C96145B"/>
    <w:rsid w:val="0CBC3BE7"/>
    <w:rsid w:val="0CBE46E5"/>
    <w:rsid w:val="0D040750"/>
    <w:rsid w:val="0D5D1325"/>
    <w:rsid w:val="0D8A1656"/>
    <w:rsid w:val="0DB47BE5"/>
    <w:rsid w:val="0DE83E06"/>
    <w:rsid w:val="0E317E14"/>
    <w:rsid w:val="0E46090A"/>
    <w:rsid w:val="0E6D18B9"/>
    <w:rsid w:val="0EB2188B"/>
    <w:rsid w:val="0ED75C3A"/>
    <w:rsid w:val="0EDD0C64"/>
    <w:rsid w:val="102D5BFA"/>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893409"/>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374ED6"/>
    <w:rsid w:val="21D175BF"/>
    <w:rsid w:val="228E14B2"/>
    <w:rsid w:val="22F000F4"/>
    <w:rsid w:val="232C463A"/>
    <w:rsid w:val="2343188A"/>
    <w:rsid w:val="23753379"/>
    <w:rsid w:val="238B18B0"/>
    <w:rsid w:val="240C5608"/>
    <w:rsid w:val="242E5DB2"/>
    <w:rsid w:val="24B453FA"/>
    <w:rsid w:val="24BE3ED8"/>
    <w:rsid w:val="24DC02C5"/>
    <w:rsid w:val="251D5715"/>
    <w:rsid w:val="25620B15"/>
    <w:rsid w:val="259D1B90"/>
    <w:rsid w:val="25BF29AE"/>
    <w:rsid w:val="25C76443"/>
    <w:rsid w:val="25F767DC"/>
    <w:rsid w:val="26396992"/>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362CCC"/>
    <w:rsid w:val="323E1A58"/>
    <w:rsid w:val="32696F31"/>
    <w:rsid w:val="326C5AD8"/>
    <w:rsid w:val="32A565BD"/>
    <w:rsid w:val="32A91D1A"/>
    <w:rsid w:val="32D37A29"/>
    <w:rsid w:val="336F2764"/>
    <w:rsid w:val="33DB42E1"/>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DF434D1"/>
    <w:rsid w:val="3E7616F0"/>
    <w:rsid w:val="3EE37DED"/>
    <w:rsid w:val="3F025588"/>
    <w:rsid w:val="3F5B3E28"/>
    <w:rsid w:val="3FEE07F8"/>
    <w:rsid w:val="40552625"/>
    <w:rsid w:val="40D7128C"/>
    <w:rsid w:val="40E165C9"/>
    <w:rsid w:val="40E67721"/>
    <w:rsid w:val="413435BC"/>
    <w:rsid w:val="414B0D45"/>
    <w:rsid w:val="41701D64"/>
    <w:rsid w:val="41CC7D33"/>
    <w:rsid w:val="41CE48CC"/>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1B0C0D"/>
    <w:rsid w:val="49466876"/>
    <w:rsid w:val="49A10C72"/>
    <w:rsid w:val="49ED12FF"/>
    <w:rsid w:val="4A71531C"/>
    <w:rsid w:val="4AFD2237"/>
    <w:rsid w:val="4B0A361E"/>
    <w:rsid w:val="4B1F447C"/>
    <w:rsid w:val="4BD04C50"/>
    <w:rsid w:val="4BF41FBC"/>
    <w:rsid w:val="4BFD59E8"/>
    <w:rsid w:val="4C052E47"/>
    <w:rsid w:val="4C4031F2"/>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B605B0E"/>
    <w:rsid w:val="5C386DDC"/>
    <w:rsid w:val="5C390560"/>
    <w:rsid w:val="5C82229F"/>
    <w:rsid w:val="5CBE3743"/>
    <w:rsid w:val="5CD86660"/>
    <w:rsid w:val="5D160AEB"/>
    <w:rsid w:val="5D3A70EE"/>
    <w:rsid w:val="5D716AB2"/>
    <w:rsid w:val="5DB645C1"/>
    <w:rsid w:val="5DC9323D"/>
    <w:rsid w:val="5DD154CB"/>
    <w:rsid w:val="5DF63687"/>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6E93636"/>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8F250A"/>
    <w:rsid w:val="6BAF79B1"/>
    <w:rsid w:val="6BE50451"/>
    <w:rsid w:val="6BEB1554"/>
    <w:rsid w:val="6C420E48"/>
    <w:rsid w:val="6C536ED6"/>
    <w:rsid w:val="6CB63946"/>
    <w:rsid w:val="6CC11D60"/>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0"/>
    <w:unhideWhenUsed/>
    <w:qFormat/>
    <w:uiPriority w:val="0"/>
    <w:pPr>
      <w:keepNext/>
      <w:keepLines/>
      <w:spacing w:before="260" w:after="260" w:line="413" w:lineRule="auto"/>
      <w:outlineLvl w:val="2"/>
    </w:pPr>
    <w:rPr>
      <w:b/>
      <w:sz w:val="32"/>
    </w:rPr>
  </w:style>
  <w:style w:type="paragraph" w:styleId="6">
    <w:name w:val="heading 4"/>
    <w:basedOn w:val="1"/>
    <w:next w:val="1"/>
    <w:link w:val="139"/>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0"/>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1"/>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2"/>
    <w:link w:val="142"/>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0">
    <w:name w:val="heading 8"/>
    <w:basedOn w:val="1"/>
    <w:next w:val="2"/>
    <w:link w:val="143"/>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1">
    <w:name w:val="heading 9"/>
    <w:basedOn w:val="1"/>
    <w:next w:val="2"/>
    <w:link w:val="144"/>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54"/>
    <w:unhideWhenUsed/>
    <w:qFormat/>
    <w:uiPriority w:val="0"/>
    <w:pPr>
      <w:spacing w:line="60" w:lineRule="auto"/>
      <w:ind w:firstLine="420" w:firstLine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5">
    <w:name w:val="Document Map"/>
    <w:basedOn w:val="1"/>
    <w:link w:val="145"/>
    <w:qFormat/>
    <w:uiPriority w:val="0"/>
    <w:pPr>
      <w:shd w:val="clear" w:color="auto" w:fill="000080"/>
    </w:pPr>
    <w:rPr>
      <w:rFonts w:ascii="Times New Roman" w:hAnsi="Times New Roman" w:eastAsia="宋体" w:cs="Times New Roman"/>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7">
    <w:name w:val="annotation text"/>
    <w:basedOn w:val="1"/>
    <w:link w:val="115"/>
    <w:unhideWhenUsed/>
    <w:qFormat/>
    <w:uiPriority w:val="0"/>
    <w:pPr>
      <w:jc w:val="left"/>
    </w:pPr>
    <w:rPr>
      <w:rFonts w:ascii="Times New Roman" w:hAnsi="Times New Roman" w:eastAsia="宋体" w:cs="Times New Roman"/>
      <w:szCs w:val="24"/>
    </w:rPr>
  </w:style>
  <w:style w:type="paragraph" w:styleId="18">
    <w:name w:val="Body Text 3"/>
    <w:basedOn w:val="1"/>
    <w:link w:val="146"/>
    <w:qFormat/>
    <w:uiPriority w:val="0"/>
    <w:pPr>
      <w:spacing w:line="400" w:lineRule="atLeast"/>
    </w:pPr>
    <w:rPr>
      <w:rFonts w:ascii="宋体" w:hAnsi="宋体" w:eastAsia="宋体" w:cs="Times New Roman"/>
      <w:color w:val="800080"/>
      <w:sz w:val="24"/>
      <w:szCs w:val="24"/>
    </w:rPr>
  </w:style>
  <w:style w:type="paragraph" w:styleId="19">
    <w:name w:val="Body Text"/>
    <w:basedOn w:val="1"/>
    <w:link w:val="120"/>
    <w:unhideWhenUsed/>
    <w:qFormat/>
    <w:uiPriority w:val="0"/>
    <w:pPr>
      <w:spacing w:after="120"/>
    </w:pPr>
  </w:style>
  <w:style w:type="paragraph" w:styleId="20">
    <w:name w:val="Body Text Indent"/>
    <w:basedOn w:val="1"/>
    <w:next w:val="21"/>
    <w:link w:val="117"/>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89"/>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7"/>
    <w:qFormat/>
    <w:uiPriority w:val="0"/>
    <w:rPr>
      <w:rFonts w:ascii="宋体" w:hAnsi="Times New Roman" w:eastAsia="宋体" w:cs="Times New Roman"/>
      <w:kern w:val="0"/>
      <w:sz w:val="24"/>
      <w:szCs w:val="20"/>
    </w:rPr>
  </w:style>
  <w:style w:type="paragraph" w:styleId="29">
    <w:name w:val="Body Text Indent 2"/>
    <w:basedOn w:val="1"/>
    <w:link w:val="148"/>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1"/>
    <w:unhideWhenUsed/>
    <w:qFormat/>
    <w:uiPriority w:val="0"/>
    <w:rPr>
      <w:sz w:val="18"/>
      <w:szCs w:val="18"/>
    </w:rPr>
  </w:style>
  <w:style w:type="paragraph" w:styleId="31">
    <w:name w:val="footer"/>
    <w:basedOn w:val="1"/>
    <w:link w:val="85"/>
    <w:unhideWhenUsed/>
    <w:qFormat/>
    <w:uiPriority w:val="99"/>
    <w:pPr>
      <w:tabs>
        <w:tab w:val="center" w:pos="4153"/>
        <w:tab w:val="right" w:pos="8306"/>
      </w:tabs>
      <w:snapToGrid w:val="0"/>
      <w:jc w:val="left"/>
    </w:pPr>
    <w:rPr>
      <w:sz w:val="18"/>
      <w:szCs w:val="18"/>
    </w:rPr>
  </w:style>
  <w:style w:type="paragraph" w:styleId="32">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2"/>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2"/>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2"/>
    <w:unhideWhenUsed/>
    <w:qFormat/>
    <w:uiPriority w:val="0"/>
    <w:rPr>
      <w:b/>
      <w:bCs/>
    </w:rPr>
  </w:style>
  <w:style w:type="paragraph" w:styleId="47">
    <w:name w:val="Body Text First Indent"/>
    <w:basedOn w:val="19"/>
    <w:link w:val="123"/>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6"/>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customStyle="1" w:styleId="57">
    <w:name w:val="页眉 字符"/>
    <w:basedOn w:val="51"/>
    <w:qFormat/>
    <w:uiPriority w:val="0"/>
    <w:rPr>
      <w:sz w:val="18"/>
      <w:szCs w:val="18"/>
    </w:rPr>
  </w:style>
  <w:style w:type="character" w:customStyle="1" w:styleId="58">
    <w:name w:val="页脚 字符"/>
    <w:basedOn w:val="51"/>
    <w:qFormat/>
    <w:uiPriority w:val="99"/>
    <w:rPr>
      <w:sz w:val="18"/>
      <w:szCs w:val="18"/>
    </w:rPr>
  </w:style>
  <w:style w:type="paragraph" w:styleId="59">
    <w:name w:val="List Paragraph"/>
    <w:basedOn w:val="1"/>
    <w:link w:val="67"/>
    <w:qFormat/>
    <w:uiPriority w:val="99"/>
    <w:pPr>
      <w:ind w:firstLine="420" w:firstLineChars="200"/>
    </w:pPr>
  </w:style>
  <w:style w:type="character" w:customStyle="1" w:styleId="60">
    <w:name w:val="批注文字 字符"/>
    <w:basedOn w:val="51"/>
    <w:qFormat/>
    <w:uiPriority w:val="0"/>
  </w:style>
  <w:style w:type="character" w:customStyle="1" w:styleId="61">
    <w:name w:val="批注框文本 字符"/>
    <w:basedOn w:val="51"/>
    <w:link w:val="30"/>
    <w:semiHidden/>
    <w:qFormat/>
    <w:uiPriority w:val="99"/>
    <w:rPr>
      <w:sz w:val="18"/>
      <w:szCs w:val="18"/>
    </w:rPr>
  </w:style>
  <w:style w:type="character" w:customStyle="1" w:styleId="62">
    <w:name w:val="批注主题 字符"/>
    <w:basedOn w:val="60"/>
    <w:link w:val="46"/>
    <w:semiHidden/>
    <w:qFormat/>
    <w:uiPriority w:val="99"/>
    <w:rPr>
      <w:b/>
      <w:bCs/>
    </w:rPr>
  </w:style>
  <w:style w:type="character" w:customStyle="1" w:styleId="63">
    <w:name w:val="标题 Char"/>
    <w:basedOn w:val="51"/>
    <w:qFormat/>
    <w:uiPriority w:val="0"/>
    <w:rPr>
      <w:rFonts w:eastAsia="宋体" w:asciiTheme="majorHAnsi" w:hAnsiTheme="majorHAnsi" w:cstheme="majorBidi"/>
      <w:b/>
      <w:bCs/>
      <w:sz w:val="32"/>
      <w:szCs w:val="32"/>
    </w:rPr>
  </w:style>
  <w:style w:type="character" w:customStyle="1" w:styleId="64">
    <w:name w:val="标题 2 字符"/>
    <w:basedOn w:val="51"/>
    <w:qFormat/>
    <w:uiPriority w:val="0"/>
    <w:rPr>
      <w:rFonts w:ascii="Arial" w:hAnsi="Arial" w:eastAsia="黑体" w:cs="Times New Roman"/>
      <w:b/>
      <w:bCs/>
      <w:sz w:val="32"/>
      <w:szCs w:val="32"/>
    </w:rPr>
  </w:style>
  <w:style w:type="character" w:customStyle="1" w:styleId="65">
    <w:name w:val="纯文本 字符"/>
    <w:basedOn w:val="51"/>
    <w:qFormat/>
    <w:uiPriority w:val="0"/>
    <w:rPr>
      <w:rFonts w:ascii="宋体" w:hAnsi="Courier New" w:eastAsia="宋体" w:cs="Times New Roman"/>
      <w:kern w:val="0"/>
      <w:sz w:val="20"/>
      <w:szCs w:val="21"/>
    </w:rPr>
  </w:style>
  <w:style w:type="paragraph" w:customStyle="1" w:styleId="66">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7">
    <w:name w:val="列表段落 字符4"/>
    <w:link w:val="59"/>
    <w:qFormat/>
    <w:uiPriority w:val="99"/>
  </w:style>
  <w:style w:type="paragraph" w:customStyle="1" w:styleId="6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69">
    <w:name w:val="列出段落1"/>
    <w:basedOn w:val="1"/>
    <w:link w:val="70"/>
    <w:qFormat/>
    <w:uiPriority w:val="34"/>
    <w:pPr>
      <w:ind w:firstLine="420" w:firstLineChars="200"/>
    </w:pPr>
    <w:rPr>
      <w:rFonts w:ascii="Times New Roman" w:hAnsi="Times New Roman" w:eastAsia="宋体" w:cs="Times New Roman"/>
      <w:szCs w:val="21"/>
    </w:rPr>
  </w:style>
  <w:style w:type="character" w:customStyle="1" w:styleId="70">
    <w:name w:val="List Paragraph Char"/>
    <w:link w:val="69"/>
    <w:qFormat/>
    <w:locked/>
    <w:uiPriority w:val="99"/>
    <w:rPr>
      <w:rFonts w:ascii="Times New Roman" w:hAnsi="Times New Roman" w:eastAsia="宋体" w:cs="Times New Roman"/>
      <w:szCs w:val="21"/>
    </w:rPr>
  </w:style>
  <w:style w:type="paragraph" w:customStyle="1" w:styleId="71">
    <w:name w:val="_Style 121"/>
    <w:basedOn w:val="1"/>
    <w:next w:val="59"/>
    <w:qFormat/>
    <w:uiPriority w:val="34"/>
    <w:pPr>
      <w:ind w:firstLine="420" w:firstLineChars="200"/>
    </w:pPr>
    <w:rPr>
      <w:rFonts w:ascii="Calibri" w:hAnsi="Calibri" w:eastAsia="宋体" w:cs="Times New Roman"/>
    </w:rPr>
  </w:style>
  <w:style w:type="paragraph" w:customStyle="1" w:styleId="7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51"/>
    <w:qFormat/>
    <w:uiPriority w:val="0"/>
    <w:rPr>
      <w:kern w:val="2"/>
      <w:sz w:val="21"/>
      <w:szCs w:val="24"/>
    </w:rPr>
  </w:style>
  <w:style w:type="character" w:customStyle="1" w:styleId="76">
    <w:name w:val="正文文本首行缩进 2 字符"/>
    <w:basedOn w:val="75"/>
    <w:link w:val="48"/>
    <w:qFormat/>
    <w:uiPriority w:val="0"/>
    <w:rPr>
      <w:kern w:val="2"/>
      <w:sz w:val="21"/>
      <w:szCs w:val="24"/>
    </w:rPr>
  </w:style>
  <w:style w:type="paragraph" w:customStyle="1" w:styleId="77">
    <w:name w:val="msolistparagraph"/>
    <w:basedOn w:val="1"/>
    <w:qFormat/>
    <w:uiPriority w:val="0"/>
    <w:pPr>
      <w:ind w:firstLine="420" w:firstLineChars="200"/>
    </w:pPr>
    <w:rPr>
      <w:rFonts w:ascii="Times New Roman" w:hAnsi="Times New Roman" w:eastAsia="宋体" w:cs="Times New Roman"/>
    </w:rPr>
  </w:style>
  <w:style w:type="character" w:customStyle="1" w:styleId="78">
    <w:name w:val="列出段落 Char"/>
    <w:basedOn w:val="51"/>
    <w:qFormat/>
    <w:uiPriority w:val="34"/>
    <w:rPr>
      <w:kern w:val="2"/>
      <w:sz w:val="21"/>
      <w:szCs w:val="22"/>
    </w:rPr>
  </w:style>
  <w:style w:type="character" w:customStyle="1" w:styleId="79">
    <w:name w:val="正文文本 字符"/>
    <w:basedOn w:val="51"/>
    <w:qFormat/>
    <w:uiPriority w:val="0"/>
    <w:rPr>
      <w:rFonts w:hint="default" w:ascii="Calibri" w:hAnsi="Calibri" w:eastAsia="宋体" w:cs="Times New Roman"/>
      <w:kern w:val="2"/>
      <w:sz w:val="21"/>
      <w:szCs w:val="22"/>
    </w:rPr>
  </w:style>
  <w:style w:type="character" w:customStyle="1" w:styleId="80">
    <w:name w:val="纯文本 Char"/>
    <w:basedOn w:val="51"/>
    <w:qFormat/>
    <w:uiPriority w:val="99"/>
    <w:rPr>
      <w:rFonts w:hint="eastAsia" w:ascii="宋体" w:hAnsi="Courier New" w:eastAsia="宋体" w:cs="宋体"/>
      <w:szCs w:val="21"/>
    </w:rPr>
  </w:style>
  <w:style w:type="paragraph" w:customStyle="1" w:styleId="81">
    <w:name w:val="_Style 116"/>
    <w:basedOn w:val="1"/>
    <w:next w:val="59"/>
    <w:qFormat/>
    <w:uiPriority w:val="99"/>
    <w:pPr>
      <w:ind w:firstLine="420" w:firstLineChars="200"/>
    </w:pPr>
    <w:rPr>
      <w:kern w:val="0"/>
      <w:sz w:val="20"/>
      <w:szCs w:val="20"/>
    </w:rPr>
  </w:style>
  <w:style w:type="character" w:customStyle="1" w:styleId="82">
    <w:name w:val="普通(网站) 字符"/>
    <w:basedOn w:val="51"/>
    <w:qFormat/>
    <w:uiPriority w:val="0"/>
    <w:rPr>
      <w:rFonts w:hint="eastAsia" w:ascii="宋体" w:hAnsi="宋体" w:eastAsia="宋体" w:cs="宋体"/>
      <w:sz w:val="24"/>
      <w:szCs w:val="24"/>
    </w:rPr>
  </w:style>
  <w:style w:type="character" w:customStyle="1" w:styleId="83">
    <w:name w:val="批注文字 Char"/>
    <w:basedOn w:val="51"/>
    <w:qFormat/>
    <w:uiPriority w:val="99"/>
    <w:rPr>
      <w:kern w:val="2"/>
      <w:sz w:val="21"/>
      <w:szCs w:val="24"/>
    </w:rPr>
  </w:style>
  <w:style w:type="character" w:customStyle="1" w:styleId="84">
    <w:name w:val="标题 1 字符"/>
    <w:basedOn w:val="51"/>
    <w:link w:val="3"/>
    <w:qFormat/>
    <w:uiPriority w:val="0"/>
    <w:rPr>
      <w:b/>
      <w:bCs/>
      <w:kern w:val="44"/>
      <w:sz w:val="44"/>
      <w:szCs w:val="44"/>
    </w:rPr>
  </w:style>
  <w:style w:type="character" w:customStyle="1" w:styleId="85">
    <w:name w:val="页脚 字符1"/>
    <w:basedOn w:val="51"/>
    <w:link w:val="31"/>
    <w:qFormat/>
    <w:uiPriority w:val="0"/>
    <w:rPr>
      <w:kern w:val="2"/>
      <w:sz w:val="18"/>
      <w:szCs w:val="18"/>
    </w:rPr>
  </w:style>
  <w:style w:type="character" w:customStyle="1" w:styleId="86">
    <w:name w:val="页眉 字符1"/>
    <w:basedOn w:val="51"/>
    <w:qFormat/>
    <w:uiPriority w:val="0"/>
    <w:rPr>
      <w:kern w:val="2"/>
      <w:sz w:val="18"/>
      <w:szCs w:val="18"/>
    </w:rPr>
  </w:style>
  <w:style w:type="character" w:customStyle="1" w:styleId="87">
    <w:name w:val="标题 2 字符1"/>
    <w:basedOn w:val="51"/>
    <w:qFormat/>
    <w:uiPriority w:val="0"/>
    <w:rPr>
      <w:rFonts w:hint="default" w:ascii="Cambria" w:hAnsi="Cambria" w:eastAsia="Cambria" w:cs="Cambria"/>
      <w:b/>
      <w:bCs/>
      <w:kern w:val="2"/>
      <w:sz w:val="32"/>
      <w:szCs w:val="32"/>
    </w:rPr>
  </w:style>
  <w:style w:type="character" w:customStyle="1" w:styleId="88">
    <w:name w:val="列出段落 Char1"/>
    <w:basedOn w:val="51"/>
    <w:qFormat/>
    <w:uiPriority w:val="0"/>
    <w:rPr>
      <w:rFonts w:hint="default" w:ascii="Calibri" w:hAnsi="Calibri" w:cs="Calibri"/>
      <w:kern w:val="2"/>
      <w:sz w:val="21"/>
      <w:szCs w:val="22"/>
    </w:rPr>
  </w:style>
  <w:style w:type="character" w:customStyle="1" w:styleId="89">
    <w:name w:val="纯文本 字符2"/>
    <w:basedOn w:val="51"/>
    <w:link w:val="26"/>
    <w:qFormat/>
    <w:uiPriority w:val="0"/>
    <w:rPr>
      <w:rFonts w:hint="eastAsia" w:ascii="宋体" w:hAnsi="Courier New" w:eastAsia="宋体" w:cs="宋体"/>
      <w:szCs w:val="21"/>
      <w:lang w:val="zh-CN"/>
    </w:rPr>
  </w:style>
  <w:style w:type="character" w:customStyle="1" w:styleId="90">
    <w:name w:val="标题 3 字符"/>
    <w:basedOn w:val="51"/>
    <w:link w:val="5"/>
    <w:qFormat/>
    <w:uiPriority w:val="0"/>
    <w:rPr>
      <w:b/>
      <w:bCs/>
      <w:kern w:val="2"/>
      <w:sz w:val="32"/>
      <w:szCs w:val="32"/>
    </w:rPr>
  </w:style>
  <w:style w:type="paragraph" w:customStyle="1" w:styleId="91">
    <w:name w:val="列表段落2"/>
    <w:basedOn w:val="1"/>
    <w:qFormat/>
    <w:uiPriority w:val="0"/>
    <w:pPr>
      <w:ind w:firstLine="420" w:firstLineChars="200"/>
    </w:pPr>
    <w:rPr>
      <w:rFonts w:ascii="Times New Roman" w:hAnsi="Times New Roman" w:eastAsia="宋体" w:cs="Times New Roman"/>
      <w:szCs w:val="24"/>
    </w:rPr>
  </w:style>
  <w:style w:type="character" w:customStyle="1" w:styleId="92">
    <w:name w:val="正文文本首行缩进 字符"/>
    <w:qFormat/>
    <w:uiPriority w:val="0"/>
    <w:rPr>
      <w:rFonts w:hint="default" w:ascii="Calibri" w:hAnsi="Calibri" w:eastAsia="宋体" w:cs="Times New Roman"/>
      <w:kern w:val="2"/>
      <w:sz w:val="21"/>
      <w:szCs w:val="22"/>
    </w:rPr>
  </w:style>
  <w:style w:type="paragraph" w:customStyle="1" w:styleId="93">
    <w:name w:val="p0"/>
    <w:basedOn w:val="1"/>
    <w:qFormat/>
    <w:uiPriority w:val="0"/>
    <w:pPr>
      <w:widowControl/>
    </w:pPr>
    <w:rPr>
      <w:rFonts w:ascii="Calibri" w:hAnsi="Calibri" w:eastAsia="宋体" w:cs="Times New Roman"/>
      <w:kern w:val="0"/>
      <w:szCs w:val="21"/>
    </w:rPr>
  </w:style>
  <w:style w:type="character" w:customStyle="1" w:styleId="94">
    <w:name w:val="font51"/>
    <w:basedOn w:val="51"/>
    <w:qFormat/>
    <w:uiPriority w:val="0"/>
    <w:rPr>
      <w:rFonts w:hint="eastAsia" w:ascii="宋体" w:hAnsi="宋体" w:eastAsia="宋体" w:cs="宋体"/>
      <w:color w:val="000000"/>
      <w:sz w:val="21"/>
      <w:szCs w:val="21"/>
      <w:u w:val="none"/>
    </w:rPr>
  </w:style>
  <w:style w:type="character" w:customStyle="1" w:styleId="95">
    <w:name w:val="列表段落 字符2"/>
    <w:basedOn w:val="51"/>
    <w:qFormat/>
    <w:uiPriority w:val="0"/>
  </w:style>
  <w:style w:type="character" w:customStyle="1" w:styleId="96">
    <w:name w:val="NormalCharacter"/>
    <w:basedOn w:val="51"/>
    <w:qFormat/>
    <w:uiPriority w:val="0"/>
  </w:style>
  <w:style w:type="character" w:customStyle="1" w:styleId="97">
    <w:name w:val="font31"/>
    <w:basedOn w:val="51"/>
    <w:qFormat/>
    <w:uiPriority w:val="0"/>
    <w:rPr>
      <w:rFonts w:hint="default" w:ascii="Times New Roman" w:hAnsi="Times New Roman" w:cs="Times New Roman"/>
      <w:color w:val="000000"/>
      <w:sz w:val="21"/>
      <w:szCs w:val="21"/>
      <w:u w:val="none"/>
    </w:rPr>
  </w:style>
  <w:style w:type="character" w:customStyle="1" w:styleId="98">
    <w:name w:val="font21"/>
    <w:basedOn w:val="51"/>
    <w:qFormat/>
    <w:uiPriority w:val="0"/>
    <w:rPr>
      <w:rFonts w:hint="eastAsia" w:ascii="宋体" w:hAnsi="宋体" w:eastAsia="宋体" w:cs="宋体"/>
      <w:color w:val="000000"/>
      <w:sz w:val="24"/>
      <w:szCs w:val="24"/>
      <w:u w:val="none"/>
    </w:rPr>
  </w:style>
  <w:style w:type="character" w:customStyle="1" w:styleId="99">
    <w:name w:val="font11"/>
    <w:basedOn w:val="51"/>
    <w:qFormat/>
    <w:uiPriority w:val="0"/>
    <w:rPr>
      <w:rFonts w:hint="eastAsia" w:ascii="宋体" w:hAnsi="宋体" w:eastAsia="宋体" w:cs="宋体"/>
      <w:color w:val="000000"/>
      <w:sz w:val="21"/>
      <w:szCs w:val="21"/>
      <w:u w:val="none"/>
    </w:rPr>
  </w:style>
  <w:style w:type="character" w:customStyle="1" w:styleId="100">
    <w:name w:val="纯文本 字符1"/>
    <w:basedOn w:val="51"/>
    <w:qFormat/>
    <w:uiPriority w:val="0"/>
    <w:rPr>
      <w:rFonts w:hint="eastAsia" w:ascii="宋体" w:hAnsi="Courier New" w:eastAsia="宋体" w:cs="宋体"/>
      <w:szCs w:val="21"/>
    </w:rPr>
  </w:style>
  <w:style w:type="character" w:customStyle="1" w:styleId="101">
    <w:name w:val="标题 字符"/>
    <w:basedOn w:val="51"/>
    <w:link w:val="45"/>
    <w:qFormat/>
    <w:uiPriority w:val="0"/>
    <w:rPr>
      <w:rFonts w:hint="default" w:ascii="Cambria" w:hAnsi="Cambria" w:eastAsia="Cambria" w:cs="Times New Roman"/>
      <w:b/>
      <w:bCs/>
      <w:kern w:val="2"/>
      <w:sz w:val="32"/>
      <w:szCs w:val="32"/>
    </w:rPr>
  </w:style>
  <w:style w:type="character" w:customStyle="1" w:styleId="102">
    <w:name w:val="脚注文本 字符"/>
    <w:basedOn w:val="51"/>
    <w:link w:val="37"/>
    <w:qFormat/>
    <w:uiPriority w:val="0"/>
    <w:rPr>
      <w:rFonts w:hint="eastAsia" w:ascii="宋体" w:hAnsi="宋体" w:eastAsia="宋体" w:cs="Times New Roman"/>
      <w:kern w:val="2"/>
      <w:sz w:val="24"/>
      <w:szCs w:val="18"/>
    </w:rPr>
  </w:style>
  <w:style w:type="character" w:customStyle="1" w:styleId="103">
    <w:name w:val="脚注文本 Char1"/>
    <w:basedOn w:val="51"/>
    <w:qFormat/>
    <w:uiPriority w:val="0"/>
    <w:rPr>
      <w:rFonts w:hint="default" w:ascii="Calibri" w:hAnsi="Calibri" w:eastAsia="宋体" w:cs="Times New Roman"/>
      <w:kern w:val="2"/>
      <w:sz w:val="18"/>
      <w:szCs w:val="18"/>
    </w:rPr>
  </w:style>
  <w:style w:type="character" w:customStyle="1" w:styleId="104">
    <w:name w:val="列表段落 字符1"/>
    <w:basedOn w:val="51"/>
    <w:qFormat/>
    <w:uiPriority w:val="0"/>
  </w:style>
  <w:style w:type="paragraph" w:customStyle="1" w:styleId="105">
    <w:name w:val="Table Paragraph"/>
    <w:basedOn w:val="1"/>
    <w:qFormat/>
    <w:uiPriority w:val="0"/>
    <w:rPr>
      <w:rFonts w:hint="eastAsia" w:ascii="宋体" w:hAnsi="宋体" w:eastAsia="宋体" w:cs="Times New Roman"/>
      <w:szCs w:val="24"/>
    </w:rPr>
  </w:style>
  <w:style w:type="character" w:customStyle="1" w:styleId="106">
    <w:name w:val="font41"/>
    <w:basedOn w:val="51"/>
    <w:qFormat/>
    <w:uiPriority w:val="0"/>
    <w:rPr>
      <w:rFonts w:hint="eastAsia" w:ascii="宋体" w:hAnsi="宋体" w:eastAsia="宋体" w:cs="宋体"/>
      <w:color w:val="FF0000"/>
      <w:sz w:val="24"/>
      <w:szCs w:val="24"/>
      <w:u w:val="none"/>
    </w:rPr>
  </w:style>
  <w:style w:type="character" w:customStyle="1" w:styleId="107">
    <w:name w:val="font91"/>
    <w:basedOn w:val="51"/>
    <w:qFormat/>
    <w:uiPriority w:val="0"/>
    <w:rPr>
      <w:rFonts w:hint="default" w:ascii="Times New Roman" w:hAnsi="Times New Roman" w:cs="Times New Roman"/>
      <w:color w:val="000000"/>
      <w:sz w:val="21"/>
      <w:szCs w:val="21"/>
      <w:u w:val="none"/>
    </w:rPr>
  </w:style>
  <w:style w:type="paragraph" w:customStyle="1" w:styleId="108">
    <w:name w:val="正文_0_0"/>
    <w:basedOn w:val="1"/>
    <w:qFormat/>
    <w:uiPriority w:val="0"/>
    <w:rPr>
      <w:rFonts w:ascii="Calibri" w:hAnsi="Calibri" w:eastAsia="宋体" w:cs="Times New Roman"/>
    </w:rPr>
  </w:style>
  <w:style w:type="character" w:customStyle="1" w:styleId="109">
    <w:name w:val="批注文字 字符1"/>
    <w:basedOn w:val="51"/>
    <w:qFormat/>
    <w:uiPriority w:val="0"/>
    <w:rPr>
      <w:szCs w:val="24"/>
    </w:rPr>
  </w:style>
  <w:style w:type="character" w:customStyle="1" w:styleId="110">
    <w:name w:val="列表段落 字符"/>
    <w:basedOn w:val="51"/>
    <w:qFormat/>
    <w:uiPriority w:val="0"/>
    <w:rPr>
      <w:rFonts w:hint="default" w:ascii="Calibri" w:hAnsi="Calibri" w:cs="Calibri"/>
      <w:kern w:val="2"/>
      <w:sz w:val="21"/>
      <w:szCs w:val="22"/>
    </w:rPr>
  </w:style>
  <w:style w:type="paragraph" w:customStyle="1" w:styleId="111">
    <w:name w:val="_Style 24"/>
    <w:basedOn w:val="1"/>
    <w:qFormat/>
    <w:uiPriority w:val="0"/>
    <w:pPr>
      <w:ind w:firstLine="420" w:firstLineChars="200"/>
    </w:pPr>
    <w:rPr>
      <w:rFonts w:ascii="Calibri" w:hAnsi="Calibri" w:eastAsia="宋体" w:cs="Times New Roman"/>
    </w:rPr>
  </w:style>
  <w:style w:type="character" w:customStyle="1" w:styleId="112">
    <w:name w:val="列表段落 字符3"/>
    <w:basedOn w:val="51"/>
    <w:qFormat/>
    <w:uiPriority w:val="0"/>
    <w:rPr>
      <w:rFonts w:hint="default" w:ascii="Calibri" w:hAnsi="Calibri" w:eastAsia="宋体" w:cs="Times New Roman"/>
      <w:kern w:val="2"/>
      <w:sz w:val="21"/>
      <w:szCs w:val="22"/>
    </w:rPr>
  </w:style>
  <w:style w:type="character" w:customStyle="1" w:styleId="113">
    <w:name w:val="列出段落 Char2"/>
    <w:basedOn w:val="51"/>
    <w:qFormat/>
    <w:uiPriority w:val="0"/>
    <w:rPr>
      <w:rFonts w:hint="default" w:ascii="Calibri" w:hAnsi="Calibri" w:eastAsia="宋体" w:cs="Times New Roman"/>
      <w:kern w:val="2"/>
      <w:sz w:val="21"/>
      <w:szCs w:val="22"/>
    </w:rPr>
  </w:style>
  <w:style w:type="character" w:customStyle="1" w:styleId="114">
    <w:name w:val="标题 2 字符2"/>
    <w:basedOn w:val="51"/>
    <w:link w:val="4"/>
    <w:qFormat/>
    <w:uiPriority w:val="0"/>
    <w:rPr>
      <w:rFonts w:hint="default" w:ascii="Arial" w:hAnsi="Arial" w:eastAsia="黑体" w:cs="Arial"/>
      <w:b/>
      <w:bCs/>
      <w:kern w:val="2"/>
      <w:sz w:val="32"/>
      <w:szCs w:val="32"/>
    </w:rPr>
  </w:style>
  <w:style w:type="character" w:customStyle="1" w:styleId="115">
    <w:name w:val="批注文字 字符2"/>
    <w:basedOn w:val="51"/>
    <w:link w:val="17"/>
    <w:qFormat/>
    <w:uiPriority w:val="0"/>
    <w:rPr>
      <w:kern w:val="2"/>
      <w:sz w:val="21"/>
      <w:szCs w:val="24"/>
    </w:rPr>
  </w:style>
  <w:style w:type="character" w:customStyle="1" w:styleId="116">
    <w:name w:val="普通(网站) 字符1"/>
    <w:basedOn w:val="51"/>
    <w:link w:val="44"/>
    <w:qFormat/>
    <w:uiPriority w:val="0"/>
    <w:rPr>
      <w:rFonts w:hint="eastAsia" w:ascii="宋体" w:hAnsi="宋体" w:eastAsia="宋体" w:cs="宋体"/>
      <w:sz w:val="24"/>
      <w:szCs w:val="24"/>
    </w:rPr>
  </w:style>
  <w:style w:type="character" w:customStyle="1" w:styleId="117">
    <w:name w:val="正文文本缩进 字符1"/>
    <w:basedOn w:val="51"/>
    <w:link w:val="20"/>
    <w:qFormat/>
    <w:uiPriority w:val="0"/>
    <w:rPr>
      <w:kern w:val="2"/>
      <w:sz w:val="21"/>
      <w:szCs w:val="22"/>
    </w:rPr>
  </w:style>
  <w:style w:type="paragraph" w:customStyle="1" w:styleId="118">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19">
    <w:name w:val="_Style 5"/>
    <w:basedOn w:val="1"/>
    <w:next w:val="1"/>
    <w:qFormat/>
    <w:uiPriority w:val="0"/>
    <w:pPr>
      <w:ind w:firstLine="420" w:firstLineChars="200"/>
    </w:pPr>
    <w:rPr>
      <w:rFonts w:ascii="Times New Roman" w:hAnsi="Times New Roman" w:eastAsia="宋体" w:cs="Times New Roman"/>
    </w:rPr>
  </w:style>
  <w:style w:type="character" w:customStyle="1" w:styleId="120">
    <w:name w:val="正文文本 字符1"/>
    <w:basedOn w:val="51"/>
    <w:link w:val="19"/>
    <w:qFormat/>
    <w:uiPriority w:val="0"/>
    <w:rPr>
      <w:rFonts w:hint="default" w:ascii="Calibri" w:hAnsi="Calibri" w:eastAsia="宋体" w:cs="Times New Roman"/>
      <w:kern w:val="2"/>
      <w:sz w:val="21"/>
      <w:szCs w:val="22"/>
    </w:rPr>
  </w:style>
  <w:style w:type="paragraph" w:customStyle="1" w:styleId="121">
    <w:name w:val="列表段落1"/>
    <w:basedOn w:val="1"/>
    <w:qFormat/>
    <w:uiPriority w:val="0"/>
    <w:pPr>
      <w:ind w:firstLine="420" w:firstLineChars="200"/>
    </w:pPr>
    <w:rPr>
      <w:rFonts w:hint="eastAsia" w:ascii="等线" w:hAnsi="等线" w:eastAsia="等线" w:cs="Times New Roman"/>
    </w:rPr>
  </w:style>
  <w:style w:type="character" w:customStyle="1" w:styleId="122">
    <w:name w:val="正文文本缩进 3 字符"/>
    <w:basedOn w:val="51"/>
    <w:link w:val="39"/>
    <w:qFormat/>
    <w:uiPriority w:val="0"/>
    <w:rPr>
      <w:rFonts w:hint="eastAsia" w:ascii="等线" w:hAnsi="等线" w:eastAsia="等线" w:cs="等线"/>
      <w:kern w:val="2"/>
      <w:sz w:val="16"/>
      <w:szCs w:val="16"/>
    </w:rPr>
  </w:style>
  <w:style w:type="character" w:customStyle="1" w:styleId="123">
    <w:name w:val="正文文本首行缩进 字符1"/>
    <w:link w:val="47"/>
    <w:qFormat/>
    <w:uiPriority w:val="0"/>
    <w:rPr>
      <w:rFonts w:hint="default" w:ascii="Calibri" w:hAnsi="Calibri" w:eastAsia="楷体_GB2312" w:cs="Calibri"/>
      <w:kern w:val="2"/>
      <w:sz w:val="32"/>
      <w:szCs w:val="22"/>
    </w:rPr>
  </w:style>
  <w:style w:type="character" w:customStyle="1" w:styleId="124">
    <w:name w:val="表格文字 Char"/>
    <w:basedOn w:val="51"/>
    <w:link w:val="125"/>
    <w:qFormat/>
    <w:uiPriority w:val="0"/>
    <w:rPr>
      <w:bCs/>
      <w:spacing w:val="10"/>
      <w:sz w:val="24"/>
    </w:rPr>
  </w:style>
  <w:style w:type="paragraph" w:customStyle="1" w:styleId="125">
    <w:name w:val="表格文字"/>
    <w:basedOn w:val="1"/>
    <w:link w:val="124"/>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6">
    <w:name w:val="_Style 3"/>
    <w:basedOn w:val="1"/>
    <w:qFormat/>
    <w:uiPriority w:val="0"/>
    <w:rPr>
      <w:rFonts w:ascii="Times New Roman" w:hAnsi="Times New Roman" w:eastAsia="宋体" w:cs="Times New Roman"/>
    </w:rPr>
  </w:style>
  <w:style w:type="paragraph" w:customStyle="1" w:styleId="127">
    <w:name w:val="列表段落3"/>
    <w:basedOn w:val="1"/>
    <w:qFormat/>
    <w:uiPriority w:val="0"/>
    <w:pPr>
      <w:ind w:firstLine="420" w:firstLineChars="200"/>
    </w:pPr>
    <w:rPr>
      <w:rFonts w:ascii="Calibri" w:hAnsi="Calibri" w:eastAsia="宋体" w:cs="Times New Roman"/>
    </w:rPr>
  </w:style>
  <w:style w:type="character" w:customStyle="1" w:styleId="128">
    <w:name w:val="15"/>
    <w:basedOn w:val="51"/>
    <w:qFormat/>
    <w:uiPriority w:val="0"/>
    <w:rPr>
      <w:rFonts w:hint="default" w:ascii="Times New Roman" w:hAnsi="Times New Roman" w:cs="Times New Roman"/>
      <w:b/>
      <w:bCs/>
    </w:rPr>
  </w:style>
  <w:style w:type="character" w:customStyle="1" w:styleId="129">
    <w:name w:val="正文首行缩进 2 Char1"/>
    <w:basedOn w:val="51"/>
    <w:qFormat/>
    <w:uiPriority w:val="0"/>
  </w:style>
  <w:style w:type="character" w:customStyle="1" w:styleId="130">
    <w:name w:val="页眉 字符2"/>
    <w:basedOn w:val="51"/>
    <w:link w:val="32"/>
    <w:qFormat/>
    <w:uiPriority w:val="0"/>
    <w:rPr>
      <w:sz w:val="18"/>
      <w:szCs w:val="18"/>
    </w:rPr>
  </w:style>
  <w:style w:type="character" w:customStyle="1" w:styleId="131">
    <w:name w:val="页眉 Char1"/>
    <w:qFormat/>
    <w:uiPriority w:val="99"/>
    <w:rPr>
      <w:sz w:val="18"/>
      <w:szCs w:val="18"/>
      <w:lang w:val="zh-CN" w:eastAsia="zh-CN"/>
    </w:rPr>
  </w:style>
  <w:style w:type="character" w:customStyle="1" w:styleId="132">
    <w:name w:val="标题 2 Char"/>
    <w:basedOn w:val="51"/>
    <w:qFormat/>
    <w:uiPriority w:val="0"/>
    <w:rPr>
      <w:rFonts w:ascii="Arial" w:hAnsi="Arial" w:eastAsia="黑体" w:cs="Times New Roman"/>
      <w:b/>
      <w:bCs/>
      <w:sz w:val="32"/>
      <w:szCs w:val="32"/>
    </w:rPr>
  </w:style>
  <w:style w:type="paragraph" w:customStyle="1" w:styleId="133">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4">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5">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7">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9">
    <w:name w:val="标题 4 字符"/>
    <w:basedOn w:val="51"/>
    <w:link w:val="6"/>
    <w:qFormat/>
    <w:uiPriority w:val="0"/>
    <w:rPr>
      <w:rFonts w:ascii="宋体"/>
      <w:kern w:val="2"/>
      <w:sz w:val="28"/>
    </w:rPr>
  </w:style>
  <w:style w:type="character" w:customStyle="1" w:styleId="140">
    <w:name w:val="标题 5 字符"/>
    <w:basedOn w:val="51"/>
    <w:link w:val="7"/>
    <w:qFormat/>
    <w:uiPriority w:val="0"/>
    <w:rPr>
      <w:kern w:val="2"/>
      <w:sz w:val="28"/>
    </w:rPr>
  </w:style>
  <w:style w:type="character" w:customStyle="1" w:styleId="141">
    <w:name w:val="标题 6 字符"/>
    <w:basedOn w:val="51"/>
    <w:link w:val="8"/>
    <w:qFormat/>
    <w:uiPriority w:val="0"/>
    <w:rPr>
      <w:kern w:val="2"/>
      <w:sz w:val="28"/>
    </w:rPr>
  </w:style>
  <w:style w:type="character" w:customStyle="1" w:styleId="142">
    <w:name w:val="标题 7 字符"/>
    <w:basedOn w:val="51"/>
    <w:link w:val="9"/>
    <w:qFormat/>
    <w:uiPriority w:val="0"/>
    <w:rPr>
      <w:rFonts w:ascii="宋体"/>
      <w:b/>
      <w:color w:val="000000"/>
      <w:kern w:val="2"/>
      <w:sz w:val="24"/>
    </w:rPr>
  </w:style>
  <w:style w:type="character" w:customStyle="1" w:styleId="143">
    <w:name w:val="标题 8 字符"/>
    <w:basedOn w:val="51"/>
    <w:link w:val="10"/>
    <w:qFormat/>
    <w:uiPriority w:val="0"/>
    <w:rPr>
      <w:rFonts w:ascii="Arial" w:hAnsi="Arial" w:eastAsia="黑体"/>
      <w:color w:val="000000"/>
      <w:kern w:val="2"/>
      <w:sz w:val="24"/>
    </w:rPr>
  </w:style>
  <w:style w:type="character" w:customStyle="1" w:styleId="144">
    <w:name w:val="标题 9 字符"/>
    <w:basedOn w:val="51"/>
    <w:link w:val="11"/>
    <w:qFormat/>
    <w:uiPriority w:val="0"/>
    <w:rPr>
      <w:rFonts w:ascii="Arial" w:hAnsi="Arial" w:eastAsia="黑体"/>
      <w:color w:val="000000"/>
      <w:kern w:val="2"/>
      <w:sz w:val="24"/>
    </w:rPr>
  </w:style>
  <w:style w:type="character" w:customStyle="1" w:styleId="145">
    <w:name w:val="文档结构图 字符"/>
    <w:basedOn w:val="51"/>
    <w:link w:val="15"/>
    <w:qFormat/>
    <w:uiPriority w:val="0"/>
    <w:rPr>
      <w:kern w:val="2"/>
      <w:sz w:val="21"/>
      <w:szCs w:val="24"/>
      <w:shd w:val="clear" w:color="auto" w:fill="000080"/>
    </w:rPr>
  </w:style>
  <w:style w:type="character" w:customStyle="1" w:styleId="146">
    <w:name w:val="正文文本 3 字符"/>
    <w:basedOn w:val="51"/>
    <w:link w:val="18"/>
    <w:qFormat/>
    <w:uiPriority w:val="0"/>
    <w:rPr>
      <w:rFonts w:ascii="宋体" w:hAnsi="宋体"/>
      <w:color w:val="800080"/>
      <w:kern w:val="2"/>
      <w:sz w:val="24"/>
      <w:szCs w:val="24"/>
    </w:rPr>
  </w:style>
  <w:style w:type="character" w:customStyle="1" w:styleId="147">
    <w:name w:val="日期 字符"/>
    <w:basedOn w:val="51"/>
    <w:link w:val="28"/>
    <w:qFormat/>
    <w:uiPriority w:val="0"/>
    <w:rPr>
      <w:rFonts w:ascii="宋体"/>
      <w:sz w:val="24"/>
    </w:rPr>
  </w:style>
  <w:style w:type="character" w:customStyle="1" w:styleId="148">
    <w:name w:val="正文文本缩进 2 字符"/>
    <w:basedOn w:val="51"/>
    <w:link w:val="29"/>
    <w:qFormat/>
    <w:uiPriority w:val="0"/>
    <w:rPr>
      <w:sz w:val="21"/>
    </w:rPr>
  </w:style>
  <w:style w:type="character" w:customStyle="1" w:styleId="149">
    <w:name w:val="正文文本 2 字符"/>
    <w:basedOn w:val="51"/>
    <w:link w:val="42"/>
    <w:qFormat/>
    <w:uiPriority w:val="0"/>
    <w:rPr>
      <w:rFonts w:ascii="Arial" w:hAnsi="Arial"/>
      <w:color w:val="000000"/>
      <w:kern w:val="2"/>
      <w:sz w:val="21"/>
      <w:szCs w:val="24"/>
    </w:rPr>
  </w:style>
  <w:style w:type="character" w:customStyle="1" w:styleId="150">
    <w:name w:val="HTML 预设格式 字符"/>
    <w:basedOn w:val="51"/>
    <w:link w:val="43"/>
    <w:qFormat/>
    <w:uiPriority w:val="0"/>
    <w:rPr>
      <w:rFonts w:ascii="宋体" w:hAnsi="宋体" w:cs="宋体"/>
      <w:color w:val="000000"/>
      <w:sz w:val="24"/>
      <w:szCs w:val="24"/>
    </w:rPr>
  </w:style>
  <w:style w:type="paragraph" w:customStyle="1" w:styleId="151">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2">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3">
    <w:name w:val="para"/>
    <w:basedOn w:val="51"/>
    <w:qFormat/>
    <w:uiPriority w:val="0"/>
  </w:style>
  <w:style w:type="character" w:customStyle="1" w:styleId="154">
    <w:name w:val="正文缩进 字符"/>
    <w:link w:val="2"/>
    <w:qFormat/>
    <w:uiPriority w:val="0"/>
    <w:rPr>
      <w:kern w:val="2"/>
      <w:sz w:val="21"/>
      <w:szCs w:val="24"/>
    </w:rPr>
  </w:style>
  <w:style w:type="character" w:customStyle="1" w:styleId="155">
    <w:name w:val="article1"/>
    <w:qFormat/>
    <w:uiPriority w:val="0"/>
    <w:rPr>
      <w:sz w:val="30"/>
      <w:szCs w:val="30"/>
    </w:rPr>
  </w:style>
  <w:style w:type="character" w:customStyle="1" w:styleId="156">
    <w:name w:val="普通文字1 Char"/>
    <w:qFormat/>
    <w:uiPriority w:val="0"/>
    <w:rPr>
      <w:rFonts w:ascii="宋体" w:hAnsi="Courier New" w:eastAsia="宋体"/>
      <w:kern w:val="2"/>
      <w:sz w:val="21"/>
      <w:lang w:val="en-US" w:eastAsia="zh-CN" w:bidi="ar-SA"/>
    </w:rPr>
  </w:style>
  <w:style w:type="character" w:customStyle="1" w:styleId="157">
    <w:name w:val="±íÕýÎÄ Char"/>
    <w:qFormat/>
    <w:uiPriority w:val="0"/>
    <w:rPr>
      <w:rFonts w:eastAsia="宋体"/>
      <w:lang w:val="en-US" w:eastAsia="zh-CN" w:bidi="ar-SA"/>
    </w:rPr>
  </w:style>
  <w:style w:type="character" w:customStyle="1" w:styleId="158">
    <w:name w:val="标题1"/>
    <w:basedOn w:val="51"/>
    <w:qFormat/>
    <w:uiPriority w:val="0"/>
  </w:style>
  <w:style w:type="character" w:customStyle="1" w:styleId="159">
    <w:name w:val="Char1 Char Char Char"/>
    <w:link w:val="160"/>
    <w:qFormat/>
    <w:uiPriority w:val="0"/>
    <w:rPr>
      <w:rFonts w:ascii="Verdana" w:hAnsi="Verdana" w:eastAsia="仿宋_GB2312"/>
      <w:sz w:val="24"/>
      <w:lang w:eastAsia="en-US"/>
    </w:rPr>
  </w:style>
  <w:style w:type="paragraph" w:customStyle="1" w:styleId="160">
    <w:name w:val="Char1 Char Char"/>
    <w:basedOn w:val="1"/>
    <w:link w:val="159"/>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1">
    <w:name w:val="样式 标准正文 + 宋体 Char"/>
    <w:link w:val="162"/>
    <w:qFormat/>
    <w:uiPriority w:val="0"/>
    <w:rPr>
      <w:rFonts w:ascii="宋体" w:hAnsi="宋体"/>
      <w:kern w:val="2"/>
      <w:sz w:val="24"/>
      <w:szCs w:val="24"/>
    </w:rPr>
  </w:style>
  <w:style w:type="paragraph" w:customStyle="1" w:styleId="162">
    <w:name w:val="样式 标准正文 + 宋体"/>
    <w:basedOn w:val="1"/>
    <w:link w:val="161"/>
    <w:qFormat/>
    <w:uiPriority w:val="0"/>
    <w:pPr>
      <w:spacing w:before="60" w:after="60" w:line="360" w:lineRule="auto"/>
      <w:ind w:firstLine="482"/>
    </w:pPr>
    <w:rPr>
      <w:rFonts w:ascii="宋体" w:hAnsi="宋体" w:eastAsia="宋体" w:cs="Times New Roman"/>
      <w:sz w:val="24"/>
      <w:szCs w:val="24"/>
    </w:rPr>
  </w:style>
  <w:style w:type="character" w:customStyle="1" w:styleId="163">
    <w:name w:val="a-size-large1"/>
    <w:qFormat/>
    <w:uiPriority w:val="0"/>
    <w:rPr>
      <w:rFonts w:hint="default" w:ascii="Arial" w:hAnsi="Arial" w:cs="Arial"/>
    </w:rPr>
  </w:style>
  <w:style w:type="character" w:customStyle="1" w:styleId="164">
    <w:name w:val="正文 + 宋体 Char"/>
    <w:link w:val="165"/>
    <w:qFormat/>
    <w:uiPriority w:val="0"/>
    <w:rPr>
      <w:rFonts w:ascii="宋体" w:hAnsi="宋体" w:eastAsia="Times New Roman"/>
      <w:b/>
      <w:sz w:val="24"/>
      <w:lang w:val="zh-CN"/>
    </w:rPr>
  </w:style>
  <w:style w:type="paragraph" w:customStyle="1" w:styleId="165">
    <w:name w:val="正文 + 宋体"/>
    <w:link w:val="164"/>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6">
    <w:name w:val="v151"/>
    <w:qFormat/>
    <w:uiPriority w:val="0"/>
    <w:rPr>
      <w:sz w:val="18"/>
      <w:szCs w:val="18"/>
    </w:rPr>
  </w:style>
  <w:style w:type="character" w:customStyle="1" w:styleId="167">
    <w:name w:val="unnamed31"/>
    <w:qFormat/>
    <w:uiPriority w:val="0"/>
    <w:rPr>
      <w:color w:val="000066"/>
      <w:sz w:val="20"/>
      <w:szCs w:val="20"/>
    </w:rPr>
  </w:style>
  <w:style w:type="character" w:customStyle="1" w:styleId="168">
    <w:name w:val="paragraph1 Char"/>
    <w:link w:val="169"/>
    <w:qFormat/>
    <w:uiPriority w:val="0"/>
    <w:rPr>
      <w:kern w:val="2"/>
      <w:sz w:val="24"/>
      <w:szCs w:val="24"/>
    </w:rPr>
  </w:style>
  <w:style w:type="paragraph" w:customStyle="1" w:styleId="169">
    <w:name w:val="paragraph1"/>
    <w:basedOn w:val="1"/>
    <w:link w:val="168"/>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0">
    <w:name w:val="正文(首行缩进) Char"/>
    <w:link w:val="171"/>
    <w:qFormat/>
    <w:uiPriority w:val="0"/>
    <w:rPr>
      <w:rFonts w:ascii="宋体" w:hAnsi="宋体"/>
      <w:spacing w:val="20"/>
      <w:kern w:val="24"/>
      <w:sz w:val="21"/>
      <w:szCs w:val="21"/>
      <w:lang w:val="en-IE"/>
    </w:rPr>
  </w:style>
  <w:style w:type="paragraph" w:customStyle="1" w:styleId="171">
    <w:name w:val="正文(首行缩进)"/>
    <w:link w:val="17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2">
    <w:name w:val="unnamed1"/>
    <w:basedOn w:val="51"/>
    <w:qFormat/>
    <w:uiPriority w:val="0"/>
  </w:style>
  <w:style w:type="character" w:customStyle="1" w:styleId="173">
    <w:name w:val="grame"/>
    <w:basedOn w:val="51"/>
    <w:qFormat/>
    <w:uiPriority w:val="0"/>
  </w:style>
  <w:style w:type="character" w:customStyle="1" w:styleId="174">
    <w:name w:val="p105"/>
    <w:basedOn w:val="51"/>
    <w:qFormat/>
    <w:uiPriority w:val="0"/>
  </w:style>
  <w:style w:type="character" w:customStyle="1" w:styleId="175">
    <w:name w:val="zhou11"/>
    <w:qFormat/>
    <w:uiPriority w:val="0"/>
    <w:rPr>
      <w:color w:val="000000"/>
      <w:sz w:val="28"/>
      <w:szCs w:val="28"/>
    </w:rPr>
  </w:style>
  <w:style w:type="character" w:customStyle="1" w:styleId="176">
    <w:name w:val="black11"/>
    <w:qFormat/>
    <w:uiPriority w:val="0"/>
    <w:rPr>
      <w:color w:val="000000"/>
      <w:sz w:val="18"/>
      <w:szCs w:val="18"/>
    </w:rPr>
  </w:style>
  <w:style w:type="character" w:customStyle="1" w:styleId="177">
    <w:name w:val="tpc_content1"/>
    <w:qFormat/>
    <w:uiPriority w:val="0"/>
    <w:rPr>
      <w:sz w:val="20"/>
      <w:szCs w:val="20"/>
    </w:rPr>
  </w:style>
  <w:style w:type="paragraph" w:customStyle="1" w:styleId="178">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7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0">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1">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2">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4">
    <w:name w:val="题注4"/>
    <w:basedOn w:val="1"/>
    <w:next w:val="13"/>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8">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89">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0">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4">
    <w:name w:val="Char1"/>
    <w:basedOn w:val="15"/>
    <w:qFormat/>
    <w:uiPriority w:val="0"/>
    <w:rPr>
      <w:rFonts w:ascii="Tahoma" w:hAnsi="Tahoma"/>
      <w:sz w:val="24"/>
    </w:rPr>
  </w:style>
  <w:style w:type="paragraph" w:customStyle="1" w:styleId="19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7">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1">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3">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5">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6">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8">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9">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表头"/>
    <w:basedOn w:val="13"/>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3">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5">
    <w:name w:val="题注5"/>
    <w:basedOn w:val="1"/>
    <w:next w:val="13"/>
    <w:qFormat/>
    <w:uiPriority w:val="0"/>
    <w:pPr>
      <w:widowControl/>
    </w:pPr>
    <w:rPr>
      <w:rFonts w:ascii="Times New Roman" w:hAnsi="Times New Roman" w:eastAsia="宋体" w:cs="Times New Roman"/>
      <w:sz w:val="24"/>
      <w:szCs w:val="24"/>
    </w:rPr>
  </w:style>
  <w:style w:type="paragraph" w:customStyle="1" w:styleId="216">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8">
    <w:name w:val="_Style 2"/>
    <w:basedOn w:val="1"/>
    <w:qFormat/>
    <w:uiPriority w:val="0"/>
    <w:pPr>
      <w:ind w:firstLine="420" w:firstLineChars="200"/>
    </w:pPr>
    <w:rPr>
      <w:rFonts w:ascii="Times New Roman" w:hAnsi="Times New Roman" w:eastAsia="宋体" w:cs="Times New Roman"/>
      <w:szCs w:val="24"/>
    </w:rPr>
  </w:style>
  <w:style w:type="paragraph" w:customStyle="1" w:styleId="219">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0">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1">
    <w:name w:val="题注1"/>
    <w:basedOn w:val="1"/>
    <w:next w:val="13"/>
    <w:qFormat/>
    <w:uiPriority w:val="0"/>
    <w:rPr>
      <w:rFonts w:ascii="Arial" w:hAnsi="Arial" w:eastAsia="宋体" w:cs="Times New Roman"/>
      <w:szCs w:val="24"/>
    </w:rPr>
  </w:style>
  <w:style w:type="paragraph" w:customStyle="1" w:styleId="222">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3">
    <w:name w:val="正文11"/>
    <w:basedOn w:val="1"/>
    <w:qFormat/>
    <w:uiPriority w:val="0"/>
    <w:pPr>
      <w:spacing w:after="120" w:line="360" w:lineRule="auto"/>
    </w:pPr>
    <w:rPr>
      <w:rFonts w:ascii="Arial" w:hAnsi="Arial" w:eastAsia="宋体" w:cs="Times New Roman"/>
      <w:sz w:val="24"/>
      <w:szCs w:val="20"/>
    </w:rPr>
  </w:style>
  <w:style w:type="paragraph" w:customStyle="1" w:styleId="224">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6">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7">
    <w:name w:val="保留正文"/>
    <w:basedOn w:val="19"/>
    <w:qFormat/>
    <w:uiPriority w:val="0"/>
    <w:pPr>
      <w:keepNext/>
      <w:spacing w:after="160"/>
    </w:pPr>
    <w:rPr>
      <w:rFonts w:ascii="Times New Roman" w:hAnsi="Times New Roman" w:eastAsia="宋体" w:cs="Times New Roman"/>
      <w:szCs w:val="24"/>
    </w:rPr>
  </w:style>
  <w:style w:type="paragraph" w:customStyle="1" w:styleId="228">
    <w:name w:val="样式"/>
    <w:basedOn w:val="1"/>
    <w:next w:val="20"/>
    <w:qFormat/>
    <w:uiPriority w:val="0"/>
    <w:pPr>
      <w:jc w:val="center"/>
    </w:pPr>
    <w:rPr>
      <w:rFonts w:ascii="宋体" w:hAnsi="宋体" w:eastAsia="宋体" w:cs="Times New Roman"/>
      <w:color w:val="FF0000"/>
      <w:sz w:val="24"/>
      <w:szCs w:val="24"/>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0">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1">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2">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4">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8">
    <w:name w:val="默认段落字体 Para Char Char Char Char"/>
    <w:basedOn w:val="1"/>
    <w:qFormat/>
    <w:uiPriority w:val="0"/>
    <w:rPr>
      <w:rFonts w:ascii="Times New Roman" w:hAnsi="Times New Roman" w:eastAsia="宋体" w:cs="Times New Roman"/>
      <w:sz w:val="24"/>
      <w:szCs w:val="24"/>
    </w:rPr>
  </w:style>
  <w:style w:type="paragraph" w:customStyle="1" w:styleId="239">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2">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3">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4">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6">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7">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8">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49">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2">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3">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5">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6">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7">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fontstyle01"/>
    <w:basedOn w:val="51"/>
    <w:qFormat/>
    <w:uiPriority w:val="0"/>
    <w:rPr>
      <w:rFonts w:ascii="FZFSK--GBK1-0" w:hAnsi="FZFSK--GBK1-0" w:eastAsia="FZFSK--GBK1-0" w:cs="FZFSK--GBK1-0"/>
      <w:color w:val="000000"/>
      <w:sz w:val="28"/>
      <w:szCs w:val="28"/>
    </w:rPr>
  </w:style>
  <w:style w:type="character" w:customStyle="1" w:styleId="260">
    <w:name w:val="font81"/>
    <w:basedOn w:val="51"/>
    <w:qFormat/>
    <w:uiPriority w:val="0"/>
    <w:rPr>
      <w:rFonts w:hint="default" w:ascii="Times New Roman" w:hAnsi="Times New Roman" w:cs="Times New Roman"/>
      <w:color w:val="000000"/>
      <w:sz w:val="18"/>
      <w:szCs w:val="18"/>
      <w:u w:val="none"/>
    </w:rPr>
  </w:style>
  <w:style w:type="character" w:customStyle="1" w:styleId="261">
    <w:name w:val="font101"/>
    <w:basedOn w:val="51"/>
    <w:qFormat/>
    <w:uiPriority w:val="0"/>
    <w:rPr>
      <w:rFonts w:hint="default" w:ascii="Times New Roman" w:hAnsi="Times New Roman" w:cs="Times New Roman"/>
      <w:color w:val="000000"/>
      <w:sz w:val="18"/>
      <w:szCs w:val="18"/>
      <w:u w:val="none"/>
    </w:rPr>
  </w:style>
  <w:style w:type="paragraph" w:customStyle="1" w:styleId="262">
    <w:name w:val="一级标题"/>
    <w:basedOn w:val="1"/>
    <w:qFormat/>
    <w:uiPriority w:val="0"/>
    <w:pPr>
      <w:numPr>
        <w:ilvl w:val="0"/>
        <w:numId w:val="4"/>
      </w:numPr>
      <w:jc w:val="left"/>
      <w:outlineLvl w:val="0"/>
    </w:pPr>
    <w:rPr>
      <w:rFonts w:ascii="黑体" w:hAnsi="宋体" w:eastAsia="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14211</Words>
  <Characters>14717</Characters>
  <Lines>349</Lines>
  <Paragraphs>352</Paragraphs>
  <TotalTime>1</TotalTime>
  <ScaleCrop>false</ScaleCrop>
  <LinksUpToDate>false</LinksUpToDate>
  <CharactersWithSpaces>14782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2025-07-14T03:57:23Z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07F92B5C2D4A42A8948038B844563293_13</vt:lpwstr>
  </property>
  <property fmtid="{D5CDD505-2E9C-101B-9397-08002B2CF9AE}" pid="4" name="KSOTemplateDocerSaveRecord">
    <vt:lpwstr>eyJoZGlkIjoiOTUyZTMzMGFmZDU3N2E2OTgxMzI3ZWIyZWQ1MDI2NWYiLCJ1c2VySWQiOiI0MDkwNDAzNDUifQ==</vt:lpwstr>
  </property>
</Properties>
</file>