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2ACB5">
      <w:pPr>
        <w:spacing w:line="360" w:lineRule="auto"/>
        <w:jc w:val="center"/>
        <w:rPr>
          <w:rFonts w:ascii="宋体" w:hAnsi="宋体" w:cs="宋体"/>
          <w:b/>
          <w:sz w:val="84"/>
          <w:szCs w:val="84"/>
        </w:rPr>
      </w:pPr>
    </w:p>
    <w:p w14:paraId="771D06BE">
      <w:pPr>
        <w:spacing w:line="360" w:lineRule="auto"/>
        <w:rPr>
          <w:rFonts w:ascii="宋体" w:hAnsi="宋体" w:cs="宋体"/>
          <w:b/>
          <w:sz w:val="84"/>
          <w:szCs w:val="84"/>
        </w:rPr>
      </w:pPr>
    </w:p>
    <w:p w14:paraId="082A5278">
      <w:pPr>
        <w:spacing w:line="360" w:lineRule="auto"/>
        <w:rPr>
          <w:rFonts w:ascii="宋体" w:hAnsi="宋体" w:cs="宋体"/>
          <w:b/>
          <w:sz w:val="84"/>
          <w:szCs w:val="84"/>
        </w:rPr>
      </w:pPr>
    </w:p>
    <w:p w14:paraId="691540DF">
      <w:pPr>
        <w:spacing w:line="360" w:lineRule="auto"/>
        <w:jc w:val="center"/>
        <w:rPr>
          <w:rFonts w:ascii="宋体" w:cs="宋体"/>
          <w:b/>
          <w:sz w:val="84"/>
          <w:szCs w:val="84"/>
        </w:rPr>
      </w:pPr>
      <w:r>
        <w:rPr>
          <w:rFonts w:hint="eastAsia" w:ascii="宋体" w:hAnsi="宋体" w:cs="宋体"/>
          <w:b/>
          <w:sz w:val="84"/>
          <w:szCs w:val="84"/>
        </w:rPr>
        <w:t>合</w:t>
      </w:r>
      <w:r>
        <w:rPr>
          <w:rFonts w:ascii="宋体" w:hAnsi="宋体" w:cs="宋体"/>
          <w:b/>
          <w:sz w:val="84"/>
          <w:szCs w:val="84"/>
        </w:rPr>
        <w:t xml:space="preserve"> </w:t>
      </w:r>
      <w:r>
        <w:rPr>
          <w:rFonts w:hint="eastAsia" w:ascii="宋体" w:hAnsi="宋体" w:cs="宋体"/>
          <w:b/>
          <w:sz w:val="84"/>
          <w:szCs w:val="84"/>
        </w:rPr>
        <w:t>同</w:t>
      </w:r>
      <w:r>
        <w:rPr>
          <w:rFonts w:ascii="宋体" w:hAnsi="宋体" w:cs="宋体"/>
          <w:b/>
          <w:sz w:val="84"/>
          <w:szCs w:val="84"/>
        </w:rPr>
        <w:t xml:space="preserve"> </w:t>
      </w:r>
      <w:bookmarkStart w:id="1" w:name="_GoBack"/>
      <w:bookmarkEnd w:id="1"/>
      <w:r>
        <w:rPr>
          <w:rFonts w:hint="eastAsia" w:ascii="宋体" w:hAnsi="宋体" w:cs="宋体"/>
          <w:b/>
          <w:sz w:val="84"/>
          <w:szCs w:val="84"/>
        </w:rPr>
        <w:t>书</w:t>
      </w:r>
    </w:p>
    <w:p w14:paraId="728BA1AD">
      <w:pPr>
        <w:spacing w:line="360" w:lineRule="auto"/>
        <w:jc w:val="center"/>
        <w:rPr>
          <w:rFonts w:ascii="宋体" w:cs="宋体"/>
          <w:b/>
          <w:bCs/>
          <w:kern w:val="44"/>
          <w:lang w:val="zh-CN"/>
        </w:rPr>
      </w:pPr>
    </w:p>
    <w:p w14:paraId="1B772C8D">
      <w:pPr>
        <w:spacing w:line="360" w:lineRule="auto"/>
        <w:jc w:val="center"/>
        <w:rPr>
          <w:rFonts w:ascii="宋体" w:cs="宋体"/>
          <w:b/>
          <w:bCs/>
          <w:kern w:val="44"/>
          <w:lang w:val="zh-CN"/>
        </w:rPr>
      </w:pPr>
    </w:p>
    <w:p w14:paraId="4210662D">
      <w:pPr>
        <w:spacing w:line="360" w:lineRule="auto"/>
        <w:jc w:val="center"/>
        <w:rPr>
          <w:rFonts w:ascii="宋体" w:cs="宋体"/>
          <w:b/>
          <w:bCs/>
          <w:kern w:val="44"/>
          <w:lang w:val="zh-CN"/>
        </w:rPr>
      </w:pPr>
    </w:p>
    <w:p w14:paraId="12AD044F">
      <w:pPr>
        <w:spacing w:line="360" w:lineRule="auto"/>
        <w:jc w:val="center"/>
        <w:rPr>
          <w:rFonts w:ascii="宋体" w:cs="宋体"/>
          <w:b/>
          <w:bCs/>
          <w:kern w:val="44"/>
          <w:lang w:val="zh-CN"/>
        </w:rPr>
      </w:pPr>
    </w:p>
    <w:p w14:paraId="52CC665F">
      <w:pPr>
        <w:spacing w:line="360" w:lineRule="auto"/>
        <w:jc w:val="center"/>
        <w:rPr>
          <w:rFonts w:ascii="宋体" w:cs="宋体"/>
          <w:b/>
          <w:bCs/>
          <w:kern w:val="44"/>
          <w:lang w:val="zh-CN"/>
        </w:rPr>
      </w:pPr>
    </w:p>
    <w:p w14:paraId="04D4D5A1">
      <w:pPr>
        <w:spacing w:before="100" w:beforeAutospacing="1" w:after="100" w:afterAutospacing="1" w:line="360" w:lineRule="auto"/>
        <w:rPr>
          <w:rFonts w:ascii="宋体" w:cs="宋体"/>
          <w:b/>
          <w:sz w:val="30"/>
          <w:szCs w:val="30"/>
          <w:u w:val="single"/>
        </w:rPr>
      </w:pPr>
    </w:p>
    <w:p w14:paraId="2AAD3EF1">
      <w:pPr>
        <w:spacing w:before="100" w:beforeAutospacing="1" w:after="100" w:afterAutospacing="1" w:line="360" w:lineRule="auto"/>
        <w:rPr>
          <w:rFonts w:ascii="宋体" w:cs="宋体"/>
          <w:b/>
          <w:sz w:val="30"/>
          <w:szCs w:val="30"/>
          <w:u w:val="single"/>
        </w:rPr>
      </w:pPr>
    </w:p>
    <w:p w14:paraId="0712B43F">
      <w:pPr>
        <w:spacing w:before="100" w:beforeAutospacing="1" w:after="100" w:afterAutospacing="1" w:line="360" w:lineRule="auto"/>
        <w:jc w:val="center"/>
        <w:rPr>
          <w:rFonts w:ascii="宋体" w:cs="宋体"/>
          <w:b/>
          <w:sz w:val="30"/>
          <w:szCs w:val="30"/>
          <w:u w:val="single"/>
        </w:rPr>
      </w:pPr>
      <w:r>
        <w:rPr>
          <w:rFonts w:hint="eastAsia" w:ascii="宋体" w:hAnsi="宋体" w:cs="宋体"/>
          <w:b/>
          <w:sz w:val="30"/>
          <w:szCs w:val="30"/>
        </w:rPr>
        <w:t>合同名称：</w:t>
      </w:r>
      <w:r>
        <w:rPr>
          <w:rFonts w:hint="eastAsia" w:ascii="宋体" w:hAnsi="宋体" w:cs="宋体"/>
          <w:b/>
          <w:sz w:val="30"/>
          <w:szCs w:val="30"/>
          <w:u w:val="single"/>
        </w:rPr>
        <w:t xml:space="preserve"> 广东省肇庆监狱2025年网络安全保障服务项目</w:t>
      </w:r>
      <w:r>
        <w:rPr>
          <w:rFonts w:hint="eastAsia" w:ascii="宋体" w:hAnsi="宋体" w:cs="宋体"/>
          <w:b/>
          <w:sz w:val="30"/>
          <w:szCs w:val="30"/>
          <w:u w:val="single"/>
          <w:lang w:eastAsia="zh-CN"/>
        </w:rPr>
        <w:t>（</w:t>
      </w:r>
      <w:r>
        <w:rPr>
          <w:rFonts w:hint="eastAsia" w:ascii="宋体" w:hAnsi="宋体" w:cs="宋体"/>
          <w:b/>
          <w:sz w:val="30"/>
          <w:szCs w:val="30"/>
          <w:u w:val="single"/>
          <w:lang w:val="en-US" w:eastAsia="zh-CN"/>
        </w:rPr>
        <w:t>第二次</w:t>
      </w:r>
      <w:r>
        <w:rPr>
          <w:rFonts w:hint="eastAsia" w:ascii="宋体" w:hAnsi="宋体" w:cs="宋体"/>
          <w:b/>
          <w:sz w:val="30"/>
          <w:szCs w:val="30"/>
          <w:u w:val="single"/>
          <w:lang w:eastAsia="zh-CN"/>
        </w:rPr>
        <w:t>）</w:t>
      </w:r>
      <w:r>
        <w:rPr>
          <w:rFonts w:hint="eastAsia" w:ascii="宋体" w:hAnsi="宋体" w:cs="宋体"/>
          <w:b/>
          <w:sz w:val="30"/>
          <w:szCs w:val="30"/>
          <w:u w:val="single"/>
        </w:rPr>
        <w:t xml:space="preserve">采购合同 </w:t>
      </w:r>
    </w:p>
    <w:p w14:paraId="36A786D1">
      <w:pPr>
        <w:tabs>
          <w:tab w:val="left" w:pos="720"/>
        </w:tabs>
        <w:spacing w:after="156" w:afterLines="50" w:line="360" w:lineRule="auto"/>
        <w:jc w:val="center"/>
        <w:rPr>
          <w:rFonts w:ascii="宋体" w:hAnsi="宋体" w:cs="宋体"/>
          <w:b/>
          <w:sz w:val="44"/>
          <w:szCs w:val="44"/>
        </w:rPr>
      </w:pPr>
    </w:p>
    <w:p w14:paraId="293A1417">
      <w:pPr>
        <w:tabs>
          <w:tab w:val="left" w:pos="720"/>
        </w:tabs>
        <w:spacing w:after="156" w:afterLines="50" w:line="360" w:lineRule="auto"/>
        <w:jc w:val="center"/>
        <w:rPr>
          <w:rFonts w:ascii="宋体" w:hAnsi="宋体" w:cs="宋体"/>
          <w:b/>
          <w:sz w:val="44"/>
          <w:szCs w:val="44"/>
        </w:rPr>
      </w:pPr>
    </w:p>
    <w:p w14:paraId="4D243842">
      <w:pPr>
        <w:tabs>
          <w:tab w:val="left" w:pos="720"/>
        </w:tabs>
        <w:spacing w:after="156" w:afterLines="50" w:line="360" w:lineRule="auto"/>
        <w:rPr>
          <w:rFonts w:ascii="宋体" w:hAnsi="宋体" w:cs="宋体"/>
          <w:b/>
          <w:sz w:val="44"/>
          <w:szCs w:val="44"/>
        </w:rPr>
      </w:pPr>
    </w:p>
    <w:p w14:paraId="35B8C43A">
      <w:pPr>
        <w:tabs>
          <w:tab w:val="left" w:pos="720"/>
        </w:tabs>
        <w:spacing w:after="156" w:afterLines="50" w:line="360" w:lineRule="auto"/>
        <w:rPr>
          <w:rFonts w:ascii="宋体" w:hAnsi="宋体" w:cs="宋体"/>
          <w:b/>
          <w:sz w:val="44"/>
          <w:szCs w:val="44"/>
        </w:rPr>
      </w:pPr>
    </w:p>
    <w:p w14:paraId="6ECBD7A7">
      <w:pPr>
        <w:tabs>
          <w:tab w:val="left" w:pos="720"/>
        </w:tabs>
        <w:spacing w:after="156" w:afterLines="50" w:line="360" w:lineRule="auto"/>
        <w:jc w:val="center"/>
        <w:rPr>
          <w:rFonts w:ascii="宋体" w:hAnsi="宋体" w:cs="宋体"/>
          <w:b/>
          <w:sz w:val="44"/>
          <w:szCs w:val="44"/>
        </w:rPr>
        <w:sectPr>
          <w:pgSz w:w="11906" w:h="16838"/>
          <w:pgMar w:top="1440" w:right="1800" w:bottom="1440" w:left="1800" w:header="851" w:footer="992" w:gutter="0"/>
          <w:cols w:space="425" w:num="1"/>
          <w:docGrid w:type="lines" w:linePitch="312" w:charSpace="0"/>
        </w:sectPr>
      </w:pPr>
    </w:p>
    <w:p w14:paraId="53E19CF7">
      <w:pPr>
        <w:tabs>
          <w:tab w:val="left" w:pos="720"/>
        </w:tabs>
        <w:spacing w:after="156" w:afterLines="50" w:line="360" w:lineRule="auto"/>
        <w:jc w:val="center"/>
        <w:rPr>
          <w:rFonts w:ascii="宋体" w:hAnsi="宋体" w:cs="宋体"/>
          <w:b/>
          <w:sz w:val="44"/>
          <w:szCs w:val="44"/>
        </w:rPr>
      </w:pPr>
      <w:r>
        <w:rPr>
          <w:rFonts w:hint="eastAsia" w:ascii="宋体" w:hAnsi="宋体" w:cs="宋体"/>
          <w:b/>
          <w:sz w:val="44"/>
          <w:szCs w:val="44"/>
        </w:rPr>
        <w:t>合 同 书</w:t>
      </w:r>
    </w:p>
    <w:p w14:paraId="77B48717">
      <w:pPr>
        <w:spacing w:line="360" w:lineRule="auto"/>
        <w:rPr>
          <w:rFonts w:ascii="宋体" w:hAnsi="宋体" w:cs="宋体"/>
          <w:sz w:val="11"/>
          <w:szCs w:val="11"/>
        </w:rPr>
      </w:pPr>
    </w:p>
    <w:p w14:paraId="78FB47FE">
      <w:pPr>
        <w:spacing w:line="360" w:lineRule="auto"/>
        <w:rPr>
          <w:rFonts w:ascii="宋体" w:hAnsi="宋体" w:cs="宋体"/>
          <w:szCs w:val="21"/>
          <w:u w:val="single"/>
        </w:rPr>
      </w:pPr>
      <w:r>
        <w:rPr>
          <w:rFonts w:hint="eastAsia" w:ascii="宋体" w:hAnsi="宋体" w:cs="宋体"/>
          <w:szCs w:val="21"/>
        </w:rPr>
        <w:t>甲方（需方）：</w:t>
      </w:r>
      <w:r>
        <w:rPr>
          <w:rFonts w:hint="eastAsia" w:ascii="宋体" w:hAnsi="宋体" w:cs="宋体"/>
          <w:szCs w:val="21"/>
          <w:u w:val="single"/>
        </w:rPr>
        <w:t xml:space="preserve">    广东省肇庆监狱    </w:t>
      </w:r>
      <w:r>
        <w:rPr>
          <w:rFonts w:hint="eastAsia" w:ascii="宋体" w:hAnsi="宋体" w:cs="宋体"/>
          <w:szCs w:val="21"/>
        </w:rPr>
        <w:t xml:space="preserve">       合同编号：</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 xml:space="preserve">  </w:t>
      </w:r>
    </w:p>
    <w:p w14:paraId="28B41331">
      <w:pPr>
        <w:spacing w:after="156" w:afterLines="50" w:line="360" w:lineRule="auto"/>
        <w:rPr>
          <w:rFonts w:ascii="宋体" w:hAnsi="宋体" w:cs="宋体"/>
          <w:sz w:val="11"/>
          <w:szCs w:val="11"/>
        </w:rPr>
      </w:pPr>
      <w:r>
        <w:rPr>
          <w:rFonts w:hint="eastAsia" w:ascii="宋体" w:hAnsi="宋体" w:cs="宋体"/>
          <w:szCs w:val="21"/>
        </w:rPr>
        <w:t>乙方（供方）：</w:t>
      </w:r>
      <w:r>
        <w:rPr>
          <w:rFonts w:hint="eastAsia" w:ascii="宋体" w:hAnsi="宋体" w:cs="宋体"/>
          <w:szCs w:val="21"/>
          <w:u w:val="single"/>
        </w:rPr>
        <w:t xml:space="preserve">                     </w:t>
      </w:r>
      <w:r>
        <w:rPr>
          <w:rFonts w:hint="eastAsia" w:ascii="宋体" w:hAnsi="宋体" w:cs="宋体"/>
          <w:szCs w:val="21"/>
        </w:rPr>
        <w:t xml:space="preserve">         签约地点：</w:t>
      </w:r>
      <w:r>
        <w:rPr>
          <w:rFonts w:ascii="宋体" w:hAnsi="宋体" w:cs="宋体"/>
          <w:szCs w:val="21"/>
          <w:u w:val="single"/>
        </w:rPr>
        <w:t xml:space="preserve"> </w:t>
      </w:r>
      <w:r>
        <w:rPr>
          <w:rFonts w:hint="eastAsia" w:ascii="宋体" w:hAnsi="宋体" w:cs="宋体"/>
          <w:szCs w:val="21"/>
          <w:u w:val="single"/>
        </w:rPr>
        <w:t>广东省肇庆监狱</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262927BF">
      <w:pPr>
        <w:snapToGrid w:val="0"/>
        <w:spacing w:line="360" w:lineRule="auto"/>
        <w:ind w:left="105" w:leftChars="50" w:firstLine="315" w:firstLineChars="150"/>
        <w:rPr>
          <w:rFonts w:ascii="宋体" w:hAnsi="宋体" w:cs="宋体"/>
          <w:szCs w:val="21"/>
        </w:rPr>
      </w:pPr>
    </w:p>
    <w:p w14:paraId="21911612">
      <w:pPr>
        <w:snapToGrid w:val="0"/>
        <w:spacing w:line="360" w:lineRule="auto"/>
        <w:ind w:firstLine="420" w:firstLineChars="200"/>
        <w:rPr>
          <w:rFonts w:ascii="宋体" w:hAnsi="宋体" w:cs="宋体"/>
          <w:kern w:val="28"/>
          <w:szCs w:val="21"/>
        </w:rPr>
      </w:pPr>
      <w:r>
        <w:rPr>
          <w:rFonts w:hint="eastAsia" w:ascii="宋体" w:hAnsi="宋体" w:cs="宋体"/>
          <w:szCs w:val="21"/>
        </w:rPr>
        <w:t>根据《中华人民共和国民法典》及竞价文件的承诺，</w:t>
      </w:r>
      <w:r>
        <w:rPr>
          <w:rFonts w:hint="eastAsia" w:ascii="宋体" w:hAnsi="宋体" w:cs="宋体"/>
          <w:kern w:val="28"/>
          <w:szCs w:val="21"/>
        </w:rPr>
        <w:t>经双方协商，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p>
    <w:p w14:paraId="6B8EF101">
      <w:pPr>
        <w:pStyle w:val="21"/>
        <w:numPr>
          <w:ilvl w:val="255"/>
          <w:numId w:val="0"/>
        </w:numPr>
        <w:spacing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一、合同名称</w:t>
      </w:r>
    </w:p>
    <w:p w14:paraId="6FC6EC56">
      <w:pPr>
        <w:snapToGrid w:val="0"/>
        <w:spacing w:line="360" w:lineRule="auto"/>
        <w:ind w:firstLine="420" w:firstLineChars="200"/>
        <w:rPr>
          <w:rFonts w:ascii="宋体" w:hAnsi="宋体" w:cs="宋体"/>
          <w:szCs w:val="21"/>
          <w:u w:val="single"/>
        </w:rPr>
      </w:pPr>
      <w:r>
        <w:rPr>
          <w:rFonts w:hint="eastAsia" w:ascii="宋体" w:hAnsi="宋体" w:cs="宋体"/>
          <w:szCs w:val="21"/>
        </w:rPr>
        <w:t>合同名称：</w:t>
      </w:r>
      <w:r>
        <w:rPr>
          <w:rFonts w:hint="eastAsia" w:ascii="宋体" w:hAnsi="宋体" w:cs="宋体"/>
          <w:szCs w:val="21"/>
          <w:u w:val="single"/>
        </w:rPr>
        <w:t xml:space="preserve">   广东省肇庆监狱2025年网络安全保障服务项目（第二次）采购合同  </w:t>
      </w:r>
      <w:r>
        <w:rPr>
          <w:rFonts w:hint="eastAsia" w:ascii="宋体" w:hAnsi="宋体" w:cs="宋体"/>
          <w:szCs w:val="21"/>
        </w:rPr>
        <w:t xml:space="preserve">                           </w:t>
      </w:r>
      <w:r>
        <w:rPr>
          <w:rFonts w:hint="eastAsia" w:ascii="宋体" w:hAnsi="宋体" w:cs="宋体"/>
          <w:szCs w:val="21"/>
          <w:u w:val="single"/>
        </w:rPr>
        <w:t xml:space="preserve">              </w:t>
      </w:r>
    </w:p>
    <w:p w14:paraId="5ADDE46E">
      <w:pPr>
        <w:pStyle w:val="21"/>
        <w:numPr>
          <w:ilvl w:val="255"/>
          <w:numId w:val="0"/>
        </w:num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r>
        <w:rPr>
          <w:rFonts w:ascii="宋体" w:eastAsia="宋体" w:cs="宋体"/>
          <w:b/>
          <w:bCs/>
          <w:sz w:val="21"/>
          <w:szCs w:val="21"/>
        </w:rPr>
        <w:t>、合同</w:t>
      </w:r>
      <w:r>
        <w:rPr>
          <w:rFonts w:hint="eastAsia" w:ascii="宋体" w:eastAsia="宋体" w:cs="宋体"/>
          <w:b/>
          <w:bCs/>
          <w:sz w:val="21"/>
          <w:szCs w:val="21"/>
        </w:rPr>
        <w:t>金额</w:t>
      </w:r>
    </w:p>
    <w:p w14:paraId="0CE0125A">
      <w:pPr>
        <w:spacing w:line="360" w:lineRule="auto"/>
        <w:ind w:firstLine="420" w:firstLineChars="200"/>
        <w:rPr>
          <w:rFonts w:asciiTheme="minorEastAsia" w:hAnsiTheme="minorEastAsia" w:eastAsiaTheme="minorEastAsia" w:cstheme="minorEastAsia"/>
          <w:i/>
          <w:color w:val="7F7F7F"/>
          <w:szCs w:val="21"/>
        </w:rPr>
      </w:pPr>
      <w:r>
        <w:rPr>
          <w:rFonts w:hint="eastAsia" w:asciiTheme="minorEastAsia" w:hAnsiTheme="minorEastAsia" w:eastAsiaTheme="minorEastAsia" w:cstheme="minorEastAsia"/>
          <w:szCs w:val="21"/>
        </w:rPr>
        <w:t>本合同金额为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i/>
          <w:color w:val="7F7F7F"/>
          <w:szCs w:val="21"/>
        </w:rPr>
        <w:t>。</w:t>
      </w:r>
    </w:p>
    <w:p w14:paraId="39DF9776">
      <w:pPr>
        <w:pStyle w:val="2"/>
      </w:pPr>
      <w:r>
        <w:rPr>
          <w:rFonts w:hint="eastAsia"/>
        </w:rPr>
        <w:t>合同总价包括了服务期间所有服务费用、设备费用、正常的税金、雇员费用、税费、不可预见费等完成本合同内容所需的一切费用及合同实施过程中应预见和不可预见费用等。乙方不得再向甲方收取任何费用。</w:t>
      </w:r>
    </w:p>
    <w:p w14:paraId="324E6B24">
      <w:pPr>
        <w:pStyle w:val="21"/>
        <w:numPr>
          <w:ilvl w:val="0"/>
          <w:numId w:val="0"/>
        </w:numPr>
        <w:spacing w:line="360" w:lineRule="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三、合同服务期限</w:t>
      </w:r>
    </w:p>
    <w:p w14:paraId="2005B16B">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1.等保测评服务以合同签订之日起</w:t>
      </w:r>
      <w:r>
        <w:rPr>
          <w:rFonts w:hint="eastAsia" w:asciiTheme="minorEastAsia" w:hAnsiTheme="minorEastAsia" w:eastAsiaTheme="minorEastAsia" w:cstheme="minorEastAsia"/>
          <w:szCs w:val="21"/>
          <w:u w:val="single"/>
        </w:rPr>
        <w:t>60</w:t>
      </w:r>
      <w:r>
        <w:rPr>
          <w:rFonts w:hint="eastAsia" w:asciiTheme="minorEastAsia" w:hAnsiTheme="minorEastAsia" w:eastAsiaTheme="minorEastAsia" w:cstheme="minorEastAsia"/>
          <w:szCs w:val="21"/>
        </w:rPr>
        <w:t>天内完成测评服务，以提交报告给公安并收到回执为准。</w:t>
      </w:r>
    </w:p>
    <w:p w14:paraId="6033828B">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2.网络安全加固，网络安全应急响应等服务以2025年8月12日起，服务期限为</w:t>
      </w:r>
      <w:r>
        <w:rPr>
          <w:rFonts w:hint="eastAsia" w:asciiTheme="minorEastAsia" w:hAnsiTheme="minorEastAsia" w:eastAsiaTheme="minorEastAsia" w:cstheme="minorEastAsia"/>
          <w:szCs w:val="21"/>
          <w:u w:val="single"/>
        </w:rPr>
        <w:t>一年</w:t>
      </w:r>
      <w:r>
        <w:rPr>
          <w:rFonts w:hint="eastAsia" w:asciiTheme="minorEastAsia" w:hAnsiTheme="minorEastAsia" w:eastAsiaTheme="minorEastAsia" w:cstheme="minorEastAsia"/>
          <w:szCs w:val="21"/>
        </w:rPr>
        <w:t>。</w:t>
      </w:r>
    </w:p>
    <w:p w14:paraId="6D7CC421">
      <w:pPr>
        <w:pStyle w:val="21"/>
        <w:numPr>
          <w:ilvl w:val="0"/>
          <w:numId w:val="0"/>
        </w:numPr>
        <w:spacing w:line="360" w:lineRule="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四、合同内容</w:t>
      </w:r>
    </w:p>
    <w:p w14:paraId="4EA8CFF2">
      <w:pPr>
        <w:spacing w:line="360" w:lineRule="auto"/>
        <w:ind w:left="631" w:leftChars="200" w:hanging="211" w:hangingChars="1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4.1、项目概述</w:t>
      </w:r>
    </w:p>
    <w:p w14:paraId="555580CC">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广东省肇庆监狱拟对已完成定级、备案的第三级信息系统（包括其所含各相关子系统（模块））开展网络安全等级保护测评、整改，网络安全设备升级，安全加固服务，网络安全培训及网络安全应急演练等相关工作。</w:t>
      </w:r>
    </w:p>
    <w:p w14:paraId="79665E47">
      <w:pPr>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4.2、项目范围</w:t>
      </w:r>
    </w:p>
    <w:p w14:paraId="196DEEB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服务范围包括：共计1个已完成定级、备案第三级信息系统（包括其所含各相关子系统（模块））；上述信息系统所涉及的网络、主机、安全设备、应用、数据、机房环境、管理制度等；监狱网络安全设备升级；安全加固服务。具体如下：</w:t>
      </w:r>
    </w:p>
    <w:p w14:paraId="6297F31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信息系统及分布情况：1个第三级信息系统（包括其所含各相关子系统（模块））所涉及的基础软硬件环境等均部署于监狱中心机房。乙方需根据实施阶段对待测信息系统所涵盖的范围进行调整，甲方无需支付额外费用。</w:t>
      </w:r>
    </w:p>
    <w:p w14:paraId="01D9961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（2）网络情况：系统部署与政法内网，政法内网部分包括政法网出口、核心区、安全管理区、生产区（其中生产区包含应用区和数据库区）、存储区等网络区域，通过专线与上级单位互联，进行数据交互。</w:t>
      </w:r>
    </w:p>
    <w:p w14:paraId="26767F4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监狱网络安全设备：天融信应用安全网关系统（IDP特征库、WEB过滤库、专业版快速扫描查杀防病毒库、应用识别特征库1年升级服务许可,适用于NU-31116产品(绑SN)），如果旧版本不能升级，需提供部署新版本。天融信Web应用安全防护系统（WAF产品特征库1年升级License,适用于TWF-52116产品(绑SN)），如果旧版本不能升级，需提供部署新版本。</w:t>
      </w:r>
      <w:r>
        <w:rPr>
          <w:rFonts w:ascii="宋体" w:hAnsi="宋体" w:cs="宋体"/>
          <w:sz w:val="24"/>
        </w:rPr>
        <w:t>天融信</w:t>
      </w:r>
      <w:r>
        <w:rPr>
          <w:rFonts w:hint="eastAsia" w:asciiTheme="minorEastAsia" w:hAnsiTheme="minorEastAsia" w:eastAsiaTheme="minorEastAsia" w:cstheme="minorEastAsia"/>
          <w:szCs w:val="21"/>
        </w:rPr>
        <w:t>安全管理系统V3(日志服务器系统），原许可型号TAEX_S，许可类型396e0c65，升级版本，如果旧版本不能升级，需提供部署新版本，系统永久授权。</w:t>
      </w:r>
    </w:p>
    <w:p w14:paraId="1B8EAD6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安全加固服务：对单位终端、操作系统安全加固和优化，对机房网络设备安全加固和优化，包括主机（PC、办公终端）、网络设备和网络设施（交换机、路由器等）打补丁、升级、修补、加固和优化，协助处理应急网络安全事件并提供相关报告，</w:t>
      </w:r>
      <w:r>
        <w:rPr>
          <w:rFonts w:hint="eastAsia" w:ascii="宋体" w:hAnsi="宋体" w:cs="宋体"/>
          <w:color w:val="000000"/>
          <w:kern w:val="0"/>
          <w:sz w:val="24"/>
        </w:rPr>
        <w:t>对全狱终端</w:t>
      </w:r>
      <w:r>
        <w:rPr>
          <w:rFonts w:hint="eastAsia" w:asciiTheme="minorEastAsia" w:hAnsiTheme="minorEastAsia" w:eastAsiaTheme="minorEastAsia" w:cstheme="minorEastAsia"/>
          <w:szCs w:val="21"/>
        </w:rPr>
        <w:t>系统、安全设备、网络进行漏洞扫描、修复，要求每月现场驻场处置不少于3个工作日。网络安全加固和优化过程需记录完整技术方法，形成经验教训登记册文档，移交给建设单位。</w:t>
      </w:r>
    </w:p>
    <w:p w14:paraId="62B73D5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网络安全应急响应服务：对建设单位网络安全事件进行现场应急处置；节假日提供网络安全检查及运维协助，如线上处理不了则必须当天到达现场处理；合同服务期内组织一次网络安全应急演练，形成网络安全应急演练记录表，记录完整技术方法，移交给建设单位。</w:t>
      </w:r>
    </w:p>
    <w:p w14:paraId="4A8BA7D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（6）网络安全培训：组织一次本地网络安全知识培训，形成网络安全培训记录表，记录完整技术方法，移交给建设单位；提供不少于2人次CISP(或同等国家认证）线下培训课程服务与考试领证服务。</w:t>
      </w:r>
    </w:p>
    <w:p w14:paraId="4989E361">
      <w:pPr>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4.3、项目内容清单</w:t>
      </w:r>
    </w:p>
    <w:tbl>
      <w:tblPr>
        <w:tblStyle w:val="11"/>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010"/>
        <w:gridCol w:w="2695"/>
        <w:gridCol w:w="1278"/>
        <w:gridCol w:w="1684"/>
      </w:tblGrid>
      <w:tr w14:paraId="6362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51" w:type="dxa"/>
            <w:vAlign w:val="center"/>
          </w:tcPr>
          <w:p w14:paraId="5A37E112">
            <w:pPr>
              <w:jc w:val="center"/>
              <w:rPr>
                <w:rFonts w:eastAsiaTheme="minorEastAsia"/>
                <w:szCs w:val="21"/>
              </w:rPr>
            </w:pPr>
            <w:r>
              <w:rPr>
                <w:rFonts w:hint="eastAsia"/>
                <w:szCs w:val="21"/>
              </w:rPr>
              <w:t>序号</w:t>
            </w:r>
          </w:p>
        </w:tc>
        <w:tc>
          <w:tcPr>
            <w:tcW w:w="2010" w:type="dxa"/>
            <w:vAlign w:val="center"/>
          </w:tcPr>
          <w:p w14:paraId="3F29BF4F">
            <w:pPr>
              <w:jc w:val="center"/>
              <w:rPr>
                <w:rFonts w:eastAsiaTheme="minorEastAsia"/>
                <w:szCs w:val="21"/>
              </w:rPr>
            </w:pPr>
            <w:r>
              <w:rPr>
                <w:rFonts w:hint="eastAsia"/>
                <w:szCs w:val="21"/>
              </w:rPr>
              <w:t>项目内容</w:t>
            </w:r>
          </w:p>
        </w:tc>
        <w:tc>
          <w:tcPr>
            <w:tcW w:w="2695" w:type="dxa"/>
            <w:vAlign w:val="center"/>
          </w:tcPr>
          <w:p w14:paraId="1D073B17">
            <w:pPr>
              <w:jc w:val="center"/>
              <w:rPr>
                <w:rFonts w:eastAsiaTheme="minorEastAsia"/>
                <w:szCs w:val="21"/>
              </w:rPr>
            </w:pPr>
            <w:r>
              <w:rPr>
                <w:rFonts w:hint="eastAsia"/>
                <w:szCs w:val="21"/>
              </w:rPr>
              <w:t>内容详情</w:t>
            </w:r>
          </w:p>
        </w:tc>
        <w:tc>
          <w:tcPr>
            <w:tcW w:w="1278" w:type="dxa"/>
            <w:vAlign w:val="center"/>
          </w:tcPr>
          <w:p w14:paraId="17469571">
            <w:pPr>
              <w:jc w:val="center"/>
              <w:rPr>
                <w:rFonts w:eastAsiaTheme="minorEastAsia"/>
                <w:szCs w:val="21"/>
              </w:rPr>
            </w:pPr>
            <w:r>
              <w:rPr>
                <w:rFonts w:hint="eastAsia"/>
                <w:szCs w:val="21"/>
              </w:rPr>
              <w:t>价格</w:t>
            </w:r>
          </w:p>
        </w:tc>
        <w:tc>
          <w:tcPr>
            <w:tcW w:w="1684" w:type="dxa"/>
            <w:vAlign w:val="center"/>
          </w:tcPr>
          <w:p w14:paraId="4102CA8E">
            <w:pPr>
              <w:jc w:val="center"/>
              <w:rPr>
                <w:rFonts w:eastAsiaTheme="minorEastAsia"/>
                <w:szCs w:val="21"/>
              </w:rPr>
            </w:pPr>
            <w:r>
              <w:rPr>
                <w:rFonts w:hint="eastAsia"/>
                <w:szCs w:val="21"/>
              </w:rPr>
              <w:t>备注</w:t>
            </w:r>
          </w:p>
        </w:tc>
      </w:tr>
      <w:tr w14:paraId="4399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51" w:type="dxa"/>
            <w:vAlign w:val="center"/>
          </w:tcPr>
          <w:p w14:paraId="08CFCC08">
            <w:pPr>
              <w:jc w:val="center"/>
              <w:rPr>
                <w:rFonts w:eastAsiaTheme="minorEastAsia"/>
                <w:szCs w:val="21"/>
              </w:rPr>
            </w:pPr>
            <w:r>
              <w:rPr>
                <w:rFonts w:hint="eastAsia"/>
                <w:szCs w:val="21"/>
              </w:rPr>
              <w:t>1</w:t>
            </w:r>
          </w:p>
        </w:tc>
        <w:tc>
          <w:tcPr>
            <w:tcW w:w="2010" w:type="dxa"/>
            <w:vAlign w:val="center"/>
          </w:tcPr>
          <w:p w14:paraId="41105D8D">
            <w:pPr>
              <w:jc w:val="left"/>
              <w:rPr>
                <w:szCs w:val="21"/>
              </w:rPr>
            </w:pPr>
            <w:r>
              <w:rPr>
                <w:rFonts w:hint="eastAsia" w:ascii="宋体" w:hAnsi="宋体" w:cs="宋体"/>
                <w:color w:val="000000"/>
                <w:kern w:val="0"/>
                <w:szCs w:val="21"/>
              </w:rPr>
              <w:t>信息系统等级保护测评服务</w:t>
            </w:r>
          </w:p>
        </w:tc>
        <w:tc>
          <w:tcPr>
            <w:tcW w:w="2695" w:type="dxa"/>
            <w:vAlign w:val="center"/>
          </w:tcPr>
          <w:p w14:paraId="0DCB005D">
            <w:pPr>
              <w:jc w:val="left"/>
              <w:rPr>
                <w:rFonts w:eastAsiaTheme="minorEastAsia"/>
                <w:szCs w:val="21"/>
              </w:rPr>
            </w:pPr>
            <w:r>
              <w:rPr>
                <w:rFonts w:hint="eastAsia"/>
                <w:szCs w:val="21"/>
              </w:rPr>
              <w:t>一个三级系统的等保测评</w:t>
            </w:r>
          </w:p>
        </w:tc>
        <w:tc>
          <w:tcPr>
            <w:tcW w:w="1278" w:type="dxa"/>
            <w:vAlign w:val="center"/>
          </w:tcPr>
          <w:p w14:paraId="76E3E148">
            <w:pPr>
              <w:jc w:val="left"/>
              <w:rPr>
                <w:szCs w:val="21"/>
              </w:rPr>
            </w:pPr>
          </w:p>
        </w:tc>
        <w:tc>
          <w:tcPr>
            <w:tcW w:w="1684" w:type="dxa"/>
            <w:vAlign w:val="center"/>
          </w:tcPr>
          <w:p w14:paraId="53609450">
            <w:pPr>
              <w:jc w:val="left"/>
              <w:rPr>
                <w:rFonts w:eastAsiaTheme="minorEastAsia"/>
                <w:szCs w:val="21"/>
              </w:rPr>
            </w:pPr>
            <w:r>
              <w:rPr>
                <w:rFonts w:hint="eastAsia"/>
                <w:szCs w:val="21"/>
              </w:rPr>
              <w:t>一年服务</w:t>
            </w:r>
          </w:p>
        </w:tc>
      </w:tr>
      <w:tr w14:paraId="0D61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751" w:type="dxa"/>
            <w:vAlign w:val="center"/>
          </w:tcPr>
          <w:p w14:paraId="6C26F62F">
            <w:pPr>
              <w:jc w:val="center"/>
              <w:rPr>
                <w:rFonts w:eastAsiaTheme="minorEastAsia"/>
                <w:szCs w:val="21"/>
              </w:rPr>
            </w:pPr>
            <w:r>
              <w:rPr>
                <w:rFonts w:hint="eastAsia"/>
                <w:szCs w:val="21"/>
              </w:rPr>
              <w:t>2</w:t>
            </w:r>
          </w:p>
        </w:tc>
        <w:tc>
          <w:tcPr>
            <w:tcW w:w="2010" w:type="dxa"/>
            <w:vAlign w:val="center"/>
          </w:tcPr>
          <w:p w14:paraId="0C36D354">
            <w:pPr>
              <w:jc w:val="left"/>
              <w:rPr>
                <w:szCs w:val="21"/>
              </w:rPr>
            </w:pPr>
            <w:r>
              <w:rPr>
                <w:rFonts w:hint="eastAsia" w:ascii="宋体" w:hAnsi="宋体" w:cs="宋体"/>
                <w:color w:val="000000"/>
                <w:kern w:val="0"/>
                <w:szCs w:val="21"/>
              </w:rPr>
              <w:t>信息系统等级保护整改优化</w:t>
            </w:r>
          </w:p>
        </w:tc>
        <w:tc>
          <w:tcPr>
            <w:tcW w:w="2695" w:type="dxa"/>
            <w:vAlign w:val="center"/>
          </w:tcPr>
          <w:p w14:paraId="7AE65C38">
            <w:pPr>
              <w:numPr>
                <w:ilvl w:val="0"/>
                <w:numId w:val="3"/>
              </w:numPr>
              <w:jc w:val="left"/>
              <w:rPr>
                <w:rFonts w:ascii="宋体" w:hAnsi="宋体" w:cs="宋体"/>
                <w:color w:val="000000"/>
                <w:kern w:val="0"/>
                <w:szCs w:val="21"/>
              </w:rPr>
            </w:pPr>
            <w:r>
              <w:rPr>
                <w:rFonts w:hint="eastAsia"/>
                <w:szCs w:val="21"/>
              </w:rPr>
              <w:t>对测评系统进行</w:t>
            </w:r>
            <w:r>
              <w:rPr>
                <w:rFonts w:hint="eastAsia" w:ascii="宋体" w:hAnsi="宋体" w:cs="宋体"/>
                <w:color w:val="000000"/>
                <w:kern w:val="0"/>
                <w:szCs w:val="21"/>
              </w:rPr>
              <w:t>渗透测试、漏洞扫描并整优化以满足等保要求</w:t>
            </w:r>
          </w:p>
          <w:p w14:paraId="2368DB69">
            <w:pPr>
              <w:numPr>
                <w:ilvl w:val="0"/>
                <w:numId w:val="3"/>
              </w:numPr>
              <w:jc w:val="left"/>
              <w:rPr>
                <w:rFonts w:ascii="宋体" w:hAnsi="宋体" w:cs="宋体"/>
                <w:color w:val="000000"/>
                <w:kern w:val="0"/>
                <w:szCs w:val="21"/>
              </w:rPr>
            </w:pPr>
            <w:r>
              <w:rPr>
                <w:rFonts w:hint="eastAsia" w:ascii="宋体" w:hAnsi="宋体" w:cs="宋体"/>
                <w:color w:val="000000"/>
                <w:kern w:val="0"/>
                <w:szCs w:val="21"/>
              </w:rPr>
              <w:t>对管理制度审核、建设以满足等保要求</w:t>
            </w:r>
          </w:p>
          <w:p w14:paraId="6CCDE4E0">
            <w:pPr>
              <w:numPr>
                <w:ilvl w:val="0"/>
                <w:numId w:val="3"/>
              </w:numPr>
              <w:jc w:val="left"/>
              <w:rPr>
                <w:rFonts w:ascii="宋体" w:hAnsi="宋体" w:cs="宋体"/>
                <w:color w:val="000000"/>
                <w:kern w:val="0"/>
                <w:szCs w:val="21"/>
              </w:rPr>
            </w:pPr>
            <w:r>
              <w:rPr>
                <w:rFonts w:hint="eastAsia" w:ascii="宋体" w:hAnsi="宋体" w:cs="宋体"/>
                <w:color w:val="000000"/>
                <w:kern w:val="0"/>
                <w:szCs w:val="21"/>
              </w:rPr>
              <w:t>对测评系统差距分析、风险评估并整改优化以满足等保要求</w:t>
            </w:r>
          </w:p>
        </w:tc>
        <w:tc>
          <w:tcPr>
            <w:tcW w:w="1278" w:type="dxa"/>
            <w:vAlign w:val="center"/>
          </w:tcPr>
          <w:p w14:paraId="4D47D820">
            <w:pPr>
              <w:jc w:val="left"/>
              <w:rPr>
                <w:szCs w:val="21"/>
              </w:rPr>
            </w:pPr>
          </w:p>
        </w:tc>
        <w:tc>
          <w:tcPr>
            <w:tcW w:w="1684" w:type="dxa"/>
            <w:vAlign w:val="center"/>
          </w:tcPr>
          <w:p w14:paraId="474DFE88">
            <w:pPr>
              <w:jc w:val="left"/>
              <w:rPr>
                <w:szCs w:val="21"/>
              </w:rPr>
            </w:pPr>
            <w:r>
              <w:rPr>
                <w:rFonts w:hint="eastAsia"/>
                <w:szCs w:val="21"/>
              </w:rPr>
              <w:t>一年服务</w:t>
            </w:r>
          </w:p>
        </w:tc>
      </w:tr>
      <w:tr w14:paraId="7EA1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51" w:type="dxa"/>
            <w:vAlign w:val="center"/>
          </w:tcPr>
          <w:p w14:paraId="65474851">
            <w:pPr>
              <w:jc w:val="center"/>
              <w:rPr>
                <w:szCs w:val="21"/>
              </w:rPr>
            </w:pPr>
            <w:r>
              <w:rPr>
                <w:rFonts w:hint="eastAsia"/>
                <w:szCs w:val="21"/>
              </w:rPr>
              <w:t>3</w:t>
            </w:r>
          </w:p>
        </w:tc>
        <w:tc>
          <w:tcPr>
            <w:tcW w:w="2010" w:type="dxa"/>
            <w:vAlign w:val="center"/>
          </w:tcPr>
          <w:p w14:paraId="7EAB629F">
            <w:pPr>
              <w:jc w:val="left"/>
              <w:rPr>
                <w:rFonts w:ascii="宋体" w:hAnsi="宋体" w:cs="宋体"/>
                <w:color w:val="000000"/>
                <w:kern w:val="0"/>
                <w:szCs w:val="21"/>
              </w:rPr>
            </w:pPr>
            <w:r>
              <w:rPr>
                <w:rFonts w:hint="eastAsia" w:ascii="宋体" w:hAnsi="宋体" w:cs="宋体"/>
                <w:color w:val="000000"/>
                <w:kern w:val="0"/>
                <w:szCs w:val="21"/>
              </w:rPr>
              <w:t>安全加固服务</w:t>
            </w:r>
          </w:p>
        </w:tc>
        <w:tc>
          <w:tcPr>
            <w:tcW w:w="2695" w:type="dxa"/>
            <w:vAlign w:val="center"/>
          </w:tcPr>
          <w:p w14:paraId="2E422434">
            <w:pPr>
              <w:jc w:val="left"/>
              <w:rPr>
                <w:rFonts w:ascii="宋体" w:hAnsi="宋体" w:cs="宋体"/>
                <w:color w:val="000000"/>
                <w:kern w:val="0"/>
                <w:szCs w:val="21"/>
              </w:rPr>
            </w:pPr>
            <w:r>
              <w:rPr>
                <w:rFonts w:hint="eastAsia" w:ascii="宋体" w:hAnsi="宋体" w:cs="宋体"/>
                <w:color w:val="000000"/>
                <w:kern w:val="0"/>
                <w:szCs w:val="21"/>
              </w:rPr>
              <w:t>对全狱终端，服务器，业务系统，安全设备、网络进行漏洞扫描、修复（要求每月现场驻场处置时间不少于3个工作日）</w:t>
            </w:r>
          </w:p>
        </w:tc>
        <w:tc>
          <w:tcPr>
            <w:tcW w:w="1278" w:type="dxa"/>
            <w:vAlign w:val="center"/>
          </w:tcPr>
          <w:p w14:paraId="680B0712">
            <w:pPr>
              <w:jc w:val="left"/>
              <w:rPr>
                <w:szCs w:val="21"/>
              </w:rPr>
            </w:pPr>
          </w:p>
        </w:tc>
        <w:tc>
          <w:tcPr>
            <w:tcW w:w="1684" w:type="dxa"/>
            <w:vAlign w:val="center"/>
          </w:tcPr>
          <w:p w14:paraId="4117A259">
            <w:pPr>
              <w:jc w:val="left"/>
              <w:rPr>
                <w:szCs w:val="21"/>
              </w:rPr>
            </w:pPr>
            <w:r>
              <w:rPr>
                <w:rFonts w:hint="eastAsia"/>
                <w:szCs w:val="21"/>
              </w:rPr>
              <w:t>一年服务</w:t>
            </w:r>
          </w:p>
        </w:tc>
      </w:tr>
      <w:tr w14:paraId="119F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51" w:type="dxa"/>
            <w:vAlign w:val="center"/>
          </w:tcPr>
          <w:p w14:paraId="0ED8F2A5">
            <w:pPr>
              <w:jc w:val="center"/>
              <w:rPr>
                <w:rFonts w:eastAsiaTheme="minorEastAsia"/>
                <w:szCs w:val="21"/>
              </w:rPr>
            </w:pPr>
            <w:r>
              <w:rPr>
                <w:rFonts w:hint="eastAsia"/>
                <w:szCs w:val="21"/>
              </w:rPr>
              <w:t>4</w:t>
            </w:r>
          </w:p>
        </w:tc>
        <w:tc>
          <w:tcPr>
            <w:tcW w:w="2010" w:type="dxa"/>
            <w:vMerge w:val="restart"/>
            <w:vAlign w:val="center"/>
          </w:tcPr>
          <w:p w14:paraId="3A24DA7F">
            <w:pPr>
              <w:jc w:val="left"/>
              <w:rPr>
                <w:szCs w:val="21"/>
              </w:rPr>
            </w:pPr>
            <w:r>
              <w:rPr>
                <w:rFonts w:hint="eastAsia" w:ascii="宋体" w:hAnsi="宋体" w:cs="宋体"/>
                <w:color w:val="000000"/>
                <w:kern w:val="0"/>
                <w:szCs w:val="21"/>
              </w:rPr>
              <w:t>网络安全设备病毒库，特征库升级服务，审计系统授权数升级服务</w:t>
            </w:r>
          </w:p>
        </w:tc>
        <w:tc>
          <w:tcPr>
            <w:tcW w:w="2695" w:type="dxa"/>
            <w:vAlign w:val="center"/>
          </w:tcPr>
          <w:p w14:paraId="1ED85FD8">
            <w:pPr>
              <w:jc w:val="left"/>
              <w:rPr>
                <w:szCs w:val="21"/>
              </w:rPr>
            </w:pPr>
            <w:r>
              <w:rPr>
                <w:rFonts w:hint="eastAsia" w:ascii="宋体" w:hAnsi="宋体" w:cs="宋体"/>
                <w:color w:val="000000"/>
                <w:kern w:val="0"/>
                <w:szCs w:val="21"/>
              </w:rPr>
              <w:t>天融信应用安全网关系统（IDP特征库、WEB过滤库、专业版快速扫描查杀防病毒库、应用识别特征库升级服务许可,适用于NU-31116产品(绑SN)）</w:t>
            </w:r>
          </w:p>
        </w:tc>
        <w:tc>
          <w:tcPr>
            <w:tcW w:w="1278" w:type="dxa"/>
            <w:vAlign w:val="center"/>
          </w:tcPr>
          <w:p w14:paraId="3945DFB1">
            <w:pPr>
              <w:jc w:val="left"/>
              <w:rPr>
                <w:szCs w:val="21"/>
              </w:rPr>
            </w:pPr>
          </w:p>
        </w:tc>
        <w:tc>
          <w:tcPr>
            <w:tcW w:w="1684" w:type="dxa"/>
            <w:vAlign w:val="center"/>
          </w:tcPr>
          <w:p w14:paraId="16DE7A2F">
            <w:pPr>
              <w:jc w:val="left"/>
              <w:rPr>
                <w:rFonts w:eastAsiaTheme="minorEastAsia"/>
                <w:szCs w:val="21"/>
              </w:rPr>
            </w:pPr>
            <w:r>
              <w:rPr>
                <w:rFonts w:hint="eastAsia"/>
                <w:szCs w:val="21"/>
              </w:rPr>
              <w:t>一年服务</w:t>
            </w:r>
          </w:p>
        </w:tc>
      </w:tr>
      <w:tr w14:paraId="6F0A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51" w:type="dxa"/>
            <w:vAlign w:val="center"/>
          </w:tcPr>
          <w:p w14:paraId="57109915">
            <w:pPr>
              <w:jc w:val="center"/>
              <w:rPr>
                <w:rFonts w:eastAsiaTheme="minorEastAsia"/>
                <w:szCs w:val="21"/>
              </w:rPr>
            </w:pPr>
            <w:r>
              <w:rPr>
                <w:rFonts w:hint="eastAsia"/>
                <w:szCs w:val="21"/>
              </w:rPr>
              <w:t>5</w:t>
            </w:r>
          </w:p>
        </w:tc>
        <w:tc>
          <w:tcPr>
            <w:tcW w:w="2010" w:type="dxa"/>
            <w:vMerge w:val="continue"/>
            <w:vAlign w:val="center"/>
          </w:tcPr>
          <w:p w14:paraId="03990C73">
            <w:pPr>
              <w:jc w:val="left"/>
              <w:rPr>
                <w:szCs w:val="21"/>
              </w:rPr>
            </w:pPr>
          </w:p>
        </w:tc>
        <w:tc>
          <w:tcPr>
            <w:tcW w:w="2695" w:type="dxa"/>
            <w:vAlign w:val="center"/>
          </w:tcPr>
          <w:p w14:paraId="049B5C3F">
            <w:pPr>
              <w:jc w:val="left"/>
              <w:rPr>
                <w:szCs w:val="21"/>
              </w:rPr>
            </w:pPr>
            <w:r>
              <w:rPr>
                <w:rFonts w:hint="eastAsia" w:ascii="宋体" w:hAnsi="宋体" w:cs="宋体"/>
                <w:color w:val="000000"/>
                <w:kern w:val="0"/>
                <w:szCs w:val="21"/>
              </w:rPr>
              <w:t>天融信Web应用安全防护系统（WAF产品特征库升级License,适用于TWF-52116产品(绑SN)）</w:t>
            </w:r>
          </w:p>
        </w:tc>
        <w:tc>
          <w:tcPr>
            <w:tcW w:w="1278" w:type="dxa"/>
            <w:vAlign w:val="center"/>
          </w:tcPr>
          <w:p w14:paraId="4FE73033">
            <w:pPr>
              <w:jc w:val="left"/>
              <w:rPr>
                <w:szCs w:val="21"/>
              </w:rPr>
            </w:pPr>
          </w:p>
        </w:tc>
        <w:tc>
          <w:tcPr>
            <w:tcW w:w="1684" w:type="dxa"/>
            <w:vAlign w:val="center"/>
          </w:tcPr>
          <w:p w14:paraId="5D5982DF">
            <w:pPr>
              <w:jc w:val="left"/>
              <w:rPr>
                <w:szCs w:val="21"/>
              </w:rPr>
            </w:pPr>
            <w:r>
              <w:rPr>
                <w:rFonts w:hint="eastAsia"/>
                <w:szCs w:val="21"/>
              </w:rPr>
              <w:t>一年服务</w:t>
            </w:r>
          </w:p>
        </w:tc>
      </w:tr>
      <w:tr w14:paraId="437F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51" w:type="dxa"/>
            <w:vAlign w:val="center"/>
          </w:tcPr>
          <w:p w14:paraId="4482273D">
            <w:pPr>
              <w:jc w:val="center"/>
              <w:rPr>
                <w:szCs w:val="21"/>
              </w:rPr>
            </w:pPr>
            <w:r>
              <w:rPr>
                <w:rFonts w:hint="eastAsia"/>
                <w:szCs w:val="21"/>
              </w:rPr>
              <w:t>6</w:t>
            </w:r>
          </w:p>
        </w:tc>
        <w:tc>
          <w:tcPr>
            <w:tcW w:w="2010" w:type="dxa"/>
            <w:vMerge w:val="continue"/>
            <w:vAlign w:val="center"/>
          </w:tcPr>
          <w:p w14:paraId="7FDE878E">
            <w:pPr>
              <w:jc w:val="left"/>
              <w:rPr>
                <w:szCs w:val="21"/>
              </w:rPr>
            </w:pPr>
          </w:p>
        </w:tc>
        <w:tc>
          <w:tcPr>
            <w:tcW w:w="2695" w:type="dxa"/>
            <w:vAlign w:val="center"/>
          </w:tcPr>
          <w:p w14:paraId="163898DA">
            <w:pPr>
              <w:jc w:val="left"/>
              <w:rPr>
                <w:rFonts w:ascii="宋体" w:hAnsi="宋体" w:cs="宋体"/>
                <w:color w:val="000000"/>
                <w:kern w:val="0"/>
                <w:szCs w:val="21"/>
              </w:rPr>
            </w:pPr>
            <w:r>
              <w:rPr>
                <w:rFonts w:ascii="宋体" w:hAnsi="宋体" w:cs="宋体"/>
                <w:szCs w:val="21"/>
              </w:rPr>
              <w:t>天融信安全管理系统</w:t>
            </w:r>
            <w:r>
              <w:rPr>
                <w:rFonts w:hint="eastAsia" w:ascii="宋体" w:hAnsi="宋体" w:cs="宋体"/>
                <w:szCs w:val="21"/>
              </w:rPr>
              <w:t>V3(日志服务器系统），原许可型号</w:t>
            </w:r>
            <w:r>
              <w:rPr>
                <w:rFonts w:ascii="宋体" w:hAnsi="宋体" w:cs="宋体"/>
                <w:szCs w:val="21"/>
              </w:rPr>
              <w:t>TAEX_S</w:t>
            </w:r>
            <w:r>
              <w:rPr>
                <w:rFonts w:hint="eastAsia" w:ascii="宋体" w:hAnsi="宋体" w:cs="宋体"/>
                <w:szCs w:val="21"/>
              </w:rPr>
              <w:t>，许可类型</w:t>
            </w:r>
            <w:r>
              <w:rPr>
                <w:rFonts w:ascii="宋体" w:hAnsi="宋体" w:cs="宋体"/>
                <w:szCs w:val="21"/>
              </w:rPr>
              <w:t>396e0c65</w:t>
            </w:r>
            <w:r>
              <w:rPr>
                <w:rFonts w:hint="eastAsia" w:ascii="宋体" w:hAnsi="宋体" w:cs="宋体"/>
                <w:szCs w:val="21"/>
              </w:rPr>
              <w:t>，升级版本或提供全新版本。</w:t>
            </w:r>
          </w:p>
        </w:tc>
        <w:tc>
          <w:tcPr>
            <w:tcW w:w="1278" w:type="dxa"/>
            <w:vAlign w:val="center"/>
          </w:tcPr>
          <w:p w14:paraId="1819AF70">
            <w:pPr>
              <w:jc w:val="left"/>
              <w:rPr>
                <w:szCs w:val="21"/>
              </w:rPr>
            </w:pPr>
          </w:p>
        </w:tc>
        <w:tc>
          <w:tcPr>
            <w:tcW w:w="1684" w:type="dxa"/>
            <w:vAlign w:val="center"/>
          </w:tcPr>
          <w:p w14:paraId="6999DA74">
            <w:pPr>
              <w:jc w:val="left"/>
              <w:rPr>
                <w:szCs w:val="21"/>
              </w:rPr>
            </w:pPr>
            <w:r>
              <w:rPr>
                <w:rFonts w:hint="eastAsia"/>
                <w:szCs w:val="21"/>
              </w:rPr>
              <w:t>永久授权</w:t>
            </w:r>
          </w:p>
        </w:tc>
      </w:tr>
      <w:tr w14:paraId="280E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51" w:type="dxa"/>
            <w:vAlign w:val="center"/>
          </w:tcPr>
          <w:p w14:paraId="7431B3FB">
            <w:pPr>
              <w:jc w:val="center"/>
              <w:rPr>
                <w:szCs w:val="21"/>
              </w:rPr>
            </w:pPr>
            <w:r>
              <w:rPr>
                <w:rFonts w:hint="eastAsia"/>
                <w:szCs w:val="21"/>
              </w:rPr>
              <w:t>7</w:t>
            </w:r>
          </w:p>
        </w:tc>
        <w:tc>
          <w:tcPr>
            <w:tcW w:w="2010" w:type="dxa"/>
            <w:vAlign w:val="center"/>
          </w:tcPr>
          <w:p w14:paraId="38006D04">
            <w:pPr>
              <w:jc w:val="left"/>
              <w:rPr>
                <w:rFonts w:ascii="宋体" w:hAnsi="宋体" w:cs="宋体"/>
                <w:color w:val="000000"/>
                <w:kern w:val="0"/>
                <w:szCs w:val="21"/>
              </w:rPr>
            </w:pPr>
            <w:r>
              <w:rPr>
                <w:rFonts w:hint="eastAsia" w:ascii="宋体" w:hAnsi="宋体" w:cs="宋体"/>
                <w:color w:val="000000"/>
                <w:kern w:val="0"/>
                <w:szCs w:val="21"/>
              </w:rPr>
              <w:t>网络安全应急响应服务</w:t>
            </w:r>
          </w:p>
        </w:tc>
        <w:tc>
          <w:tcPr>
            <w:tcW w:w="2695" w:type="dxa"/>
            <w:vAlign w:val="center"/>
          </w:tcPr>
          <w:p w14:paraId="60FA64B9">
            <w:pPr>
              <w:numPr>
                <w:ilvl w:val="0"/>
                <w:numId w:val="4"/>
              </w:numPr>
              <w:jc w:val="left"/>
              <w:rPr>
                <w:szCs w:val="21"/>
              </w:rPr>
            </w:pPr>
            <w:r>
              <w:rPr>
                <w:rFonts w:hint="eastAsia"/>
                <w:szCs w:val="21"/>
              </w:rPr>
              <w:t>网络安全事件应急处置（现场）</w:t>
            </w:r>
          </w:p>
          <w:p w14:paraId="3BA3EF96">
            <w:pPr>
              <w:numPr>
                <w:ilvl w:val="0"/>
                <w:numId w:val="4"/>
              </w:numPr>
              <w:jc w:val="left"/>
              <w:rPr>
                <w:szCs w:val="21"/>
              </w:rPr>
            </w:pPr>
            <w:r>
              <w:rPr>
                <w:rFonts w:hint="eastAsia"/>
                <w:szCs w:val="21"/>
              </w:rPr>
              <w:t>节假日提供网络安全检查及运维协助</w:t>
            </w:r>
          </w:p>
          <w:p w14:paraId="167092C7">
            <w:pPr>
              <w:pStyle w:val="2"/>
              <w:numPr>
                <w:ilvl w:val="0"/>
                <w:numId w:val="4"/>
              </w:numPr>
              <w:ind w:firstLine="0" w:firstLineChars="0"/>
            </w:pPr>
            <w:r>
              <w:rPr>
                <w:rFonts w:hint="eastAsia"/>
              </w:rPr>
              <w:t>组织网络安全应急演练一次</w:t>
            </w:r>
          </w:p>
        </w:tc>
        <w:tc>
          <w:tcPr>
            <w:tcW w:w="1278" w:type="dxa"/>
            <w:vAlign w:val="center"/>
          </w:tcPr>
          <w:p w14:paraId="6CE6736D">
            <w:pPr>
              <w:jc w:val="left"/>
              <w:rPr>
                <w:szCs w:val="21"/>
              </w:rPr>
            </w:pPr>
          </w:p>
        </w:tc>
        <w:tc>
          <w:tcPr>
            <w:tcW w:w="1684" w:type="dxa"/>
            <w:vAlign w:val="center"/>
          </w:tcPr>
          <w:p w14:paraId="69CFA985">
            <w:pPr>
              <w:jc w:val="left"/>
              <w:rPr>
                <w:szCs w:val="21"/>
              </w:rPr>
            </w:pPr>
            <w:r>
              <w:rPr>
                <w:rFonts w:hint="eastAsia"/>
                <w:szCs w:val="21"/>
              </w:rPr>
              <w:t>一年服务</w:t>
            </w:r>
          </w:p>
        </w:tc>
      </w:tr>
      <w:tr w14:paraId="6B76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51" w:type="dxa"/>
            <w:vAlign w:val="center"/>
          </w:tcPr>
          <w:p w14:paraId="3DE8389A">
            <w:pPr>
              <w:jc w:val="center"/>
              <w:rPr>
                <w:szCs w:val="21"/>
              </w:rPr>
            </w:pPr>
            <w:r>
              <w:rPr>
                <w:rFonts w:hint="eastAsia"/>
                <w:szCs w:val="21"/>
              </w:rPr>
              <w:t>8</w:t>
            </w:r>
          </w:p>
        </w:tc>
        <w:tc>
          <w:tcPr>
            <w:tcW w:w="2010" w:type="dxa"/>
            <w:vAlign w:val="center"/>
          </w:tcPr>
          <w:p w14:paraId="209E7F96">
            <w:pPr>
              <w:jc w:val="left"/>
              <w:rPr>
                <w:szCs w:val="21"/>
              </w:rPr>
            </w:pPr>
            <w:r>
              <w:rPr>
                <w:rFonts w:hint="eastAsia" w:ascii="宋体" w:hAnsi="宋体" w:cs="宋体"/>
                <w:color w:val="000000"/>
                <w:kern w:val="0"/>
                <w:szCs w:val="21"/>
              </w:rPr>
              <w:t>网络安全培训</w:t>
            </w:r>
          </w:p>
        </w:tc>
        <w:tc>
          <w:tcPr>
            <w:tcW w:w="2695" w:type="dxa"/>
            <w:vAlign w:val="center"/>
          </w:tcPr>
          <w:p w14:paraId="17AA5CE0">
            <w:pPr>
              <w:numPr>
                <w:ilvl w:val="0"/>
                <w:numId w:val="5"/>
              </w:numPr>
              <w:jc w:val="left"/>
              <w:rPr>
                <w:szCs w:val="21"/>
              </w:rPr>
            </w:pPr>
            <w:r>
              <w:rPr>
                <w:rFonts w:hint="eastAsia"/>
                <w:szCs w:val="21"/>
              </w:rPr>
              <w:t>组织本地网络安全知识培训一次</w:t>
            </w:r>
            <w:r>
              <w:rPr>
                <w:rFonts w:hint="eastAsia" w:ascii="宋体" w:hAnsi="宋体" w:cs="宋体"/>
                <w:szCs w:val="21"/>
              </w:rPr>
              <w:t>（具体培训时间由乙方与甲方进行协商确认）</w:t>
            </w:r>
          </w:p>
          <w:p w14:paraId="5DBCE4C9">
            <w:pPr>
              <w:pStyle w:val="2"/>
              <w:numPr>
                <w:ilvl w:val="0"/>
                <w:numId w:val="5"/>
              </w:numPr>
              <w:ind w:firstLine="0" w:firstLineChars="0"/>
            </w:pPr>
            <w:r>
              <w:rPr>
                <w:rFonts w:hint="eastAsia"/>
              </w:rPr>
              <w:t>提供不少于2人次CISP(或同等国家认证）线下培训课程服务与考试领证服务</w:t>
            </w:r>
          </w:p>
        </w:tc>
        <w:tc>
          <w:tcPr>
            <w:tcW w:w="1278" w:type="dxa"/>
            <w:vAlign w:val="center"/>
          </w:tcPr>
          <w:p w14:paraId="06535687">
            <w:pPr>
              <w:jc w:val="left"/>
              <w:rPr>
                <w:szCs w:val="21"/>
              </w:rPr>
            </w:pPr>
          </w:p>
        </w:tc>
        <w:tc>
          <w:tcPr>
            <w:tcW w:w="1684" w:type="dxa"/>
            <w:vAlign w:val="center"/>
          </w:tcPr>
          <w:p w14:paraId="3A7213F5">
            <w:pPr>
              <w:jc w:val="left"/>
              <w:rPr>
                <w:szCs w:val="21"/>
              </w:rPr>
            </w:pPr>
            <w:r>
              <w:rPr>
                <w:rFonts w:hint="eastAsia"/>
                <w:szCs w:val="21"/>
              </w:rPr>
              <w:t>一年服务</w:t>
            </w:r>
          </w:p>
        </w:tc>
      </w:tr>
      <w:tr w14:paraId="2563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51" w:type="dxa"/>
            <w:vAlign w:val="center"/>
          </w:tcPr>
          <w:p w14:paraId="24BAEE08">
            <w:pPr>
              <w:jc w:val="center"/>
              <w:rPr>
                <w:szCs w:val="21"/>
              </w:rPr>
            </w:pPr>
            <w:r>
              <w:rPr>
                <w:rFonts w:hint="eastAsia"/>
                <w:szCs w:val="21"/>
              </w:rPr>
              <w:t>9</w:t>
            </w:r>
          </w:p>
        </w:tc>
        <w:tc>
          <w:tcPr>
            <w:tcW w:w="2010" w:type="dxa"/>
            <w:vAlign w:val="center"/>
          </w:tcPr>
          <w:p w14:paraId="3E3236D5">
            <w:pPr>
              <w:jc w:val="left"/>
              <w:rPr>
                <w:rFonts w:ascii="宋体" w:hAnsi="宋体" w:cs="宋体"/>
                <w:color w:val="000000"/>
                <w:kern w:val="0"/>
                <w:szCs w:val="21"/>
              </w:rPr>
            </w:pPr>
            <w:r>
              <w:rPr>
                <w:rFonts w:hint="eastAsia" w:ascii="宋体" w:hAnsi="宋体" w:cs="宋体"/>
                <w:color w:val="000000"/>
                <w:kern w:val="0"/>
                <w:szCs w:val="21"/>
              </w:rPr>
              <w:t>合计</w:t>
            </w:r>
          </w:p>
        </w:tc>
        <w:tc>
          <w:tcPr>
            <w:tcW w:w="2695" w:type="dxa"/>
            <w:vAlign w:val="center"/>
          </w:tcPr>
          <w:p w14:paraId="15135C1A">
            <w:pPr>
              <w:jc w:val="left"/>
              <w:rPr>
                <w:rFonts w:ascii="宋体" w:hAnsi="宋体" w:cs="宋体"/>
                <w:color w:val="000000"/>
                <w:kern w:val="0"/>
                <w:szCs w:val="21"/>
              </w:rPr>
            </w:pPr>
          </w:p>
        </w:tc>
        <w:tc>
          <w:tcPr>
            <w:tcW w:w="1278" w:type="dxa"/>
            <w:vAlign w:val="center"/>
          </w:tcPr>
          <w:p w14:paraId="10A98312">
            <w:pPr>
              <w:jc w:val="left"/>
              <w:rPr>
                <w:szCs w:val="21"/>
              </w:rPr>
            </w:pPr>
          </w:p>
        </w:tc>
        <w:tc>
          <w:tcPr>
            <w:tcW w:w="1684" w:type="dxa"/>
            <w:vAlign w:val="center"/>
          </w:tcPr>
          <w:p w14:paraId="15FB7514">
            <w:pPr>
              <w:jc w:val="left"/>
              <w:rPr>
                <w:szCs w:val="21"/>
              </w:rPr>
            </w:pPr>
          </w:p>
        </w:tc>
      </w:tr>
    </w:tbl>
    <w:p w14:paraId="62CBC07E">
      <w:pPr>
        <w:pStyle w:val="2"/>
        <w:rPr>
          <w:rFonts w:asciiTheme="minorEastAsia" w:hAnsiTheme="minorEastAsia" w:eastAsiaTheme="minorEastAsia" w:cstheme="minorEastAsia"/>
        </w:rPr>
      </w:pPr>
    </w:p>
    <w:p w14:paraId="0F6ABAC1">
      <w:pPr>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4.4、项目目标</w:t>
      </w:r>
    </w:p>
    <w:p w14:paraId="3AF80FB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信息安全技术网络安全等级保护基本要求》（GB/T22239-2019）标准要求对第三级信息系统开展等保测评工作，协助监狱完成各类问题的整改及验证工作，合格后出具等级保护测评等相关报告。更新监狱网络安全设备特征库、病毒库，</w:t>
      </w:r>
      <w:r>
        <w:rPr>
          <w:rFonts w:hint="eastAsia" w:asciiTheme="minorEastAsia" w:hAnsiTheme="minorEastAsia" w:cstheme="minorEastAsia"/>
          <w:szCs w:val="21"/>
        </w:rPr>
        <w:t>更新日志服务器系统版本或提高全新版本</w:t>
      </w:r>
      <w:r>
        <w:rPr>
          <w:rFonts w:hint="eastAsia" w:asciiTheme="minorEastAsia" w:hAnsiTheme="minorEastAsia" w:eastAsiaTheme="minorEastAsia" w:cstheme="minorEastAsia"/>
          <w:szCs w:val="21"/>
        </w:rPr>
        <w:t>。对监狱终端、服务器、网络设备提供</w:t>
      </w:r>
      <w:r>
        <w:rPr>
          <w:rFonts w:hint="eastAsia" w:asciiTheme="minorEastAsia" w:hAnsiTheme="minorEastAsia" w:cstheme="minorEastAsia"/>
          <w:szCs w:val="21"/>
        </w:rPr>
        <w:t>漏洞扫描，修复，提供每月不少于3个工作日的现场驻场服务</w:t>
      </w:r>
      <w:r>
        <w:rPr>
          <w:rFonts w:hint="eastAsia" w:asciiTheme="minorEastAsia" w:hAnsiTheme="minorEastAsia" w:eastAsiaTheme="minorEastAsia" w:cstheme="minorEastAsia"/>
          <w:szCs w:val="21"/>
        </w:rPr>
        <w:t>，协助处理</w:t>
      </w:r>
      <w:r>
        <w:rPr>
          <w:rFonts w:hint="eastAsia" w:asciiTheme="minorEastAsia" w:hAnsiTheme="minorEastAsia" w:cstheme="minorEastAsia"/>
          <w:szCs w:val="21"/>
        </w:rPr>
        <w:t>网络安全漏洞及</w:t>
      </w:r>
      <w:r>
        <w:rPr>
          <w:rFonts w:hint="eastAsia" w:asciiTheme="minorEastAsia" w:hAnsiTheme="minorEastAsia" w:eastAsiaTheme="minorEastAsia" w:cstheme="minorEastAsia"/>
          <w:szCs w:val="21"/>
        </w:rPr>
        <w:t>应急网络安全事件。</w:t>
      </w:r>
    </w:p>
    <w:p w14:paraId="1E4E4DDC">
      <w:pPr>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4.5、测评标准</w:t>
      </w:r>
    </w:p>
    <w:p w14:paraId="4775F77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依照我国网络安全等级保护法律法规和制度规范，开展等保测评工作。项目实施过程中应包括不限于以下法规和技术标准：</w:t>
      </w:r>
    </w:p>
    <w:p w14:paraId="2E6E528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1.</w:t>
      </w:r>
      <w:r>
        <w:rPr>
          <w:rFonts w:hint="eastAsia" w:asciiTheme="minorEastAsia" w:hAnsiTheme="minorEastAsia" w:eastAsiaTheme="minorEastAsia" w:cstheme="minorEastAsia"/>
          <w:szCs w:val="21"/>
        </w:rPr>
        <w:t>《中华人民共和国网络安全法》</w:t>
      </w:r>
    </w:p>
    <w:p w14:paraId="2B02D28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2.</w:t>
      </w:r>
      <w:r>
        <w:rPr>
          <w:rFonts w:hint="eastAsia" w:asciiTheme="minorEastAsia" w:hAnsiTheme="minorEastAsia" w:eastAsiaTheme="minorEastAsia" w:cstheme="minorEastAsia"/>
          <w:szCs w:val="21"/>
        </w:rPr>
        <w:t>《中华人民共和国计算机信息系统安全保护条例》（国务院147 号令）</w:t>
      </w:r>
    </w:p>
    <w:p w14:paraId="52FFF61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3.</w:t>
      </w:r>
      <w:r>
        <w:rPr>
          <w:rFonts w:hint="eastAsia" w:asciiTheme="minorEastAsia" w:hAnsiTheme="minorEastAsia" w:eastAsiaTheme="minorEastAsia" w:cstheme="minorEastAsia"/>
          <w:szCs w:val="21"/>
        </w:rPr>
        <w:t>《国家信息化领导小组关于加强信息安全保障工作的意见》（中办发〔2003〕27号）</w:t>
      </w:r>
    </w:p>
    <w:p w14:paraId="15C9621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4.</w:t>
      </w:r>
      <w:r>
        <w:rPr>
          <w:rFonts w:hint="eastAsia" w:asciiTheme="minorEastAsia" w:hAnsiTheme="minorEastAsia" w:eastAsiaTheme="minorEastAsia" w:cstheme="minorEastAsia"/>
          <w:szCs w:val="21"/>
        </w:rPr>
        <w:t>《关于信息安全等级保护工作的实施意见》（公通字〔2004〕66 号）</w:t>
      </w:r>
    </w:p>
    <w:p w14:paraId="0EC76BD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5.</w:t>
      </w:r>
      <w:r>
        <w:rPr>
          <w:rFonts w:hint="eastAsia" w:asciiTheme="minorEastAsia" w:hAnsiTheme="minorEastAsia" w:eastAsiaTheme="minorEastAsia" w:cstheme="minorEastAsia"/>
          <w:szCs w:val="21"/>
        </w:rPr>
        <w:t xml:space="preserve">《信息安全等级保护管理办法》（公通字〔2007〕43 号） </w:t>
      </w:r>
    </w:p>
    <w:p w14:paraId="494743A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6.</w:t>
      </w:r>
      <w:r>
        <w:rPr>
          <w:rFonts w:hint="eastAsia" w:asciiTheme="minorEastAsia" w:hAnsiTheme="minorEastAsia" w:eastAsiaTheme="minorEastAsia" w:cstheme="minorEastAsia"/>
          <w:szCs w:val="21"/>
        </w:rPr>
        <w:t>《关于开展全国重要信息系统安全等级保护定级工作的通知》（公信安〔2007〕861号）</w:t>
      </w:r>
    </w:p>
    <w:p w14:paraId="26E3367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7.</w:t>
      </w:r>
      <w:r>
        <w:rPr>
          <w:rFonts w:hint="eastAsia" w:asciiTheme="minorEastAsia" w:hAnsiTheme="minorEastAsia" w:eastAsiaTheme="minorEastAsia" w:cstheme="minorEastAsia"/>
          <w:szCs w:val="21"/>
        </w:rPr>
        <w:t xml:space="preserve">《信息安全等级保护备案实施细则》（公信安〔2007〕1360 号） </w:t>
      </w:r>
    </w:p>
    <w:p w14:paraId="7358A64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8.</w:t>
      </w:r>
      <w:r>
        <w:rPr>
          <w:rFonts w:hint="eastAsia" w:asciiTheme="minorEastAsia" w:hAnsiTheme="minorEastAsia" w:eastAsiaTheme="minorEastAsia" w:cstheme="minorEastAsia"/>
          <w:szCs w:val="21"/>
        </w:rPr>
        <w:t xml:space="preserve">《计算机信息系统安全保护等级划分准则》（GB 17859—1999） </w:t>
      </w:r>
    </w:p>
    <w:p w14:paraId="7BC2AEA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9.</w:t>
      </w:r>
      <w:r>
        <w:rPr>
          <w:rFonts w:hint="eastAsia" w:asciiTheme="minorEastAsia" w:hAnsiTheme="minorEastAsia" w:eastAsiaTheme="minorEastAsia" w:cstheme="minorEastAsia"/>
          <w:szCs w:val="21"/>
        </w:rPr>
        <w:t>《信息安全技术 网络安全等级保护测评要求》（GB/T 28448—2019）</w:t>
      </w:r>
    </w:p>
    <w:p w14:paraId="3C5568D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10.</w:t>
      </w:r>
      <w:r>
        <w:rPr>
          <w:rFonts w:hint="eastAsia" w:asciiTheme="minorEastAsia" w:hAnsiTheme="minorEastAsia" w:eastAsiaTheme="minorEastAsia" w:cstheme="minorEastAsia"/>
          <w:szCs w:val="21"/>
        </w:rPr>
        <w:t>《信息安全技术 网络安全等级保护测评过程指南》（GB/T 28449—2018）</w:t>
      </w:r>
    </w:p>
    <w:p w14:paraId="3B8F98C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11.</w:t>
      </w:r>
      <w:r>
        <w:rPr>
          <w:rFonts w:hint="eastAsia" w:asciiTheme="minorEastAsia" w:hAnsiTheme="minorEastAsia" w:eastAsiaTheme="minorEastAsia" w:cstheme="minorEastAsia"/>
          <w:szCs w:val="21"/>
        </w:rPr>
        <w:t xml:space="preserve">《信息安全技术 网络安全等级保护基本要求》（GB/T 22239-2019） </w:t>
      </w:r>
    </w:p>
    <w:p w14:paraId="16050E6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12.</w:t>
      </w:r>
      <w:r>
        <w:rPr>
          <w:rFonts w:hint="eastAsia" w:asciiTheme="minorEastAsia" w:hAnsiTheme="minorEastAsia" w:eastAsiaTheme="minorEastAsia" w:cstheme="minorEastAsia"/>
          <w:szCs w:val="21"/>
        </w:rPr>
        <w:t>《信息安全技术 网络安全等级保护定级指南》（GB/T 22240-2020）</w:t>
      </w:r>
    </w:p>
    <w:p w14:paraId="48DBAD83">
      <w:pPr>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4.6、服务要求</w:t>
      </w:r>
    </w:p>
    <w:p w14:paraId="236A5DE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4.</w:t>
      </w:r>
      <w:r>
        <w:rPr>
          <w:rFonts w:hint="eastAsia" w:asciiTheme="minorEastAsia" w:hAnsiTheme="minorEastAsia" w:eastAsiaTheme="minorEastAsia" w:cstheme="minorEastAsia"/>
          <w:szCs w:val="21"/>
        </w:rPr>
        <w:t>6.1具体要求内容</w:t>
      </w:r>
    </w:p>
    <w:p w14:paraId="5A9A545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本项目采购的信息安全评测服务包括差距分析、风险评估、整改建议、等级保护测评和制度审核等，详细如下：</w:t>
      </w:r>
    </w:p>
    <w:p w14:paraId="2CBCF3E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信息系统差距分析活动</w:t>
      </w:r>
    </w:p>
    <w:p w14:paraId="001A57E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信息系统安全等级保护差距分析将根据《信息安全技术</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网络安全等级保护测评要求》（GB/T 28448-2019）、《信息安全技术网络安全等级保护测评过程指南》（GB/T 28229-2018）等标准文件的要求，对已定级信息系统，进行系统现状调研，逐项进行合规性检测。其实质是采用基线安全分析的方法，明确当前信息系统与等级保护要求的不符合项及差距。</w:t>
      </w:r>
    </w:p>
    <w:p w14:paraId="7BC8A1F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项目的总体要求及信息系统等级保护体系建设现状需要，对信息系统进行差距分析，从安全技术差距分析测评和安全管理差距分析测评两部分进行，对系统各项安全指标进行符合性评估，并标识系统不符合项，明确系统与国家安全等级保护相关标准要求的差距。</w:t>
      </w:r>
    </w:p>
    <w:p w14:paraId="6B58E56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信息系统整改咨询服务</w:t>
      </w:r>
    </w:p>
    <w:p w14:paraId="7620247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息系统安全建设整改咨询主要是依据差距分析报告，对被测信息系统面临的安全风险进行总结分析，对信息系统不符合信息系统等级保护建设基本要求的部分提供可行性整改建议或方案，从整体上把控内容，主要从技术和管理两方面进行整改，最终能够使被测信息系统在进行安全建设整改后可通过等级保护的测评。</w:t>
      </w:r>
    </w:p>
    <w:p w14:paraId="750A391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需要根据差距分析中出现的问题、差距分析中存在的差距点、渗透测试发现的信息系统脆弱性以及漏洞扫描结果等相关信息，结合系统实际情况，提供合理、切实可行的整改加固建议，并全程协助各单位进行整改工作，使各系统达到等级保护相应级别的要求。乙方据此完成《网络安全等级保护整改建议书》及其它资料的编撰和整理。</w:t>
      </w:r>
    </w:p>
    <w:p w14:paraId="17FDED5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3）信息系统等级保护测评服务</w:t>
      </w:r>
    </w:p>
    <w:p w14:paraId="57FBC7C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按照等级保护《信息安全技术</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网络安全等级保护测评要求》（GB/T 28448-2019）、《信息安全技术</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网络安全等级保护基本要求》（GB/T22239-2019）对待测信息系统进行正式的信息安全等级保护测评及复测评，出具公安部门认可的网络安全等级测评报告。</w:t>
      </w:r>
    </w:p>
    <w:p w14:paraId="03D3387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息系统安全等级测评主要检测和评估信息系统在安全技术、安全管理等方面是否符合已确定的安全等级三级的要求，对于尚未符合要求的信息系统，分析和评估其潜在威胁、薄弱环节以及现有安全防护措施，综合考虑信息系统的重要性和面临的安全威胁等因素，提出相应的整改建议，</w:t>
      </w:r>
      <w:r>
        <w:rPr>
          <w:rFonts w:hint="eastAsia" w:asciiTheme="minorEastAsia" w:hAnsiTheme="minorEastAsia" w:cstheme="minorEastAsia"/>
          <w:szCs w:val="21"/>
        </w:rPr>
        <w:t>并</w:t>
      </w:r>
      <w:r>
        <w:rPr>
          <w:rFonts w:hint="eastAsia" w:asciiTheme="minorEastAsia" w:hAnsiTheme="minorEastAsia" w:eastAsiaTheme="minorEastAsia" w:cstheme="minorEastAsia"/>
          <w:szCs w:val="21"/>
        </w:rPr>
        <w:t>根据初次等级保护测评工作中发现的问题进行整改，待整改工作结束后，进行等级保护复测确认，以确保信息系统的安全保护措施符合相应安全等级三级的基本要求，并提交符合国家等级保护测评三级要求的等级保护测评报告。</w:t>
      </w:r>
    </w:p>
    <w:p w14:paraId="42FF591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管理制度审核</w:t>
      </w:r>
    </w:p>
    <w:p w14:paraId="7D419C0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本项服务旨在依据国家信息安全管理相关要求，乙方为甲方开展安全建设及整改工作提供咨询指导。乙方依据有关国家标准，审核本项目执行过程中编制的网络安全等保相关制度，并提出修改意见。</w:t>
      </w:r>
    </w:p>
    <w:p w14:paraId="0BEE709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协助应检</w:t>
      </w:r>
    </w:p>
    <w:p w14:paraId="4BB41B9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乙方需配合甲方进行网络安全等保相关检查。具体内容如下：</w:t>
      </w:r>
    </w:p>
    <w:p w14:paraId="326DD97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检查前：需协助对应检系统开展自查，对自查发现的问题进行整改和完善；</w:t>
      </w:r>
    </w:p>
    <w:p w14:paraId="17AEF54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检查中：指派专人参与的安全检查，并对检查过程中发现的问题进行记录；</w:t>
      </w:r>
    </w:p>
    <w:p w14:paraId="4FC3A32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检查后：协助完成网安检查过程中出现的安全问题的整改及编制整改报告。</w:t>
      </w:r>
    </w:p>
    <w:p w14:paraId="3B57EDC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 信息系统风险评估工作</w:t>
      </w:r>
    </w:p>
    <w:p w14:paraId="2075A2A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需依据风险评估工作的相关内容，对所有被评估对象进行检查、分析，使其满足项目最终验收要求。须严格按照相关制度和标准的要求，结合被评估单位的具体情况，确定科学严谨的现场实施方案，并完成《风险评估实施方案》的编写。风险评估方案的内容一般包括（但不仅限于）：团队组织：包括评估团队成员、组织结构、角色、责任等内容。工作计划：风险评估各阶段的工作计划，包括工作内容、工作形式、工作成果等内容。时间进度安排：项目实施的时间进度安排。</w:t>
      </w:r>
    </w:p>
    <w:p w14:paraId="674C2B6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7）渗透测试</w:t>
      </w:r>
    </w:p>
    <w:p w14:paraId="16D66C9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依据已经掌握的安全漏洞信息，模拟黑客的真实攻击方法对系统和网络进行非破坏性质的攻击性测试，并出具《信息系统渗透测试报告》。渗透测试内容应该主要包含外部测试、内部测试，黑盒测试和白盒测试，渗透测试范围应包含第三级系统及各相关子系统，所有的渗透测试行为需在</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的书面明确授权和监督下进行。</w:t>
      </w:r>
    </w:p>
    <w:p w14:paraId="2986D62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8）漏洞扫描</w:t>
      </w:r>
    </w:p>
    <w:p w14:paraId="2960897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通过技术手段对第三级系统及各相关子系统进行漏洞扫描，发现可被利用的安全漏洞，并协助项目建设各相关单位进行漏洞修复。进行漏洞扫描后根据扫描结果出具《信息系统漏洞扫描报告》。</w:t>
      </w:r>
    </w:p>
    <w:p w14:paraId="23007D4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9）安全基线核查</w:t>
      </w:r>
    </w:p>
    <w:p w14:paraId="7337B3F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于网络安全法要求以及监管合规要求进行网络安全法责任落实情况预查，为特殊时期的安全提供保障、落实国家政策、法律法规及监管单位的政策合规性的需求。预查内容包括：网络安全保障工作落实情况预查、网络安全信息系统预警及处理方案预查、网络安全管理制度建设与落实情况预查、其他（包含制度、数据、运维、边界、管理、新技术、新应用等）网络安全保护工作情况预查等。基于预查结果出具《信息系统安全配置策略符合性检查报告》、《信息系统安全策略自查报告》、《信息系统安全配置应急自查报告》。</w:t>
      </w:r>
    </w:p>
    <w:p w14:paraId="5CE82DEC">
      <w:pPr>
        <w:numPr>
          <w:ilvl w:val="0"/>
          <w:numId w:val="6"/>
        </w:num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网络加固及现场驻场服务</w:t>
      </w:r>
    </w:p>
    <w:p w14:paraId="3726E6E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单位终端操作系统安全加固和优化，对机房网络设备安全加固和优化，包括主机（PC、办公终端）、网络设备和网络设施（交换机、路由器等）进行打补丁、升级、修补、加固和优化，协助处理应急网络安全事件并提供相关报告</w:t>
      </w:r>
      <w:r>
        <w:rPr>
          <w:rFonts w:hint="eastAsia" w:asciiTheme="minorEastAsia" w:hAnsiTheme="minorEastAsia" w:cstheme="minorEastAsia"/>
          <w:szCs w:val="21"/>
        </w:rPr>
        <w:t>，</w:t>
      </w:r>
      <w:r>
        <w:rPr>
          <w:rFonts w:hint="eastAsia" w:ascii="宋体" w:hAnsi="宋体" w:cs="宋体"/>
          <w:color w:val="000000"/>
          <w:kern w:val="0"/>
          <w:sz w:val="24"/>
        </w:rPr>
        <w:t>对全狱终端</w:t>
      </w:r>
      <w:r>
        <w:rPr>
          <w:rFonts w:hint="eastAsia" w:asciiTheme="minorEastAsia" w:hAnsiTheme="minorEastAsia" w:eastAsiaTheme="minorEastAsia" w:cstheme="minorEastAsia"/>
          <w:szCs w:val="21"/>
        </w:rPr>
        <w:t>系统，安全设备、网络进行漏洞扫描、修复，要求每月</w:t>
      </w:r>
      <w:r>
        <w:rPr>
          <w:rFonts w:hint="eastAsia" w:asciiTheme="minorEastAsia" w:hAnsiTheme="minorEastAsia" w:cstheme="minorEastAsia"/>
          <w:szCs w:val="21"/>
        </w:rPr>
        <w:t>安排工程师</w:t>
      </w:r>
      <w:r>
        <w:rPr>
          <w:rFonts w:hint="eastAsia" w:asciiTheme="minorEastAsia" w:hAnsiTheme="minorEastAsia" w:eastAsiaTheme="minorEastAsia" w:cstheme="minorEastAsia"/>
          <w:szCs w:val="21"/>
        </w:rPr>
        <w:t>现场驻场处置不少于3个工作日</w:t>
      </w:r>
      <w:r>
        <w:rPr>
          <w:rFonts w:hint="eastAsia" w:asciiTheme="minorEastAsia" w:hAnsiTheme="minorEastAsia" w:cstheme="minorEastAsia"/>
          <w:szCs w:val="21"/>
        </w:rPr>
        <w:t>。</w:t>
      </w:r>
    </w:p>
    <w:p w14:paraId="499FC9B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11）</w:t>
      </w:r>
      <w:r>
        <w:rPr>
          <w:rFonts w:hint="eastAsia" w:asciiTheme="minorEastAsia" w:hAnsiTheme="minorEastAsia" w:eastAsiaTheme="minorEastAsia" w:cstheme="minorEastAsia"/>
          <w:szCs w:val="21"/>
        </w:rPr>
        <w:t>监狱网络安全设备授权服务</w:t>
      </w:r>
    </w:p>
    <w:p w14:paraId="6523D25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天融信应用安全网关系统（IDP特征库、WEB过滤库、专业版快速扫描查杀防病毒库、应用识别特征库1年升级服务许可,适用于NU-31116产品(绑SN)），如果旧版本不能升级，需提供部署新版本</w:t>
      </w:r>
      <w:r>
        <w:rPr>
          <w:rFonts w:hint="eastAsia" w:asciiTheme="minorEastAsia" w:hAnsiTheme="minorEastAsia" w:cstheme="minorEastAsia"/>
          <w:szCs w:val="21"/>
        </w:rPr>
        <w:t>。</w:t>
      </w:r>
      <w:r>
        <w:rPr>
          <w:rFonts w:hint="eastAsia" w:asciiTheme="minorEastAsia" w:hAnsiTheme="minorEastAsia" w:eastAsiaTheme="minorEastAsia" w:cstheme="minorEastAsia"/>
          <w:szCs w:val="21"/>
        </w:rPr>
        <w:t>天融信Web应用安全防护系统（WAF产品特征库1年升级License,适用于TWF-52116产品(绑SN)），如果旧版本不能升级，需提供部署新版本</w:t>
      </w:r>
      <w:r>
        <w:rPr>
          <w:rFonts w:hint="eastAsia" w:asciiTheme="minorEastAsia" w:hAnsiTheme="minorEastAsia" w:cstheme="minorEastAsia"/>
          <w:szCs w:val="21"/>
        </w:rPr>
        <w:t>。</w:t>
      </w:r>
      <w:r>
        <w:rPr>
          <w:rFonts w:hint="eastAsia" w:asciiTheme="minorEastAsia" w:hAnsiTheme="minorEastAsia" w:eastAsiaTheme="minorEastAsia" w:cstheme="minorEastAsia"/>
          <w:szCs w:val="21"/>
        </w:rPr>
        <w:t>天融信安全管理系统V3(日志服务器系统），原许可型号TAEX_S，许可类型396e0c65，升级版本，如果旧版本不能升级，需提供部署新版本，系统永久授权。</w:t>
      </w:r>
    </w:p>
    <w:p w14:paraId="294EB1F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12）网络安全</w:t>
      </w:r>
      <w:r>
        <w:rPr>
          <w:rFonts w:hint="eastAsia" w:asciiTheme="minorEastAsia" w:hAnsiTheme="minorEastAsia" w:eastAsiaTheme="minorEastAsia" w:cstheme="minorEastAsia"/>
          <w:szCs w:val="21"/>
        </w:rPr>
        <w:t>培训服务</w:t>
      </w:r>
    </w:p>
    <w:p w14:paraId="1C3977E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为</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提供</w:t>
      </w:r>
      <w:r>
        <w:rPr>
          <w:rFonts w:hint="eastAsia" w:asciiTheme="minorEastAsia" w:hAnsiTheme="minorEastAsia" w:cstheme="minorEastAsia"/>
          <w:szCs w:val="21"/>
        </w:rPr>
        <w:t>1次本地网络安全培训，形成《网络安全培训会议纪要》。乙方为甲方提供</w:t>
      </w:r>
      <w:r>
        <w:rPr>
          <w:rFonts w:hint="eastAsia" w:asciiTheme="minorEastAsia" w:hAnsiTheme="minorEastAsia" w:eastAsiaTheme="minorEastAsia" w:cstheme="minorEastAsia"/>
          <w:szCs w:val="21"/>
        </w:rPr>
        <w:t>不少于2人次CISP(或同等国家认证）</w:t>
      </w:r>
      <w:r>
        <w:rPr>
          <w:rFonts w:hint="eastAsia" w:asciiTheme="minorEastAsia" w:hAnsiTheme="minorEastAsia" w:cstheme="minorEastAsia"/>
          <w:szCs w:val="21"/>
        </w:rPr>
        <w:t>线下</w:t>
      </w:r>
      <w:r>
        <w:rPr>
          <w:rFonts w:hint="eastAsia" w:asciiTheme="minorEastAsia" w:hAnsiTheme="minorEastAsia" w:eastAsiaTheme="minorEastAsia" w:cstheme="minorEastAsia"/>
          <w:szCs w:val="21"/>
        </w:rPr>
        <w:t>培训课程服务</w:t>
      </w:r>
      <w:r>
        <w:rPr>
          <w:rFonts w:hint="eastAsia" w:asciiTheme="minorEastAsia" w:hAnsiTheme="minorEastAsia" w:cstheme="minorEastAsia"/>
          <w:szCs w:val="21"/>
        </w:rPr>
        <w:t>与考试领证服务</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培训费等相关费用由</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承担。</w:t>
      </w:r>
    </w:p>
    <w:p w14:paraId="76DD3AF1">
      <w:pPr>
        <w:spacing w:line="360"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cstheme="minorEastAsia"/>
          <w:color w:val="000000"/>
          <w:kern w:val="0"/>
          <w:szCs w:val="21"/>
        </w:rPr>
        <w:t>13）</w:t>
      </w:r>
      <w:r>
        <w:rPr>
          <w:rFonts w:hint="eastAsia" w:asciiTheme="minorEastAsia" w:hAnsiTheme="minorEastAsia" w:eastAsiaTheme="minorEastAsia" w:cstheme="minorEastAsia"/>
          <w:color w:val="000000"/>
          <w:kern w:val="0"/>
          <w:szCs w:val="21"/>
        </w:rPr>
        <w:t>网络安全应急响应服务</w:t>
      </w:r>
    </w:p>
    <w:p w14:paraId="710E1E0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乙方需成立项目</w:t>
      </w:r>
      <w:r>
        <w:rPr>
          <w:rFonts w:hint="eastAsia" w:asciiTheme="minorEastAsia" w:hAnsiTheme="minorEastAsia" w:eastAsiaTheme="minorEastAsia" w:cstheme="minorEastAsia"/>
          <w:color w:val="000000"/>
          <w:kern w:val="0"/>
          <w:szCs w:val="21"/>
        </w:rPr>
        <w:t>网络安全应急响应</w:t>
      </w:r>
      <w:r>
        <w:rPr>
          <w:rFonts w:hint="eastAsia" w:asciiTheme="minorEastAsia" w:hAnsiTheme="minorEastAsia" w:eastAsiaTheme="minorEastAsia" w:cstheme="minorEastAsia"/>
          <w:szCs w:val="21"/>
        </w:rPr>
        <w:t>服务团队，团队至少有一名项目经理与一名专职网络安全工程师</w:t>
      </w:r>
      <w:r>
        <w:rPr>
          <w:rFonts w:hint="eastAsia" w:asciiTheme="minorEastAsia" w:hAnsiTheme="minorEastAsia" w:cstheme="minorEastAsia"/>
          <w:szCs w:val="21"/>
        </w:rPr>
        <w:t>组成</w:t>
      </w:r>
      <w:r>
        <w:rPr>
          <w:rFonts w:hint="eastAsia" w:asciiTheme="minorEastAsia" w:hAnsiTheme="minorEastAsia" w:eastAsiaTheme="minorEastAsia" w:cstheme="minorEastAsia"/>
          <w:szCs w:val="21"/>
        </w:rPr>
        <w:t>，需提供7*24技术支持服务，甲方出现网络安全事件需要应急处置时，乙方需30分钟内响应，2小时内安排项目专职工程师到甲方指定现场进行处置，同时节假日提供网络安全检查及运维协助</w:t>
      </w:r>
      <w:r>
        <w:rPr>
          <w:rFonts w:hint="eastAsia" w:asciiTheme="minorEastAsia" w:hAnsiTheme="minorEastAsia" w:cstheme="minorEastAsia"/>
          <w:szCs w:val="21"/>
        </w:rPr>
        <w:t>，形成《网络安全事件应急处置统计表》</w:t>
      </w:r>
      <w:r>
        <w:rPr>
          <w:rFonts w:hint="eastAsia" w:asciiTheme="minorEastAsia" w:hAnsiTheme="minorEastAsia" w:eastAsiaTheme="minorEastAsia" w:cstheme="minorEastAsia"/>
          <w:szCs w:val="21"/>
        </w:rPr>
        <w:t>。</w:t>
      </w:r>
      <w:r>
        <w:rPr>
          <w:rFonts w:hint="eastAsia"/>
        </w:rPr>
        <w:t>组织网络安全应急演练一次，形成《</w:t>
      </w:r>
      <w:r>
        <w:rPr>
          <w:rFonts w:hint="eastAsia" w:asciiTheme="minorEastAsia" w:hAnsiTheme="minorEastAsia" w:cstheme="minorEastAsia"/>
          <w:szCs w:val="21"/>
        </w:rPr>
        <w:t>网络安全事件应急演练会议纪要》。</w:t>
      </w:r>
    </w:p>
    <w:p w14:paraId="7072184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14）</w:t>
      </w:r>
      <w:r>
        <w:rPr>
          <w:rFonts w:hint="eastAsia" w:asciiTheme="minorEastAsia" w:hAnsiTheme="minorEastAsia" w:eastAsiaTheme="minorEastAsia" w:cstheme="minorEastAsia"/>
          <w:szCs w:val="21"/>
        </w:rPr>
        <w:t>其他要求</w:t>
      </w:r>
    </w:p>
    <w:p w14:paraId="3372A26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乙方在本项目实施期间应根据本项目实施阶段的国家网络安全等级保护相关要求进行以上工作，因国家网络安全等级保护测评标准变更引起的工作量变更，甲方无需支付额外费用。</w:t>
      </w:r>
    </w:p>
    <w:p w14:paraId="7592F4F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4.</w:t>
      </w:r>
      <w:r>
        <w:rPr>
          <w:rFonts w:hint="eastAsia" w:asciiTheme="minorEastAsia" w:hAnsiTheme="minorEastAsia" w:eastAsiaTheme="minorEastAsia" w:cstheme="minorEastAsia"/>
          <w:szCs w:val="21"/>
        </w:rPr>
        <w:t>6.2文档内容</w:t>
      </w:r>
    </w:p>
    <w:p w14:paraId="526BED9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根据以上服务需求内容，乙方负责编制的文档应包括但不限于以下文档内容作为产出物：</w:t>
      </w:r>
    </w:p>
    <w:p w14:paraId="1FFAD937">
      <w:pPr>
        <w:spacing w:line="360" w:lineRule="auto"/>
        <w:ind w:firstLine="420" w:firstLineChars="200"/>
        <w:rPr>
          <w:rFonts w:ascii="宋体" w:hAnsi="宋体" w:cs="宋体"/>
          <w:szCs w:val="21"/>
        </w:rPr>
      </w:pPr>
      <w:r>
        <w:rPr>
          <w:rFonts w:hint="eastAsia" w:ascii="宋体" w:hAnsi="宋体" w:cs="宋体"/>
          <w:szCs w:val="21"/>
        </w:rPr>
        <w:t>（1） 《网络安全设计方案》</w:t>
      </w:r>
    </w:p>
    <w:p w14:paraId="69FFAC5E">
      <w:pPr>
        <w:spacing w:line="360" w:lineRule="auto"/>
        <w:ind w:firstLine="420" w:firstLineChars="200"/>
        <w:rPr>
          <w:rFonts w:ascii="宋体" w:hAnsi="宋体" w:cs="宋体"/>
          <w:szCs w:val="21"/>
        </w:rPr>
      </w:pPr>
      <w:r>
        <w:rPr>
          <w:rFonts w:hint="eastAsia" w:ascii="宋体" w:hAnsi="宋体" w:cs="宋体"/>
          <w:szCs w:val="21"/>
        </w:rPr>
        <w:t>（2）  《网络安全等级保护差距分析报告》</w:t>
      </w:r>
    </w:p>
    <w:p w14:paraId="24F0EA5C">
      <w:pPr>
        <w:spacing w:line="360" w:lineRule="auto"/>
        <w:ind w:firstLine="420" w:firstLineChars="200"/>
        <w:rPr>
          <w:rFonts w:ascii="宋体" w:hAnsi="宋体" w:cs="宋体"/>
          <w:szCs w:val="21"/>
        </w:rPr>
      </w:pPr>
      <w:r>
        <w:rPr>
          <w:rFonts w:hint="eastAsia" w:ascii="宋体" w:hAnsi="宋体" w:cs="宋体"/>
          <w:szCs w:val="21"/>
        </w:rPr>
        <w:t>（3）  《信息系统风险评估报告》</w:t>
      </w:r>
    </w:p>
    <w:p w14:paraId="25E3A0AC">
      <w:pPr>
        <w:spacing w:line="360" w:lineRule="auto"/>
        <w:ind w:firstLine="420" w:firstLineChars="200"/>
        <w:rPr>
          <w:rFonts w:ascii="宋体" w:hAnsi="宋体" w:cs="宋体"/>
          <w:szCs w:val="21"/>
        </w:rPr>
      </w:pPr>
      <w:r>
        <w:rPr>
          <w:rFonts w:hint="eastAsia" w:ascii="宋体" w:hAnsi="宋体" w:cs="宋体"/>
          <w:szCs w:val="21"/>
        </w:rPr>
        <w:t>（4）  《信息系统渗透测试报告》</w:t>
      </w:r>
    </w:p>
    <w:p w14:paraId="1C1F4801">
      <w:pPr>
        <w:spacing w:line="360" w:lineRule="auto"/>
        <w:ind w:firstLine="420" w:firstLineChars="200"/>
        <w:rPr>
          <w:rFonts w:ascii="宋体" w:hAnsi="宋体" w:cs="宋体"/>
          <w:szCs w:val="21"/>
        </w:rPr>
      </w:pPr>
      <w:r>
        <w:rPr>
          <w:rFonts w:hint="eastAsia" w:ascii="宋体" w:hAnsi="宋体" w:cs="宋体"/>
          <w:szCs w:val="21"/>
        </w:rPr>
        <w:t>（5）  《信息系统漏洞扫描报告》</w:t>
      </w:r>
    </w:p>
    <w:p w14:paraId="3A211DD9">
      <w:pPr>
        <w:spacing w:line="360" w:lineRule="auto"/>
        <w:ind w:firstLine="420" w:firstLineChars="200"/>
        <w:rPr>
          <w:rFonts w:ascii="宋体" w:hAnsi="宋体" w:cs="宋体"/>
          <w:szCs w:val="21"/>
        </w:rPr>
      </w:pPr>
      <w:r>
        <w:rPr>
          <w:rFonts w:hint="eastAsia" w:ascii="宋体" w:hAnsi="宋体" w:cs="宋体"/>
          <w:szCs w:val="21"/>
        </w:rPr>
        <w:t>（6）  《网络安全等级保护整改建议书》</w:t>
      </w:r>
    </w:p>
    <w:p w14:paraId="0821CE6D">
      <w:pPr>
        <w:spacing w:line="360" w:lineRule="auto"/>
        <w:ind w:firstLine="420" w:firstLineChars="200"/>
        <w:rPr>
          <w:rFonts w:ascii="宋体" w:hAnsi="宋体" w:cs="宋体"/>
          <w:szCs w:val="21"/>
        </w:rPr>
      </w:pPr>
      <w:r>
        <w:rPr>
          <w:rFonts w:hint="eastAsia" w:ascii="宋体" w:hAnsi="宋体" w:cs="宋体"/>
          <w:szCs w:val="21"/>
        </w:rPr>
        <w:t>（7）  《等级保护测评报告》</w:t>
      </w:r>
    </w:p>
    <w:p w14:paraId="1CFD6E1D">
      <w:pPr>
        <w:spacing w:line="360" w:lineRule="auto"/>
        <w:ind w:firstLine="420" w:firstLineChars="200"/>
        <w:rPr>
          <w:rFonts w:ascii="宋体" w:hAnsi="宋体" w:cs="宋体"/>
          <w:szCs w:val="21"/>
        </w:rPr>
      </w:pPr>
      <w:r>
        <w:rPr>
          <w:rFonts w:hint="eastAsia" w:ascii="宋体" w:hAnsi="宋体" w:cs="宋体"/>
          <w:szCs w:val="21"/>
        </w:rPr>
        <w:t>（8）  《信息系统安全配置策略符合性检查报告》</w:t>
      </w:r>
    </w:p>
    <w:p w14:paraId="28BE8F5E">
      <w:pPr>
        <w:spacing w:line="360" w:lineRule="auto"/>
        <w:ind w:firstLine="420" w:firstLineChars="200"/>
        <w:rPr>
          <w:rFonts w:ascii="宋体" w:hAnsi="宋体" w:cs="宋体"/>
          <w:szCs w:val="21"/>
        </w:rPr>
      </w:pPr>
      <w:r>
        <w:rPr>
          <w:rFonts w:hint="eastAsia" w:ascii="宋体" w:hAnsi="宋体" w:cs="宋体"/>
          <w:szCs w:val="21"/>
        </w:rPr>
        <w:t>（9）  《信息系统安全策略自查报告》</w:t>
      </w:r>
    </w:p>
    <w:p w14:paraId="46CE596D">
      <w:pPr>
        <w:spacing w:line="360" w:lineRule="auto"/>
        <w:ind w:firstLine="420" w:firstLineChars="200"/>
        <w:rPr>
          <w:rFonts w:ascii="宋体" w:hAnsi="宋体" w:cs="宋体"/>
          <w:szCs w:val="21"/>
        </w:rPr>
      </w:pPr>
      <w:r>
        <w:rPr>
          <w:rFonts w:hint="eastAsia" w:ascii="宋体" w:hAnsi="宋体" w:cs="宋体"/>
          <w:szCs w:val="21"/>
        </w:rPr>
        <w:t>（10） 《信息系统安全配置应急自查报告》</w:t>
      </w:r>
    </w:p>
    <w:p w14:paraId="4266C20A">
      <w:pPr>
        <w:spacing w:line="360" w:lineRule="auto"/>
        <w:ind w:firstLine="420" w:firstLineChars="200"/>
        <w:rPr>
          <w:rFonts w:ascii="宋体" w:hAnsi="宋体" w:cs="宋体"/>
          <w:szCs w:val="21"/>
        </w:rPr>
      </w:pPr>
      <w:r>
        <w:rPr>
          <w:rFonts w:hint="eastAsia" w:ascii="宋体" w:hAnsi="宋体" w:cs="宋体"/>
          <w:szCs w:val="21"/>
        </w:rPr>
        <w:t>（11）《肇庆监狱2025年网络安全加固技术方案记录表》</w:t>
      </w:r>
    </w:p>
    <w:p w14:paraId="113C7D47">
      <w:pPr>
        <w:spacing w:line="360" w:lineRule="auto"/>
        <w:ind w:firstLine="420" w:firstLineChars="200"/>
        <w:rPr>
          <w:rFonts w:ascii="宋体" w:hAnsi="宋体" w:cs="宋体"/>
          <w:szCs w:val="21"/>
        </w:rPr>
      </w:pPr>
      <w:r>
        <w:rPr>
          <w:rFonts w:hint="eastAsia" w:ascii="宋体" w:hAnsi="宋体" w:cs="宋体"/>
          <w:szCs w:val="21"/>
        </w:rPr>
        <w:t>（12）《肇庆监狱2025年网络安全应急演练记录表》</w:t>
      </w:r>
    </w:p>
    <w:p w14:paraId="159AD706">
      <w:pPr>
        <w:spacing w:line="360" w:lineRule="auto"/>
        <w:ind w:firstLine="420" w:firstLineChars="200"/>
        <w:rPr>
          <w:rFonts w:ascii="宋体" w:hAnsi="宋体" w:cs="宋体"/>
          <w:szCs w:val="21"/>
        </w:rPr>
      </w:pPr>
      <w:r>
        <w:rPr>
          <w:rFonts w:hint="eastAsia" w:ascii="宋体" w:hAnsi="宋体" w:cs="宋体"/>
          <w:szCs w:val="21"/>
        </w:rPr>
        <w:t>（13）《肇庆监狱2025年网络安全培训记录表》</w:t>
      </w:r>
    </w:p>
    <w:p w14:paraId="30E9EA4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除上述1</w:t>
      </w: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个中已列明的文档产出物外，乙方应在本项目实施期间根据国家网络安全等级保护相关要求的变化，补充对应的文档产出物，甲方无需支付额外费用。</w:t>
      </w:r>
    </w:p>
    <w:p w14:paraId="1FB1B450">
      <w:pPr>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4.7、实施要求</w:t>
      </w:r>
    </w:p>
    <w:p w14:paraId="4730754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4.</w:t>
      </w:r>
      <w:r>
        <w:rPr>
          <w:rFonts w:hint="eastAsia" w:asciiTheme="minorEastAsia" w:hAnsiTheme="minorEastAsia" w:eastAsiaTheme="minorEastAsia" w:cstheme="minorEastAsia"/>
          <w:szCs w:val="21"/>
        </w:rPr>
        <w:t>7.1实施管理要求</w:t>
      </w:r>
    </w:p>
    <w:p w14:paraId="342AD0F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（1）乙方应成立项目管理组织，严格遵守甲方项目管控相关规章制度的要求。在项目实施的各个阶段，按照采购单位相关要求提交文档，并配合其工作。</w:t>
      </w:r>
    </w:p>
    <w:p w14:paraId="15C7E62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（2）乙方应基于成熟的项目管理方法论，制订完善的项目管理制度、流程，合理划分项目管理的阶段，借助工程管理工具，在项目实施过程中对项目进行规范化管理，确保项目实施进度和实施质量。</w:t>
      </w:r>
    </w:p>
    <w:p w14:paraId="3CEB3FF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（3）乙方应提供项目管理方案，至少覆盖进度管理、范围管理、风险管理、需求管理、质量管理、资源管理、时间管理、沟通管理等。</w:t>
      </w:r>
    </w:p>
    <w:p w14:paraId="7F5333A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（4）乙方应根据项目管理的需要，提供和使用项目管理工具。如甲方要求使用的，必须使用甲方提供的项目管理工具。</w:t>
      </w:r>
    </w:p>
    <w:p w14:paraId="6BC73BC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（5）乙方提供项目管理工具的，应保证甲方免费使用该管理工具，如涉及版权纠纷，后果由乙方承担。</w:t>
      </w:r>
    </w:p>
    <w:p w14:paraId="2664C89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（6）乙方各阶段产出物采用特殊格式的，乙方需提供相应的打开、编译、运行、修改、打印等工具，并确保甲方无限制的使用；不受版权和知识产权限制，甲方不对工具额外付费。</w:t>
      </w:r>
    </w:p>
    <w:p w14:paraId="20F6B9E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（7）乙方应认真估算工作量，做好工作量冗余。终验前，乙方须无条件接受并按甲方要求完成各种项目变更，甲方不另行支付费用。</w:t>
      </w:r>
    </w:p>
    <w:p w14:paraId="182D1FD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（8）乙方在项目实施过程中所需各种检测工具、项目管理工具等由乙方提供，其结果文档应不依赖于工具而具有可读性，甲方不对此额外付费。</w:t>
      </w:r>
    </w:p>
    <w:p w14:paraId="368FF48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4.</w:t>
      </w:r>
      <w:r>
        <w:rPr>
          <w:rFonts w:hint="eastAsia" w:asciiTheme="minorEastAsia" w:hAnsiTheme="minorEastAsia" w:eastAsiaTheme="minorEastAsia" w:cstheme="minorEastAsia"/>
          <w:szCs w:val="21"/>
        </w:rPr>
        <w:t>7.2.组织人员要求</w:t>
      </w:r>
    </w:p>
    <w:p w14:paraId="2CEEC0F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乙方负责提出项目实施的项目人员配置方案，主要要求如下：</w:t>
      </w:r>
    </w:p>
    <w:p w14:paraId="0747569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（1）项目实施由乙方安排项目经理配合项目单位，负责项目管理、项目质量控制、项目进度控制、项目测试验收等工作，安排专职工程师配合负责系统测评，系统测试整改，网络安全应急服务等工作。</w:t>
      </w:r>
    </w:p>
    <w:p w14:paraId="623F88E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（2）乙方应提供至少1人担任项目经理</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要求具有信息系统项目管理师证书，同时具备等保三级及以上项目经验，具有集成、实施项目的丰富经验和较强的沟通协调能力；具有预见和应对项目风险能力。自合同签订之日起至该项目相关系统等保测评全部完成前，项目经理需提供5*8技术支持服务，进行安全建设咨询与指导工作等。</w:t>
      </w:r>
    </w:p>
    <w:p w14:paraId="176C119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（3）乙方应提供至少1人专职工程师</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要求</w:t>
      </w:r>
      <w:r>
        <w:rPr>
          <w:rFonts w:hint="eastAsia" w:asciiTheme="minorEastAsia" w:hAnsiTheme="minorEastAsia" w:cstheme="minorEastAsia"/>
          <w:szCs w:val="21"/>
        </w:rPr>
        <w:t>具有信息安全工程师证书（或</w:t>
      </w:r>
      <w:r>
        <w:rPr>
          <w:rFonts w:hint="eastAsia" w:asciiTheme="minorEastAsia" w:hAnsiTheme="minorEastAsia" w:eastAsiaTheme="minorEastAsia" w:cstheme="minorEastAsia"/>
          <w:szCs w:val="21"/>
        </w:rPr>
        <w:t>为CISP注册信息安全专业人员</w:t>
      </w:r>
      <w:r>
        <w:rPr>
          <w:rFonts w:hint="eastAsia" w:asciiTheme="minorEastAsia" w:hAnsiTheme="minorEastAsia" w:cstheme="minorEastAsia"/>
          <w:szCs w:val="21"/>
        </w:rPr>
        <w:t>，</w:t>
      </w:r>
      <w:r>
        <w:rPr>
          <w:rFonts w:hint="eastAsia" w:asciiTheme="minorEastAsia" w:hAnsiTheme="minorEastAsia" w:eastAsiaTheme="minorEastAsia" w:cstheme="minorEastAsia"/>
          <w:szCs w:val="21"/>
        </w:rPr>
        <w:t>或</w:t>
      </w:r>
      <w:r>
        <w:rPr>
          <w:rFonts w:hint="eastAsia" w:asciiTheme="minorEastAsia" w:hAnsiTheme="minorEastAsia" w:cstheme="minorEastAsia"/>
          <w:szCs w:val="21"/>
        </w:rPr>
        <w:t>为</w:t>
      </w:r>
      <w:r>
        <w:rPr>
          <w:rFonts w:hint="eastAsia" w:asciiTheme="minorEastAsia" w:hAnsiTheme="minorEastAsia" w:eastAsiaTheme="minorEastAsia" w:cstheme="minorEastAsia"/>
          <w:szCs w:val="21"/>
        </w:rPr>
        <w:t>CISAW信息安全保障人员</w:t>
      </w:r>
      <w:r>
        <w:rPr>
          <w:rFonts w:hint="eastAsia" w:asciiTheme="minorEastAsia" w:hAnsiTheme="minorEastAsia" w:cstheme="minorEastAsia"/>
          <w:szCs w:val="21"/>
        </w:rPr>
        <w:t>）</w:t>
      </w:r>
      <w:r>
        <w:rPr>
          <w:rFonts w:hint="eastAsia" w:asciiTheme="minorEastAsia" w:hAnsiTheme="minorEastAsia" w:eastAsiaTheme="minorEastAsia" w:cstheme="minorEastAsia"/>
          <w:szCs w:val="21"/>
        </w:rPr>
        <w:t>，同时具备等保三级及以上项目经验，具有集成、实施项目的丰富经验和较强的沟通协调能力；自</w:t>
      </w:r>
      <w:r>
        <w:rPr>
          <w:rFonts w:hint="eastAsia" w:asciiTheme="minorEastAsia" w:hAnsiTheme="minorEastAsia" w:cstheme="minorEastAsia"/>
          <w:szCs w:val="21"/>
        </w:rPr>
        <w:t>8月12日</w:t>
      </w:r>
      <w:r>
        <w:rPr>
          <w:rFonts w:hint="eastAsia" w:asciiTheme="minorEastAsia" w:hAnsiTheme="minorEastAsia" w:eastAsiaTheme="minorEastAsia" w:cstheme="minorEastAsia"/>
          <w:szCs w:val="21"/>
        </w:rPr>
        <w:t>起，专职工程师需提供7*24技术支持服务，日常的网络安全应急响应服务</w:t>
      </w:r>
      <w:r>
        <w:rPr>
          <w:rFonts w:hint="eastAsia" w:asciiTheme="minorEastAsia" w:hAnsiTheme="minorEastAsia" w:cstheme="minorEastAsia"/>
          <w:szCs w:val="21"/>
        </w:rPr>
        <w:t>，每月不少于3个工作日的现场驻场服务</w:t>
      </w:r>
      <w:r>
        <w:rPr>
          <w:rFonts w:hint="eastAsia" w:asciiTheme="minorEastAsia" w:hAnsiTheme="minorEastAsia" w:eastAsiaTheme="minorEastAsia" w:cstheme="minorEastAsia"/>
          <w:szCs w:val="21"/>
        </w:rPr>
        <w:t>等。</w:t>
      </w:r>
    </w:p>
    <w:p w14:paraId="4CCF7813">
      <w:pPr>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4）乙方在本项目实施中，应选派工作责任心强、技术水平高、业务熟练、具备等级测评或风险评估实施经验的人员参加本项目的实施。人员总数建议不少于4人，其中测评人员现场不低于2人，且现场人员具有“信息安全等级测评师”</w:t>
      </w:r>
      <w:r>
        <w:rPr>
          <w:rFonts w:hint="eastAsia" w:ascii="宋体" w:hAnsi="宋体" w:eastAsia="宋体" w:cs="宋体"/>
          <w:szCs w:val="21"/>
        </w:rPr>
        <w:t>或“网络安全等级测评师证书”</w:t>
      </w:r>
      <w:r>
        <w:rPr>
          <w:rFonts w:hint="eastAsia" w:asciiTheme="minorEastAsia" w:hAnsiTheme="minorEastAsia" w:eastAsiaTheme="minorEastAsia" w:cstheme="minorEastAsia"/>
          <w:szCs w:val="21"/>
        </w:rPr>
        <w:t>中级及以上认证证书。</w:t>
      </w:r>
    </w:p>
    <w:p w14:paraId="6207D35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（5）乙方选派的项目组成员应以专职为主，专职人员在项目实施期间不得兼任与本项目无关的其他工作，专职人员比例应不低于 90％。</w:t>
      </w:r>
    </w:p>
    <w:p w14:paraId="53A9194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乙方应在合同签订前提供项目经理与专职工程师名单，同时根据人员要求提供相应的证书或证明文件，在进入系统测评阶段需按要求提供现场测评实施人员名单由甲方确认后，才能进入测评阶段。甲方如认为乙方提供的项目组成员达不到要求，有权要求乙方更换，乙方必须负责在一周之内调换符合甲方要求的项目成员。乙方应按阶段提交项目参与人员名单，经甲方确认。乙方应保证项目组成员的稳定性，如特殊情况需要调整项目组成员的，应提前一个月书面通知甲方，并获得甲方的确认后才能安排调整。</w:t>
      </w:r>
    </w:p>
    <w:p w14:paraId="10470DA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为确保项目顺利实施，项目实施队伍应保持适当的规模，项目组组织结构需分工合理、层次清晰，且分工要为适应项目实施需要。配备人员数量应满足项目需要，原则上每一现场实施人员不得少于1人，不允许职责交叉，不得因为人员离职影响项目的正常开展。</w:t>
      </w:r>
    </w:p>
    <w:p w14:paraId="78197FA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项目经理、专职工程师，测评实施人员应满足项目需要，如果人员不能胜任，甲方有权要求乙方更换人员。乙方原则上不允许更换人员，若更换人员必须书面征得甲方同意，且更换的人员必须具有同等级别和实施经验，并且做好项目交接和资料回收工作；人员搭配应合理，并满足项目实施的要求。</w:t>
      </w:r>
    </w:p>
    <w:p w14:paraId="0547CFD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4.</w:t>
      </w:r>
      <w:r>
        <w:rPr>
          <w:rFonts w:hint="eastAsia" w:asciiTheme="minorEastAsia" w:hAnsiTheme="minorEastAsia" w:eastAsiaTheme="minorEastAsia" w:cstheme="minorEastAsia"/>
          <w:szCs w:val="21"/>
        </w:rPr>
        <w:t>7.3.服务质量要求</w:t>
      </w:r>
    </w:p>
    <w:p w14:paraId="6692376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（1）乙方是本项目技术服务与质量保障的主要承担者和责任人。乙方必须能依据竞价书中各项需求提供及时、高效的技术保障与服务，协助</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实现系统的长期稳定运行。技术与质量保障的范围包括本项目所涉及的所有服务。在项目规定的技术服务范围及期限内，不得另行收费。具体服务与质量保障要求如下：</w:t>
      </w:r>
    </w:p>
    <w:p w14:paraId="5CF2716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（2）乙方方必须拥有完善的技术保障服务体系，能够为</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提供统一快捷的技术保障服务。乙方必须向</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免费提供电话、E-mail 技术支撑等方式。</w:t>
      </w:r>
    </w:p>
    <w:p w14:paraId="2C5A8C0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实施过程中，在进行渗透检测或其他安全评估时务必做到对生产系统、业务连续性造成任何负面影响的风险实行规避策略。例如系统、应用异常，产生垃圾数据，数据紊乱等。整改过程中，应提供整改需求说明及整改内容，并协助完成整改。</w:t>
      </w:r>
    </w:p>
    <w:p w14:paraId="32762A0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（3）乙方参与项目的所有人员应严格遵守甲方的保密要求签订保密协议或保密承诺书, 并由乙方担保。乙方对于甲方提供的资料，以及本项目实施过程中所涉及的所有文档、数据、介质和相关信息保密，未经许可，不得以任何形式向第三方传播。保密期限不受本项目期限的限制，在本项目履行完毕后，保密信息接受方仍应承担保密义务。如因乙方一方的原因造成泄密，甲方将保留追究其法律责任的权利。</w:t>
      </w:r>
    </w:p>
    <w:p w14:paraId="46D3582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知识转移的目标是乙方采取有效的方式、途径来保证甲方能顺利的接受本项目产生的各项电子版和纸质版文档交付物以及相关项目成果。在采购时，乙方需详细列出知识转移的方案和方式。乙方要规范和完善项目成果、交付物和中间成果的转交过程。乙方在按计划完成和提交项目成果等交付物的同时，这些文档均要以严格的档案管理规范集中组织并保存，提供电子、纸质等多种备查方式，向甲方相关人员开放项目文档，使得甲方可以随时查阅文档，了解和掌握项目中的各种知识。</w:t>
      </w:r>
    </w:p>
    <w:p w14:paraId="4A6D305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甲方对项目实施过程中所产生的所有成果（包括相关技术资料、文档等）享有所有权（永久使用权、复制权和修改权等）。除本项目工作所需外，未经甲方书面同意，乙方不得擅自使用、复制甲方的商标、标志、数据信息、文档及其他资料。</w:t>
      </w:r>
    </w:p>
    <w:p w14:paraId="5951C7A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乙方应保证在本项目中所有预装和为本项目安装的软件为在中国境内具有合法版权或使用权的正版软件且无质量瑕疵。乙方应保证其所提供的产品及服务不侵犯第三方的知识产权，否则，由此给甲方造成的一切损失由乙方承担。乙方为本项目提供的产品（设备及软件）均为终身授权产品，使用范围为本项目相关系统且无任何限制。</w:t>
      </w:r>
    </w:p>
    <w:p w14:paraId="5A5629D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（7）乙方应对项目所涉及的各阶段工作文档的电子版和纸质版，按甲方质量、数量、提供方式、提供时间等要求进行整理，经甲方确认后提交甲方归档。</w:t>
      </w:r>
    </w:p>
    <w:p w14:paraId="04E3453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在项目实施过程的各阶段，本项目相关技术人员适当参与，以工作中的配合关系和传帮带的工作模式进行知识与技能的转移。在此过程中，乙方须将信息安全等级测评和风险评估方法和经验等通过集中培训和文档提交等形式进行转移。</w:t>
      </w:r>
    </w:p>
    <w:p w14:paraId="398BC7B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4.</w:t>
      </w:r>
      <w:r>
        <w:rPr>
          <w:rFonts w:hint="eastAsia" w:asciiTheme="minorEastAsia" w:hAnsiTheme="minorEastAsia" w:eastAsiaTheme="minorEastAsia" w:cstheme="minorEastAsia"/>
          <w:szCs w:val="21"/>
        </w:rPr>
        <w:t>7.4.服务期限要求</w:t>
      </w:r>
    </w:p>
    <w:p w14:paraId="3B04330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签订合同后需</w:t>
      </w:r>
      <w:r>
        <w:rPr>
          <w:rFonts w:hint="eastAsia" w:asciiTheme="minorEastAsia" w:hAnsiTheme="minorEastAsia" w:cstheme="minorEastAsia"/>
          <w:szCs w:val="21"/>
        </w:rPr>
        <w:t>60</w:t>
      </w:r>
      <w:r>
        <w:rPr>
          <w:rFonts w:hint="eastAsia" w:asciiTheme="minorEastAsia" w:hAnsiTheme="minorEastAsia" w:eastAsiaTheme="minorEastAsia" w:cstheme="minorEastAsia"/>
          <w:szCs w:val="21"/>
        </w:rPr>
        <w:t>天内完成合同规定的三级系统通过网络安全等级保护第三级测评，</w:t>
      </w:r>
      <w:r>
        <w:rPr>
          <w:rFonts w:hint="eastAsia" w:asciiTheme="minorEastAsia" w:hAnsiTheme="minorEastAsia" w:cstheme="minorEastAsia"/>
          <w:szCs w:val="21"/>
        </w:rPr>
        <w:t>网络安全加固，网络安全应急响应</w:t>
      </w:r>
      <w:r>
        <w:rPr>
          <w:rFonts w:hint="eastAsia" w:asciiTheme="minorEastAsia" w:hAnsiTheme="minorEastAsia" w:eastAsiaTheme="minorEastAsia" w:cstheme="minorEastAsia"/>
          <w:szCs w:val="21"/>
        </w:rPr>
        <w:t>等服务保障时间为</w:t>
      </w:r>
      <w:r>
        <w:rPr>
          <w:rFonts w:hint="eastAsia" w:asciiTheme="minorEastAsia" w:hAnsiTheme="minorEastAsia" w:cstheme="minorEastAsia"/>
          <w:szCs w:val="21"/>
        </w:rPr>
        <w:t>2025年8月12日起</w:t>
      </w:r>
      <w:r>
        <w:rPr>
          <w:rFonts w:hint="eastAsia" w:asciiTheme="minorEastAsia" w:hAnsiTheme="minorEastAsia" w:eastAsiaTheme="minorEastAsia" w:cstheme="minorEastAsia"/>
          <w:szCs w:val="21"/>
        </w:rPr>
        <w:t>，服务期</w:t>
      </w:r>
      <w:r>
        <w:rPr>
          <w:rFonts w:hint="eastAsia" w:asciiTheme="minorEastAsia" w:hAnsiTheme="minorEastAsia" w:cstheme="minorEastAsia"/>
          <w:szCs w:val="21"/>
        </w:rPr>
        <w:t>限</w:t>
      </w:r>
      <w:r>
        <w:rPr>
          <w:rFonts w:hint="eastAsia" w:asciiTheme="minorEastAsia" w:hAnsiTheme="minorEastAsia" w:eastAsiaTheme="minorEastAsia" w:cstheme="minorEastAsia"/>
          <w:szCs w:val="21"/>
        </w:rPr>
        <w:t>为</w:t>
      </w:r>
      <w:r>
        <w:rPr>
          <w:rFonts w:hint="eastAsia" w:asciiTheme="minorEastAsia" w:hAnsiTheme="minorEastAsia" w:eastAsiaTheme="minorEastAsia" w:cstheme="minorEastAsia"/>
          <w:szCs w:val="21"/>
          <w:u w:val="single"/>
        </w:rPr>
        <w:t>一年</w:t>
      </w:r>
      <w:r>
        <w:rPr>
          <w:rFonts w:hint="eastAsia" w:asciiTheme="minorEastAsia" w:hAnsiTheme="minorEastAsia" w:eastAsiaTheme="minorEastAsia" w:cstheme="minorEastAsia"/>
          <w:szCs w:val="21"/>
        </w:rPr>
        <w:t>。在</w:t>
      </w:r>
      <w:r>
        <w:rPr>
          <w:rFonts w:hint="eastAsia" w:asciiTheme="minorEastAsia" w:hAnsiTheme="minorEastAsia" w:cstheme="minorEastAsia"/>
          <w:szCs w:val="21"/>
        </w:rPr>
        <w:t>本项目</w:t>
      </w:r>
      <w:r>
        <w:rPr>
          <w:rFonts w:hint="eastAsia" w:asciiTheme="minorEastAsia" w:hAnsiTheme="minorEastAsia" w:eastAsiaTheme="minorEastAsia" w:cstheme="minorEastAsia"/>
          <w:szCs w:val="21"/>
        </w:rPr>
        <w:t>服务期内，必须严格按照合同要求完成相关工作，按时提交各阶段文档，协助完成验收工作。</w:t>
      </w:r>
    </w:p>
    <w:p w14:paraId="73DBC42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cstheme="minorEastAsia"/>
          <w:szCs w:val="21"/>
        </w:rPr>
        <w:t>4.</w:t>
      </w:r>
      <w:r>
        <w:rPr>
          <w:rFonts w:hint="eastAsia" w:asciiTheme="minorEastAsia" w:hAnsiTheme="minorEastAsia" w:eastAsiaTheme="minorEastAsia" w:cstheme="minorEastAsia"/>
          <w:szCs w:val="21"/>
        </w:rPr>
        <w:t>7.5.实施方案要求</w:t>
      </w:r>
    </w:p>
    <w:p w14:paraId="09B0FCE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乙方必须在项目实施前提交详细的项目实施方案，具体包括技术方案、实施方案、知识转移方案等</w:t>
      </w:r>
    </w:p>
    <w:p w14:paraId="42F2F089">
      <w:pPr>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4.8、验收标准</w:t>
      </w:r>
    </w:p>
    <w:p w14:paraId="04D49EE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完成服务需求中所规定的各项内容，保障本项目所涵盖的网络系统全部通过网络安全等级保护第三级测评，完成一年的</w:t>
      </w:r>
      <w:r>
        <w:rPr>
          <w:rFonts w:hint="eastAsia" w:asciiTheme="minorEastAsia" w:hAnsiTheme="minorEastAsia" w:eastAsiaTheme="minorEastAsia" w:cstheme="minorEastAsia"/>
          <w:color w:val="000000"/>
          <w:kern w:val="0"/>
          <w:szCs w:val="21"/>
        </w:rPr>
        <w:t>网络安全应急响应服务</w:t>
      </w:r>
      <w:r>
        <w:rPr>
          <w:rFonts w:hint="eastAsia" w:asciiTheme="minorEastAsia" w:hAnsiTheme="minorEastAsia" w:eastAsiaTheme="minorEastAsia" w:cstheme="minorEastAsia"/>
          <w:szCs w:val="21"/>
        </w:rPr>
        <w:t>。以上工作完成后，按照甲方要求</w:t>
      </w:r>
      <w:r>
        <w:rPr>
          <w:rFonts w:hint="eastAsia" w:asciiTheme="minorEastAsia" w:hAnsiTheme="minorEastAsia" w:cstheme="minorEastAsia"/>
          <w:szCs w:val="21"/>
        </w:rPr>
        <w:t>提交①等保测评报告，②过程文档（</w:t>
      </w:r>
      <w:r>
        <w:rPr>
          <w:rFonts w:hint="eastAsia" w:ascii="宋体" w:hAnsi="宋体" w:cs="宋体"/>
          <w:szCs w:val="21"/>
        </w:rPr>
        <w:t>《网络安全设计方案》、《网络安全等级保护差距分析报告》、《信息系统风险评估报告》、《信息系统渗透测试报告》、 《信息系统漏洞扫描报告》、《网络安全等级保护整改建议书》、 《信息系统安全配置策略符合性检查报告》、 《信息系统安全策略自查报告》、 《信息系统安全配置应急自查报告》</w:t>
      </w:r>
      <w:r>
        <w:rPr>
          <w:rFonts w:hint="eastAsia" w:asciiTheme="minorEastAsia" w:hAnsiTheme="minorEastAsia" w:cstheme="minorEastAsia"/>
          <w:szCs w:val="21"/>
        </w:rPr>
        <w:t>），③公安回执，④每月驻场运维人员考勤表，⑤每月网络安全漏洞修复统计表，⑥</w:t>
      </w:r>
      <w:r>
        <w:rPr>
          <w:rFonts w:hint="eastAsia" w:ascii="宋体" w:hAnsi="宋体" w:cs="宋体"/>
          <w:szCs w:val="21"/>
        </w:rPr>
        <w:t>肇庆监狱2025年网络安全加固技术方案记录表</w:t>
      </w:r>
      <w:r>
        <w:rPr>
          <w:rFonts w:hint="eastAsia" w:asciiTheme="minorEastAsia" w:hAnsiTheme="minorEastAsia" w:cstheme="minorEastAsia"/>
          <w:szCs w:val="21"/>
        </w:rPr>
        <w:t>，⑦</w:t>
      </w:r>
      <w:r>
        <w:rPr>
          <w:rFonts w:hint="eastAsia" w:ascii="宋体" w:hAnsi="宋体" w:cs="宋体"/>
          <w:szCs w:val="21"/>
        </w:rPr>
        <w:t>肇庆监狱2025年网络安全应急演练记录表</w:t>
      </w:r>
      <w:r>
        <w:rPr>
          <w:rFonts w:hint="eastAsia" w:asciiTheme="minorEastAsia" w:hAnsiTheme="minorEastAsia" w:cstheme="minorEastAsia"/>
          <w:szCs w:val="21"/>
        </w:rPr>
        <w:t>，⑧</w:t>
      </w:r>
      <w:r>
        <w:rPr>
          <w:rFonts w:hint="eastAsia" w:ascii="宋体" w:hAnsi="宋体" w:cs="宋体"/>
          <w:szCs w:val="21"/>
        </w:rPr>
        <w:t>肇庆监狱2025年网络安全培训记录表</w:t>
      </w:r>
      <w:r>
        <w:rPr>
          <w:rFonts w:hint="eastAsia" w:asciiTheme="minorEastAsia" w:hAnsiTheme="minorEastAsia" w:cstheme="minorEastAsia"/>
          <w:szCs w:val="21"/>
        </w:rPr>
        <w:t>，</w:t>
      </w:r>
      <w:r>
        <w:rPr>
          <w:rFonts w:hint="eastAsia" w:asciiTheme="minorEastAsia" w:hAnsiTheme="minorEastAsia" w:eastAsiaTheme="minorEastAsia" w:cstheme="minorEastAsia"/>
          <w:szCs w:val="21"/>
        </w:rPr>
        <w:t>进行验收。</w:t>
      </w:r>
    </w:p>
    <w:p w14:paraId="07550D6D">
      <w:pPr>
        <w:spacing w:line="360" w:lineRule="auto"/>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五、付款方式</w:t>
      </w:r>
    </w:p>
    <w:p w14:paraId="74AD22F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w:t>
      </w:r>
      <w:r>
        <w:rPr>
          <w:rFonts w:hint="eastAsia" w:asciiTheme="minorEastAsia" w:hAnsiTheme="minorEastAsia" w:cstheme="minorEastAsia"/>
          <w:szCs w:val="21"/>
        </w:rPr>
        <w:t>项目</w:t>
      </w:r>
      <w:r>
        <w:rPr>
          <w:rFonts w:hint="eastAsia" w:asciiTheme="minorEastAsia" w:hAnsiTheme="minorEastAsia" w:eastAsiaTheme="minorEastAsia" w:cstheme="minorEastAsia"/>
          <w:szCs w:val="21"/>
        </w:rPr>
        <w:t>计划分</w:t>
      </w:r>
      <w:r>
        <w:rPr>
          <w:rFonts w:hint="eastAsia" w:asciiTheme="minorEastAsia" w:hAnsiTheme="minorEastAsia" w:eastAsiaTheme="minorEastAsia" w:cstheme="minorEastAsia"/>
          <w:szCs w:val="21"/>
          <w:u w:val="single"/>
        </w:rPr>
        <w:t xml:space="preserve">3 </w:t>
      </w:r>
      <w:r>
        <w:rPr>
          <w:rFonts w:hint="eastAsia" w:asciiTheme="minorEastAsia" w:hAnsiTheme="minorEastAsia" w:eastAsiaTheme="minorEastAsia" w:cstheme="minorEastAsia"/>
          <w:szCs w:val="21"/>
        </w:rPr>
        <w:t>期支付，具体支付方式和时间如下：</w:t>
      </w:r>
    </w:p>
    <w:p w14:paraId="148367B7">
      <w:pPr>
        <w:spacing w:line="360" w:lineRule="auto"/>
        <w:ind w:firstLine="420" w:firstLineChars="200"/>
        <w:rPr>
          <w:rFonts w:asciiTheme="minorEastAsia" w:hAnsiTheme="minorEastAsia" w:eastAsiaTheme="minorEastAsia" w:cstheme="minorEastAsia"/>
          <w:szCs w:val="21"/>
        </w:rPr>
      </w:pPr>
      <w:r>
        <w:rPr>
          <w:rFonts w:asciiTheme="minorEastAsia" w:hAnsiTheme="minorEastAsia" w:cstheme="minorEastAsia"/>
          <w:szCs w:val="21"/>
        </w:rPr>
        <w:t>5</w:t>
      </w:r>
      <w:r>
        <w:rPr>
          <w:rFonts w:hint="eastAsia" w:asciiTheme="minorEastAsia" w:hAnsiTheme="minorEastAsia" w:cstheme="minorEastAsia"/>
          <w:szCs w:val="21"/>
        </w:rPr>
        <w:t>.1</w:t>
      </w:r>
      <w:r>
        <w:rPr>
          <w:rFonts w:hint="eastAsia" w:asciiTheme="minorEastAsia" w:hAnsiTheme="minorEastAsia" w:eastAsiaTheme="minorEastAsia" w:cstheme="minorEastAsia"/>
          <w:szCs w:val="21"/>
        </w:rPr>
        <w:t>首期款：签订合同后</w:t>
      </w:r>
      <w:bookmarkStart w:id="0" w:name="_Hlk7423949"/>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rPr>
        <w:t xml:space="preserve"> 10  </w:t>
      </w:r>
      <w:r>
        <w:rPr>
          <w:rFonts w:hint="eastAsia" w:asciiTheme="minorEastAsia" w:hAnsiTheme="minorEastAsia" w:eastAsiaTheme="minorEastAsia" w:cstheme="minorEastAsia"/>
          <w:szCs w:val="21"/>
        </w:rPr>
        <w:t>个工作日内</w:t>
      </w:r>
      <w:bookmarkEnd w:id="0"/>
      <w:r>
        <w:rPr>
          <w:rFonts w:hint="eastAsia" w:asciiTheme="minorEastAsia" w:hAnsiTheme="minorEastAsia" w:eastAsiaTheme="minorEastAsia" w:cstheme="minorEastAsia"/>
          <w:szCs w:val="21"/>
        </w:rPr>
        <w:t xml:space="preserve">，乙方书面提出支付申请函及拟支付金额等额的符合甲方财务管理要求的相应发票，甲方确认后启动首期款支付流程，占合同总金额的  </w:t>
      </w:r>
      <w:r>
        <w:rPr>
          <w:rFonts w:hint="eastAsia" w:asciiTheme="minorEastAsia" w:hAnsiTheme="minorEastAsia" w:eastAsiaTheme="minorEastAsia" w:cstheme="minorEastAsia"/>
          <w:szCs w:val="21"/>
          <w:u w:val="single"/>
        </w:rPr>
        <w:t>30</w:t>
      </w:r>
      <w:r>
        <w:rPr>
          <w:rFonts w:hint="eastAsia" w:asciiTheme="minorEastAsia" w:hAnsiTheme="minorEastAsia" w:eastAsiaTheme="minorEastAsia" w:cstheme="minorEastAsia"/>
          <w:szCs w:val="21"/>
        </w:rPr>
        <w:t xml:space="preserve">  %。</w:t>
      </w:r>
    </w:p>
    <w:p w14:paraId="4969C8B7">
      <w:pPr>
        <w:spacing w:line="360" w:lineRule="auto"/>
        <w:ind w:firstLine="420" w:firstLineChars="200"/>
        <w:rPr>
          <w:rFonts w:asciiTheme="minorEastAsia" w:hAnsiTheme="minorEastAsia" w:eastAsiaTheme="minorEastAsia" w:cstheme="minorEastAsia"/>
          <w:szCs w:val="21"/>
        </w:rPr>
      </w:pPr>
      <w:r>
        <w:rPr>
          <w:rFonts w:asciiTheme="minorEastAsia" w:hAnsiTheme="minorEastAsia" w:cstheme="minorEastAsia"/>
          <w:szCs w:val="21"/>
        </w:rPr>
        <w:t>5</w:t>
      </w:r>
      <w:r>
        <w:rPr>
          <w:rFonts w:hint="eastAsia" w:asciiTheme="minorEastAsia" w:hAnsiTheme="minorEastAsia" w:cstheme="minorEastAsia"/>
          <w:szCs w:val="21"/>
        </w:rPr>
        <w:t>.2</w:t>
      </w:r>
      <w:r>
        <w:rPr>
          <w:rFonts w:hint="eastAsia" w:asciiTheme="minorEastAsia" w:hAnsiTheme="minorEastAsia" w:eastAsiaTheme="minorEastAsia" w:cstheme="minorEastAsia"/>
          <w:szCs w:val="21"/>
        </w:rPr>
        <w:t>进度款：合同签订后</w:t>
      </w:r>
      <w:r>
        <w:rPr>
          <w:rFonts w:hint="eastAsia" w:asciiTheme="minorEastAsia" w:hAnsiTheme="minorEastAsia" w:cstheme="minorEastAsia"/>
          <w:szCs w:val="21"/>
          <w:u w:val="single"/>
        </w:rPr>
        <w:t>60</w:t>
      </w:r>
      <w:r>
        <w:rPr>
          <w:rFonts w:hint="eastAsia" w:asciiTheme="minorEastAsia" w:hAnsiTheme="minorEastAsia" w:eastAsiaTheme="minorEastAsia" w:cstheme="minorEastAsia"/>
          <w:szCs w:val="21"/>
        </w:rPr>
        <w:t xml:space="preserve">天内完成合同规定的三级系统通过网络安全等级保护第三级测评后，乙方书面提出支付申请函及拟支付金额等额的符合甲方财务管理要求的相应发票，甲方确认后启动进度款支付流程，占合同总金额的 </w:t>
      </w:r>
      <w:r>
        <w:rPr>
          <w:rFonts w:hint="eastAsia" w:asciiTheme="minorEastAsia" w:hAnsiTheme="minorEastAsia" w:cstheme="minorEastAsia"/>
          <w:szCs w:val="21"/>
          <w:u w:val="single"/>
        </w:rPr>
        <w:t>30</w:t>
      </w:r>
      <w:r>
        <w:rPr>
          <w:rFonts w:hint="eastAsia" w:asciiTheme="minorEastAsia" w:hAnsiTheme="minorEastAsia" w:eastAsiaTheme="minorEastAsia" w:cstheme="minorEastAsia"/>
          <w:szCs w:val="21"/>
        </w:rPr>
        <w:t xml:space="preserve"> %。</w:t>
      </w:r>
    </w:p>
    <w:p w14:paraId="1F530D20">
      <w:pPr>
        <w:spacing w:line="360" w:lineRule="auto"/>
        <w:ind w:firstLine="420" w:firstLineChars="200"/>
        <w:rPr>
          <w:rFonts w:asciiTheme="minorEastAsia" w:hAnsiTheme="minorEastAsia" w:eastAsiaTheme="minorEastAsia" w:cstheme="minorEastAsia"/>
          <w:szCs w:val="21"/>
        </w:rPr>
      </w:pPr>
      <w:r>
        <w:rPr>
          <w:rFonts w:asciiTheme="minorEastAsia" w:hAnsiTheme="minorEastAsia" w:cstheme="minorEastAsia"/>
          <w:szCs w:val="21"/>
        </w:rPr>
        <w:t>5</w:t>
      </w:r>
      <w:r>
        <w:rPr>
          <w:rFonts w:hint="eastAsia" w:asciiTheme="minorEastAsia" w:hAnsiTheme="minorEastAsia" w:cstheme="minorEastAsia"/>
          <w:szCs w:val="21"/>
        </w:rPr>
        <w:t>.3</w:t>
      </w:r>
      <w:r>
        <w:rPr>
          <w:rFonts w:hint="eastAsia" w:asciiTheme="minorEastAsia" w:hAnsiTheme="minorEastAsia" w:eastAsiaTheme="minorEastAsia" w:cstheme="minorEastAsia"/>
          <w:szCs w:val="21"/>
        </w:rPr>
        <w:t xml:space="preserve">尾款：合同服务期限到期并通过验收后 </w:t>
      </w:r>
      <w:r>
        <w:rPr>
          <w:rFonts w:hint="eastAsia" w:asciiTheme="minorEastAsia" w:hAnsiTheme="minorEastAsia" w:eastAsiaTheme="minorEastAsia" w:cstheme="minorEastAsia"/>
          <w:szCs w:val="21"/>
          <w:u w:val="single"/>
        </w:rPr>
        <w:t xml:space="preserve"> 10</w:t>
      </w:r>
      <w:r>
        <w:rPr>
          <w:rFonts w:hint="eastAsia" w:asciiTheme="minorEastAsia" w:hAnsiTheme="minorEastAsia" w:eastAsiaTheme="minorEastAsia" w:cstheme="minorEastAsia"/>
          <w:szCs w:val="21"/>
        </w:rPr>
        <w:t xml:space="preserve">  个工作日内，乙方书面提出支付申请函及拟支付金额等额的符合甲方财务管理要求的相应发票，甲方确认后启动尾款支付流程，占合同总金额的</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rPr>
        <w:t>40</w:t>
      </w:r>
      <w:r>
        <w:rPr>
          <w:rFonts w:hint="eastAsia" w:asciiTheme="minorEastAsia" w:hAnsiTheme="minorEastAsia" w:eastAsiaTheme="minorEastAsia" w:cstheme="minorEastAsia"/>
          <w:szCs w:val="21"/>
        </w:rPr>
        <w:t xml:space="preserve"> %。</w:t>
      </w:r>
    </w:p>
    <w:p w14:paraId="31F2784D">
      <w:pPr>
        <w:spacing w:line="360" w:lineRule="auto"/>
        <w:ind w:firstLine="420" w:firstLineChars="200"/>
        <w:rPr>
          <w:rFonts w:eastAsiaTheme="minorEastAsia"/>
        </w:rPr>
      </w:pPr>
      <w:r>
        <w:rPr>
          <w:rFonts w:asciiTheme="minorEastAsia" w:hAnsiTheme="minorEastAsia" w:cstheme="minorEastAsia"/>
          <w:szCs w:val="21"/>
        </w:rPr>
        <w:t>5</w:t>
      </w:r>
      <w:r>
        <w:rPr>
          <w:rFonts w:hint="eastAsia" w:asciiTheme="minorEastAsia" w:hAnsiTheme="minorEastAsia" w:cstheme="minorEastAsia"/>
          <w:szCs w:val="21"/>
        </w:rPr>
        <w:t>.4项目合同</w:t>
      </w:r>
      <w:r>
        <w:rPr>
          <w:rFonts w:hint="eastAsia" w:asciiTheme="minorEastAsia" w:hAnsiTheme="minorEastAsia" w:eastAsiaTheme="minorEastAsia" w:cstheme="minorEastAsia"/>
          <w:szCs w:val="21"/>
        </w:rPr>
        <w:t>总价包括了服务期间所有服务费用、设备费用、正常的税金、雇员费用、税费、不可预见费等完成本</w:t>
      </w:r>
      <w:r>
        <w:rPr>
          <w:rFonts w:hint="eastAsia" w:asciiTheme="minorEastAsia" w:hAnsiTheme="minorEastAsia" w:cstheme="minorEastAsia"/>
          <w:szCs w:val="21"/>
        </w:rPr>
        <w:t>项目</w:t>
      </w:r>
      <w:r>
        <w:rPr>
          <w:rFonts w:hint="eastAsia" w:asciiTheme="minorEastAsia" w:hAnsiTheme="minorEastAsia" w:eastAsiaTheme="minorEastAsia" w:cstheme="minorEastAsia"/>
          <w:szCs w:val="21"/>
        </w:rPr>
        <w:t>内容所需的一切费用及</w:t>
      </w:r>
      <w:r>
        <w:rPr>
          <w:rFonts w:hint="eastAsia" w:asciiTheme="minorEastAsia" w:hAnsiTheme="minorEastAsia" w:cstheme="minorEastAsia"/>
          <w:szCs w:val="21"/>
        </w:rPr>
        <w:t>项目</w:t>
      </w:r>
      <w:r>
        <w:rPr>
          <w:rFonts w:hint="eastAsia" w:asciiTheme="minorEastAsia" w:hAnsiTheme="minorEastAsia" w:eastAsiaTheme="minorEastAsia" w:cstheme="minorEastAsia"/>
          <w:szCs w:val="21"/>
        </w:rPr>
        <w:t>实施过程中应预见和不可预见费用等。</w:t>
      </w:r>
      <w:r>
        <w:rPr>
          <w:rFonts w:hint="eastAsia" w:asciiTheme="minorEastAsia" w:hAnsiTheme="minorEastAsia" w:cstheme="minorEastAsia"/>
          <w:szCs w:val="21"/>
        </w:rPr>
        <w:t>乙方</w:t>
      </w:r>
      <w:r>
        <w:rPr>
          <w:rFonts w:hint="eastAsia" w:asciiTheme="minorEastAsia" w:hAnsiTheme="minorEastAsia" w:eastAsiaTheme="minorEastAsia" w:cstheme="minorEastAsia"/>
          <w:szCs w:val="21"/>
        </w:rPr>
        <w:t>不得再向</w:t>
      </w:r>
      <w:r>
        <w:rPr>
          <w:rFonts w:hint="eastAsia" w:asciiTheme="minorEastAsia" w:hAnsiTheme="minorEastAsia" w:cstheme="minorEastAsia"/>
          <w:szCs w:val="21"/>
        </w:rPr>
        <w:t>甲方</w:t>
      </w:r>
      <w:r>
        <w:rPr>
          <w:rFonts w:hint="eastAsia" w:asciiTheme="minorEastAsia" w:hAnsiTheme="minorEastAsia" w:eastAsiaTheme="minorEastAsia" w:cstheme="minorEastAsia"/>
          <w:szCs w:val="21"/>
        </w:rPr>
        <w:t>收取任何费用。</w:t>
      </w:r>
    </w:p>
    <w:p w14:paraId="7A219C14">
      <w:pPr>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六、违约责任与赔偿损失</w:t>
      </w:r>
    </w:p>
    <w:p w14:paraId="2C4095A6">
      <w:pPr>
        <w:spacing w:line="360" w:lineRule="auto"/>
        <w:ind w:firstLine="420" w:firstLineChars="200"/>
        <w:rPr>
          <w:rFonts w:asciiTheme="minorEastAsia" w:hAnsiTheme="minorEastAsia" w:eastAsiaTheme="minorEastAsia" w:cstheme="minorEastAsia"/>
          <w:szCs w:val="21"/>
        </w:rPr>
      </w:pPr>
      <w:r>
        <w:rPr>
          <w:rFonts w:asciiTheme="minorEastAsia" w:hAnsiTheme="minorEastAsia" w:cstheme="minorEastAsia"/>
          <w:szCs w:val="21"/>
        </w:rPr>
        <w:t>6</w:t>
      </w:r>
      <w:r>
        <w:rPr>
          <w:rFonts w:hint="eastAsia" w:asciiTheme="minorEastAsia" w:hAnsiTheme="minorEastAsia" w:eastAsiaTheme="minorEastAsia" w:cstheme="minorEastAsia"/>
          <w:szCs w:val="21"/>
        </w:rPr>
        <w:t>.1.乙方在合同签订前未按要求提供相应的项目成员名单，视为乙方违约，甲方有权拒签合同，要求乙方支付</w:t>
      </w:r>
      <w:r>
        <w:rPr>
          <w:rFonts w:hint="eastAsia" w:asciiTheme="minorEastAsia" w:hAnsiTheme="minorEastAsia" w:cstheme="minorEastAsia"/>
          <w:szCs w:val="21"/>
        </w:rPr>
        <w:t>合同总价</w:t>
      </w:r>
      <w:r>
        <w:rPr>
          <w:rFonts w:hint="eastAsia" w:asciiTheme="minorEastAsia" w:hAnsiTheme="minorEastAsia" w:eastAsiaTheme="minorEastAsia" w:cstheme="minorEastAsia"/>
          <w:szCs w:val="21"/>
        </w:rPr>
        <w:t>10%违约金，并且给甲方造成的经济损失由乙方承担赔偿责任。</w:t>
      </w:r>
    </w:p>
    <w:p w14:paraId="083349BF">
      <w:pPr>
        <w:spacing w:line="360" w:lineRule="auto"/>
        <w:ind w:firstLine="420" w:firstLineChars="200"/>
        <w:rPr>
          <w:rFonts w:asciiTheme="minorEastAsia" w:hAnsiTheme="minorEastAsia" w:eastAsiaTheme="minorEastAsia" w:cstheme="minorEastAsia"/>
          <w:szCs w:val="21"/>
        </w:rPr>
      </w:pPr>
      <w:r>
        <w:rPr>
          <w:rFonts w:asciiTheme="minorEastAsia" w:hAnsiTheme="minorEastAsia" w:cstheme="minorEastAsia"/>
          <w:szCs w:val="21"/>
        </w:rPr>
        <w:t>6</w:t>
      </w:r>
      <w:r>
        <w:rPr>
          <w:rFonts w:hint="eastAsia" w:asciiTheme="minorEastAsia" w:hAnsiTheme="minorEastAsia" w:eastAsiaTheme="minorEastAsia" w:cstheme="minorEastAsia"/>
          <w:szCs w:val="21"/>
        </w:rPr>
        <w:t>.2.乙方未按合同要求的时间内完成项目清单内容，从逾期之日起每日按本合同总价5‰的数额向甲方支付违约金，期10天以上（含10天）的，甲方有权终止合同，要求乙方支付</w:t>
      </w:r>
      <w:r>
        <w:rPr>
          <w:rFonts w:hint="eastAsia" w:asciiTheme="minorEastAsia" w:hAnsiTheme="minorEastAsia" w:cstheme="minorEastAsia"/>
          <w:szCs w:val="21"/>
        </w:rPr>
        <w:t>合同总价</w:t>
      </w:r>
      <w:r>
        <w:rPr>
          <w:rFonts w:hint="eastAsia" w:asciiTheme="minorEastAsia" w:hAnsiTheme="minorEastAsia" w:eastAsiaTheme="minorEastAsia" w:cstheme="minorEastAsia"/>
          <w:szCs w:val="21"/>
        </w:rPr>
        <w:t>10%违约金，并且给甲方造成的经济损失由乙方承担赔偿责任。</w:t>
      </w:r>
    </w:p>
    <w:p w14:paraId="166FDF7F">
      <w:pPr>
        <w:spacing w:line="360" w:lineRule="auto"/>
        <w:ind w:firstLine="420" w:firstLineChars="200"/>
        <w:rPr>
          <w:rFonts w:asciiTheme="minorEastAsia" w:hAnsiTheme="minorEastAsia" w:eastAsiaTheme="minorEastAsia" w:cstheme="minorEastAsia"/>
          <w:szCs w:val="21"/>
        </w:rPr>
      </w:pPr>
      <w:r>
        <w:rPr>
          <w:rFonts w:asciiTheme="minorEastAsia" w:hAnsiTheme="minorEastAsia" w:cstheme="minorEastAsia"/>
          <w:szCs w:val="21"/>
        </w:rPr>
        <w:t>6</w:t>
      </w:r>
      <w:r>
        <w:rPr>
          <w:rFonts w:hint="eastAsia" w:asciiTheme="minorEastAsia" w:hAnsiTheme="minorEastAsia" w:eastAsiaTheme="minorEastAsia" w:cstheme="minorEastAsia"/>
          <w:szCs w:val="21"/>
        </w:rPr>
        <w:t>.3</w:t>
      </w:r>
      <w:r>
        <w:rPr>
          <w:rFonts w:hint="eastAsia" w:asciiTheme="minorEastAsia" w:hAnsiTheme="minorEastAsia" w:cstheme="minorEastAsia"/>
          <w:szCs w:val="21"/>
        </w:rPr>
        <w:t>.</w:t>
      </w:r>
      <w:r>
        <w:rPr>
          <w:rFonts w:hint="eastAsia" w:asciiTheme="minorEastAsia" w:hAnsiTheme="minorEastAsia" w:eastAsiaTheme="minorEastAsia" w:cstheme="minorEastAsia"/>
          <w:szCs w:val="21"/>
        </w:rPr>
        <w:t>合同期内甲方和乙方双方无正当理由终止合同的，违约方须向守约方支付合同总额 20%的违约金。如因乙方违约导致合同解除的，乙方应返还甲方已支付的全部</w:t>
      </w:r>
      <w:r>
        <w:rPr>
          <w:rFonts w:hint="eastAsia" w:asciiTheme="minorEastAsia" w:hAnsiTheme="minorEastAsia" w:cstheme="minorEastAsia"/>
          <w:szCs w:val="21"/>
        </w:rPr>
        <w:t>合同</w:t>
      </w:r>
      <w:r>
        <w:rPr>
          <w:rFonts w:hint="eastAsia" w:asciiTheme="minorEastAsia" w:hAnsiTheme="minorEastAsia" w:eastAsiaTheme="minorEastAsia" w:cstheme="minorEastAsia"/>
          <w:szCs w:val="21"/>
        </w:rPr>
        <w:t>款项。违约金不足以弥补守约方所受损失的，守约方有权进一步追偿。若甲方解除合同后，乙方须在接到甲方解约通知之日起 10 天内退回甲方已支付</w:t>
      </w:r>
      <w:r>
        <w:rPr>
          <w:rFonts w:hint="eastAsia" w:asciiTheme="minorEastAsia" w:hAnsiTheme="minorEastAsia" w:cstheme="minorEastAsia"/>
          <w:szCs w:val="21"/>
        </w:rPr>
        <w:t>合同</w:t>
      </w:r>
      <w:r>
        <w:rPr>
          <w:rFonts w:hint="eastAsia" w:asciiTheme="minorEastAsia" w:hAnsiTheme="minorEastAsia" w:eastAsiaTheme="minorEastAsia" w:cstheme="minorEastAsia"/>
          <w:szCs w:val="21"/>
        </w:rPr>
        <w:t>价款。</w:t>
      </w:r>
    </w:p>
    <w:p w14:paraId="0B41462B">
      <w:pPr>
        <w:spacing w:line="360" w:lineRule="auto"/>
        <w:ind w:firstLine="420" w:firstLineChars="200"/>
        <w:rPr>
          <w:rFonts w:asciiTheme="minorEastAsia" w:hAnsiTheme="minorEastAsia" w:eastAsiaTheme="minorEastAsia" w:cstheme="minorEastAsia"/>
          <w:szCs w:val="21"/>
        </w:rPr>
      </w:pPr>
      <w:r>
        <w:rPr>
          <w:rFonts w:asciiTheme="minorEastAsia" w:hAnsiTheme="minorEastAsia" w:cstheme="minorEastAsia"/>
          <w:szCs w:val="21"/>
        </w:rPr>
        <w:t>6</w:t>
      </w:r>
      <w:r>
        <w:rPr>
          <w:rFonts w:hint="eastAsia" w:asciiTheme="minorEastAsia" w:hAnsiTheme="minorEastAsia" w:cstheme="minorEastAsia"/>
          <w:szCs w:val="21"/>
        </w:rPr>
        <w:t>.4</w:t>
      </w:r>
      <w:r>
        <w:rPr>
          <w:rFonts w:hint="eastAsia" w:asciiTheme="minorEastAsia" w:hAnsiTheme="minorEastAsia" w:eastAsiaTheme="minorEastAsia" w:cstheme="minorEastAsia"/>
          <w:szCs w:val="21"/>
        </w:rPr>
        <w:t>合同期内，如乙方出现2次或以上未按合同要求或时间完成服务的，视为乙方严重违约，甲方要求立即解除本合同，乙方应返还甲方已支付的全部款项，且甲方有权要求乙方按合同总额20%支付违约金。</w:t>
      </w:r>
    </w:p>
    <w:p w14:paraId="295B867C">
      <w:pPr>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七、争议解决方式</w:t>
      </w:r>
    </w:p>
    <w:p w14:paraId="4C386E4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发生争议，由双方协商或由政府采购监督管理部门调解解决，协商或调解不成时向有管辖权的人民法院提起诉讼。（本合同的诉讼管辖地为肇庆有管辖权的法院）（在诉讼期间，除有争议部分的事项外，合同其他部分仍应继续履行）。</w:t>
      </w:r>
    </w:p>
    <w:p w14:paraId="7A3819A1">
      <w:pPr>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八、不可抗力</w:t>
      </w:r>
    </w:p>
    <w:p w14:paraId="5A845642">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w:t>
      </w:r>
      <w:r>
        <w:rPr>
          <w:rFonts w:hint="eastAsia" w:asciiTheme="minorEastAsia" w:hAnsiTheme="minorEastAsia" w:eastAsiaTheme="minorEastAsia" w:cstheme="minorEastAsia"/>
          <w:szCs w:val="21"/>
          <w:lang w:val="zh-CN"/>
        </w:rPr>
        <w:t>部分或全部免于承担违约责任。</w:t>
      </w:r>
    </w:p>
    <w:p w14:paraId="46753A9D">
      <w:pPr>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九、保密</w:t>
      </w:r>
    </w:p>
    <w:p w14:paraId="48D5866B">
      <w:pPr>
        <w:spacing w:line="360" w:lineRule="auto"/>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9</w:t>
      </w:r>
      <w:r>
        <w:rPr>
          <w:rFonts w:hint="eastAsia" w:asciiTheme="minorEastAsia" w:hAnsiTheme="minorEastAsia" w:eastAsiaTheme="minorEastAsia" w:cstheme="minorEastAsia"/>
          <w:szCs w:val="21"/>
        </w:rPr>
        <w:t>.1乙方必须采取措施对本合同实施过程中的技术资料保密，否则，由于乙方过错导致的上述资料泄密的，乙方必须承担一切责任。合同内容完成后，甲、乙双方均有责任对本合同的技术保密承担责任。</w:t>
      </w:r>
    </w:p>
    <w:p w14:paraId="3AA92D02">
      <w:pPr>
        <w:spacing w:line="360" w:lineRule="auto"/>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9</w:t>
      </w:r>
      <w:r>
        <w:rPr>
          <w:rFonts w:hint="eastAsia" w:asciiTheme="minorEastAsia" w:hAnsiTheme="minorEastAsia" w:eastAsiaTheme="minorEastAsia" w:cstheme="minorEastAsia"/>
          <w:szCs w:val="21"/>
        </w:rPr>
        <w:t>.2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14:paraId="12894BF1">
      <w:pPr>
        <w:spacing w:line="360" w:lineRule="auto"/>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9</w:t>
      </w:r>
      <w:r>
        <w:rPr>
          <w:rFonts w:hint="eastAsia" w:asciiTheme="minorEastAsia" w:hAnsiTheme="minorEastAsia" w:eastAsiaTheme="minorEastAsia" w:cstheme="minorEastAsia"/>
          <w:szCs w:val="21"/>
        </w:rPr>
        <w:t>.3如果甲方有要求，乙方在完成合同后应将有关资料还给甲方。</w:t>
      </w:r>
    </w:p>
    <w:p w14:paraId="725BCD38">
      <w:pPr>
        <w:snapToGrid w:val="0"/>
        <w:spacing w:line="360" w:lineRule="auto"/>
        <w:rPr>
          <w:rFonts w:asciiTheme="minorEastAsia" w:hAnsiTheme="minorEastAsia" w:eastAsiaTheme="minorEastAsia" w:cstheme="minorEastAsia"/>
          <w:szCs w:val="21"/>
        </w:rPr>
      </w:pPr>
    </w:p>
    <w:p w14:paraId="151FF3B1">
      <w:pPr>
        <w:pStyle w:val="2"/>
        <w:ind w:firstLine="0" w:firstLineChars="0"/>
        <w:rPr>
          <w:rFonts w:asciiTheme="minorEastAsia" w:hAnsiTheme="minorEastAsia" w:eastAsiaTheme="minorEastAsia" w:cstheme="minorEastAsia"/>
        </w:rPr>
      </w:pPr>
    </w:p>
    <w:p w14:paraId="4405A57D">
      <w:pPr>
        <w:pStyle w:val="2"/>
        <w:rPr>
          <w:rFonts w:asciiTheme="minorEastAsia" w:hAnsiTheme="minorEastAsia" w:eastAsiaTheme="minorEastAsia" w:cstheme="minorEastAsia"/>
        </w:rPr>
      </w:pPr>
    </w:p>
    <w:p w14:paraId="747096EF">
      <w:pPr>
        <w:pStyle w:val="2"/>
        <w:rPr>
          <w:rFonts w:asciiTheme="minorEastAsia" w:hAnsiTheme="minorEastAsia" w:eastAsiaTheme="minorEastAsia" w:cstheme="minorEastAsia"/>
        </w:rPr>
      </w:pPr>
    </w:p>
    <w:p w14:paraId="2282A280">
      <w:pPr>
        <w:pStyle w:val="2"/>
        <w:rPr>
          <w:rFonts w:asciiTheme="minorEastAsia" w:hAnsiTheme="minorEastAsia" w:eastAsiaTheme="minorEastAsia" w:cstheme="minorEastAsia"/>
        </w:rPr>
      </w:pPr>
    </w:p>
    <w:p w14:paraId="54D87592">
      <w:pPr>
        <w:snapToGrid w:val="0"/>
        <w:ind w:left="6090" w:hanging="6090" w:hangingChars="2900"/>
        <w:rPr>
          <w:rFonts w:ascii="宋体" w:hAnsi="宋体" w:cs="宋体"/>
          <w:szCs w:val="21"/>
        </w:rPr>
      </w:pPr>
      <w:r>
        <w:rPr>
          <w:rFonts w:hint="eastAsia" w:ascii="宋体" w:hAnsi="宋体" w:cs="宋体"/>
          <w:szCs w:val="21"/>
        </w:rPr>
        <w:t>甲方（盖章）：</w:t>
      </w:r>
      <w:r>
        <w:rPr>
          <w:rFonts w:hint="eastAsia" w:ascii="宋体" w:hAnsi="宋体" w:cs="宋体"/>
          <w:szCs w:val="21"/>
          <w:u w:val="single"/>
        </w:rPr>
        <w:t xml:space="preserve">                    </w:t>
      </w:r>
      <w:r>
        <w:rPr>
          <w:rFonts w:hint="eastAsia" w:ascii="宋体" w:hAnsi="宋体" w:cs="宋体"/>
          <w:szCs w:val="21"/>
        </w:rPr>
        <w:t xml:space="preserve">        乙方（盖章）：</w:t>
      </w:r>
      <w:r>
        <w:rPr>
          <w:rFonts w:hint="eastAsia" w:ascii="宋体" w:hAnsi="宋体" w:cs="宋体"/>
          <w:szCs w:val="21"/>
          <w:u w:val="single"/>
        </w:rPr>
        <w:t xml:space="preserve">                       </w:t>
      </w:r>
    </w:p>
    <w:p w14:paraId="302EB2A4">
      <w:pPr>
        <w:snapToGrid w:val="0"/>
        <w:spacing w:line="360" w:lineRule="auto"/>
        <w:ind w:left="4830" w:hanging="4830" w:hangingChars="2300"/>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地址：</w:t>
      </w:r>
      <w:r>
        <w:rPr>
          <w:rFonts w:hint="eastAsia" w:ascii="宋体" w:hAnsi="宋体" w:cs="宋体"/>
          <w:szCs w:val="21"/>
          <w:u w:val="single"/>
        </w:rPr>
        <w:t xml:space="preserve">                                 </w:t>
      </w:r>
    </w:p>
    <w:p w14:paraId="5C553AD8">
      <w:pPr>
        <w:snapToGrid w:val="0"/>
        <w:spacing w:line="360" w:lineRule="auto"/>
        <w:rPr>
          <w:rFonts w:ascii="宋体" w:hAnsi="宋体" w:cs="宋体"/>
          <w:szCs w:val="21"/>
        </w:rPr>
      </w:pPr>
      <w:r>
        <w:rPr>
          <w:rFonts w:hint="eastAsia" w:ascii="宋体" w:hAnsi="宋体" w:cs="宋体"/>
          <w:szCs w:val="21"/>
        </w:rPr>
        <w:t>法定代表人/负责人：</w:t>
      </w:r>
      <w:r>
        <w:rPr>
          <w:rFonts w:hint="eastAsia" w:ascii="宋体" w:hAnsi="宋体" w:cs="宋体"/>
          <w:szCs w:val="21"/>
          <w:u w:val="single"/>
        </w:rPr>
        <w:t xml:space="preserve">               </w:t>
      </w:r>
      <w:r>
        <w:rPr>
          <w:rFonts w:hint="eastAsia" w:ascii="宋体" w:hAnsi="宋体" w:cs="宋体"/>
          <w:szCs w:val="21"/>
        </w:rPr>
        <w:t xml:space="preserve">        法定代表人/负责人：</w:t>
      </w:r>
      <w:r>
        <w:rPr>
          <w:rFonts w:hint="eastAsia" w:ascii="宋体" w:hAnsi="宋体" w:cs="宋体"/>
          <w:szCs w:val="21"/>
          <w:u w:val="single"/>
        </w:rPr>
        <w:t xml:space="preserve">                   </w:t>
      </w:r>
    </w:p>
    <w:p w14:paraId="10B6181A">
      <w:pPr>
        <w:snapToGrid w:val="0"/>
        <w:spacing w:line="360" w:lineRule="auto"/>
        <w:rPr>
          <w:rFonts w:ascii="宋体" w:hAnsi="宋体" w:cs="宋体"/>
          <w:szCs w:val="21"/>
          <w:u w:val="single"/>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14:paraId="5E158856">
      <w:pPr>
        <w:snapToGrid w:val="0"/>
        <w:spacing w:line="36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p>
    <w:p w14:paraId="00193C76">
      <w:pPr>
        <w:snapToGrid w:val="0"/>
        <w:spacing w:line="360" w:lineRule="auto"/>
        <w:rPr>
          <w:rFonts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14:paraId="57D2DC51">
      <w:pPr>
        <w:snapToGrid w:val="0"/>
        <w:spacing w:line="360" w:lineRule="auto"/>
        <w:rPr>
          <w:rFonts w:ascii="宋体" w:hAnsi="宋体" w:cs="宋体"/>
          <w:szCs w:val="21"/>
          <w:u w:val="single"/>
        </w:rPr>
      </w:pPr>
      <w:r>
        <w:rPr>
          <w:rFonts w:hint="eastAsia" w:ascii="宋体" w:hAnsi="宋体" w:cs="宋体"/>
          <w:szCs w:val="21"/>
        </w:rPr>
        <w:t>账号：</w:t>
      </w:r>
      <w:r>
        <w:rPr>
          <w:rFonts w:hint="eastAsia" w:ascii="宋体" w:hAnsi="宋体" w:cs="宋体"/>
          <w:szCs w:val="21"/>
          <w:u w:val="single"/>
        </w:rPr>
        <w:t xml:space="preserve">                            </w:t>
      </w:r>
      <w:r>
        <w:rPr>
          <w:rFonts w:hint="eastAsia" w:ascii="宋体" w:hAnsi="宋体" w:cs="宋体"/>
          <w:szCs w:val="21"/>
        </w:rPr>
        <w:t xml:space="preserve">         账号：</w:t>
      </w:r>
      <w:r>
        <w:rPr>
          <w:rFonts w:hint="eastAsia" w:ascii="宋体" w:hAnsi="宋体" w:cs="宋体"/>
          <w:szCs w:val="21"/>
          <w:u w:val="single"/>
        </w:rPr>
        <w:t xml:space="preserve">                                </w:t>
      </w:r>
    </w:p>
    <w:p w14:paraId="7A96EDF7">
      <w:pPr>
        <w:snapToGrid w:val="0"/>
        <w:spacing w:line="360" w:lineRule="auto"/>
        <w:rPr>
          <w:rFonts w:ascii="宋体" w:hAnsi="宋体" w:cs="宋体"/>
          <w:szCs w:val="21"/>
        </w:rPr>
      </w:pPr>
      <w:r>
        <w:rPr>
          <w:rFonts w:hint="eastAsia" w:ascii="宋体" w:hAnsi="宋体" w:cs="宋体"/>
          <w:szCs w:val="21"/>
        </w:rPr>
        <w:t>签约时间：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签约时间：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B98D733">
      <w:pPr>
        <w:spacing w:line="360" w:lineRule="auto"/>
      </w:pPr>
    </w:p>
    <w:sectPr>
      <w:footerReference r:id="rId3" w:type="default"/>
      <w:pgSz w:w="11906" w:h="16838"/>
      <w:pgMar w:top="1157" w:right="1800" w:bottom="1157"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0CA06">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EBADB">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11页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C4EBADB">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11页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8D889"/>
    <w:multiLevelType w:val="singleLevel"/>
    <w:tmpl w:val="9578D889"/>
    <w:lvl w:ilvl="0" w:tentative="0">
      <w:start w:val="10"/>
      <w:numFmt w:val="decimal"/>
      <w:suff w:val="nothing"/>
      <w:lvlText w:val="%1）"/>
      <w:lvlJc w:val="left"/>
    </w:lvl>
  </w:abstractNum>
  <w:abstractNum w:abstractNumId="1">
    <w:nsid w:val="04544B4D"/>
    <w:multiLevelType w:val="multilevel"/>
    <w:tmpl w:val="04544B4D"/>
    <w:lvl w:ilvl="0" w:tentative="0">
      <w:start w:val="1"/>
      <w:numFmt w:val="decimal"/>
      <w:pStyle w:val="21"/>
      <w:lvlText w:val="%1."/>
      <w:lvlJc w:val="left"/>
      <w:pPr>
        <w:ind w:left="425" w:hanging="425"/>
      </w:pPr>
      <w:rPr>
        <w:rFonts w:hint="default" w:ascii="Times New Roman" w:hAnsi="Times New Roman" w:cs="Times New Roman"/>
      </w:rPr>
    </w:lvl>
    <w:lvl w:ilvl="1" w:tentative="0">
      <w:start w:val="1"/>
      <w:numFmt w:val="decimal"/>
      <w:pStyle w:val="20"/>
      <w:lvlText w:val="%1.%2."/>
      <w:lvlJc w:val="left"/>
      <w:pPr>
        <w:ind w:left="567" w:hanging="567"/>
      </w:pPr>
      <w:rPr>
        <w:rFonts w:hint="default" w:ascii="Times New Roman" w:hAnsi="Times New Roman" w:cs="Times New Roman"/>
      </w:rPr>
    </w:lvl>
    <w:lvl w:ilvl="2" w:tentative="0">
      <w:start w:val="1"/>
      <w:numFmt w:val="decimal"/>
      <w:pStyle w:val="22"/>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0D7200B0"/>
    <w:multiLevelType w:val="multilevel"/>
    <w:tmpl w:val="0D7200B0"/>
    <w:lvl w:ilvl="0" w:tentative="0">
      <w:start w:val="1"/>
      <w:numFmt w:val="chineseCountingThousand"/>
      <w:lvlText w:val="第%1章"/>
      <w:lvlJc w:val="left"/>
      <w:pPr>
        <w:ind w:left="0" w:firstLine="0"/>
      </w:pPr>
      <w:rPr>
        <w:rFonts w:hint="default" w:ascii="Times New Roman" w:hAnsi="Times New Roman" w:eastAsia="黑体"/>
        <w:b w:val="0"/>
        <w:i w:val="0"/>
        <w:sz w:val="44"/>
      </w:rPr>
    </w:lvl>
    <w:lvl w:ilvl="1" w:tentative="0">
      <w:start w:val="1"/>
      <w:numFmt w:val="decimal"/>
      <w:isLgl/>
      <w:lvlText w:val="%1.%2"/>
      <w:lvlJc w:val="left"/>
      <w:pPr>
        <w:ind w:left="0" w:firstLine="0"/>
      </w:pPr>
      <w:rPr>
        <w:rFonts w:hint="default" w:ascii="Times New Roman" w:hAnsi="Times New Roman" w:eastAsia="黑体"/>
        <w:b w:val="0"/>
        <w:i w:val="0"/>
        <w:sz w:val="32"/>
      </w:rPr>
    </w:lvl>
    <w:lvl w:ilvl="2" w:tentative="0">
      <w:start w:val="1"/>
      <w:numFmt w:val="decimal"/>
      <w:isLgl/>
      <w:lvlText w:val="%1.%2.%3"/>
      <w:lvlJc w:val="left"/>
      <w:pPr>
        <w:ind w:left="0" w:firstLine="0"/>
      </w:pPr>
      <w:rPr>
        <w:rFonts w:hint="default" w:ascii="Times New Roman" w:hAnsi="Times New Roman" w:eastAsia="黑体"/>
        <w:sz w:val="30"/>
      </w:rPr>
    </w:lvl>
    <w:lvl w:ilvl="3" w:tentative="0">
      <w:start w:val="1"/>
      <w:numFmt w:val="decimal"/>
      <w:pStyle w:val="3"/>
      <w:isLgl/>
      <w:lvlText w:val="%1.%2.%3.%4"/>
      <w:lvlJc w:val="left"/>
      <w:pPr>
        <w:ind w:left="0" w:firstLine="0"/>
      </w:pPr>
      <w:rPr>
        <w:rFonts w:hint="default" w:ascii="Times New Roman" w:hAnsi="Times New Roman" w:eastAsia="黑体"/>
        <w:b w:val="0"/>
        <w:i w:val="0"/>
        <w:sz w:val="28"/>
      </w:rPr>
    </w:lvl>
    <w:lvl w:ilvl="4" w:tentative="0">
      <w:start w:val="1"/>
      <w:numFmt w:val="decimal"/>
      <w:isLgl/>
      <w:lvlText w:val="%1.%2.%3.%4.%5"/>
      <w:lvlJc w:val="left"/>
      <w:pPr>
        <w:ind w:left="0" w:firstLine="0"/>
      </w:pPr>
      <w:rPr>
        <w:rFonts w:hint="default" w:ascii="Times New Roman" w:hAnsi="Times New Roman" w:eastAsia="黑体"/>
        <w:b w:val="0"/>
        <w:i w:val="0"/>
        <w:sz w:val="24"/>
      </w:rPr>
    </w:lvl>
    <w:lvl w:ilvl="5" w:tentative="0">
      <w:start w:val="1"/>
      <w:numFmt w:val="decimal"/>
      <w:isLgl/>
      <w:lvlText w:val="%1.%2.%3.%4.%5.%6"/>
      <w:lvlJc w:val="left"/>
      <w:pPr>
        <w:ind w:left="0" w:firstLine="0"/>
      </w:pPr>
      <w:rPr>
        <w:rFonts w:hint="default" w:ascii="Times New Roman" w:hAnsi="Times New Roman" w:eastAsia="黑体"/>
        <w:b w:val="0"/>
        <w:i w:val="0"/>
        <w:sz w:val="24"/>
      </w:rPr>
    </w:lvl>
    <w:lvl w:ilvl="6" w:tentative="0">
      <w:start w:val="1"/>
      <w:numFmt w:val="decimal"/>
      <w:isLgl/>
      <w:lvlText w:val="%1.%2.%3.%4.%5.%6.%7"/>
      <w:lvlJc w:val="left"/>
      <w:pPr>
        <w:ind w:left="0" w:firstLine="0"/>
      </w:pPr>
      <w:rPr>
        <w:rFonts w:hint="default" w:ascii="Times New Roman" w:hAnsi="Times New Roman" w:eastAsia="黑体"/>
        <w:b w:val="0"/>
        <w:i w:val="0"/>
        <w:sz w:val="24"/>
      </w:rPr>
    </w:lvl>
    <w:lvl w:ilvl="7" w:tentative="0">
      <w:start w:val="1"/>
      <w:numFmt w:val="decimal"/>
      <w:isLgl/>
      <w:lvlText w:val="%1.%2.%3.%4.%5.%6.%7.%8"/>
      <w:lvlJc w:val="left"/>
      <w:pPr>
        <w:ind w:left="0" w:firstLine="0"/>
      </w:pPr>
      <w:rPr>
        <w:rFonts w:hint="default" w:ascii="Times New Roman" w:hAnsi="Times New Roman" w:eastAsia="黑体"/>
        <w:b w:val="0"/>
        <w:i w:val="0"/>
        <w:sz w:val="24"/>
      </w:rPr>
    </w:lvl>
    <w:lvl w:ilvl="8" w:tentative="0">
      <w:start w:val="1"/>
      <w:numFmt w:val="decimal"/>
      <w:isLgl/>
      <w:lvlText w:val="%1.%2.%3.%4.%5.%6.%7.%8.%9"/>
      <w:lvlJc w:val="left"/>
      <w:pPr>
        <w:ind w:left="0" w:firstLine="0"/>
      </w:pPr>
      <w:rPr>
        <w:rFonts w:hint="default" w:ascii="Times New Roman" w:hAnsi="Times New Roman" w:eastAsia="黑体"/>
        <w:b w:val="0"/>
        <w:i w:val="0"/>
        <w:sz w:val="24"/>
      </w:rPr>
    </w:lvl>
  </w:abstractNum>
  <w:abstractNum w:abstractNumId="3">
    <w:nsid w:val="50483B21"/>
    <w:multiLevelType w:val="singleLevel"/>
    <w:tmpl w:val="50483B21"/>
    <w:lvl w:ilvl="0" w:tentative="0">
      <w:start w:val="1"/>
      <w:numFmt w:val="decimal"/>
      <w:lvlText w:val="%1."/>
      <w:lvlJc w:val="left"/>
      <w:pPr>
        <w:tabs>
          <w:tab w:val="left" w:pos="312"/>
        </w:tabs>
      </w:pPr>
    </w:lvl>
  </w:abstractNum>
  <w:abstractNum w:abstractNumId="4">
    <w:nsid w:val="6DCD9225"/>
    <w:multiLevelType w:val="singleLevel"/>
    <w:tmpl w:val="6DCD9225"/>
    <w:lvl w:ilvl="0" w:tentative="0">
      <w:start w:val="1"/>
      <w:numFmt w:val="decimal"/>
      <w:lvlText w:val="%1."/>
      <w:lvlJc w:val="left"/>
      <w:pPr>
        <w:tabs>
          <w:tab w:val="left" w:pos="312"/>
        </w:tabs>
      </w:pPr>
    </w:lvl>
  </w:abstractNum>
  <w:abstractNum w:abstractNumId="5">
    <w:nsid w:val="7191B73E"/>
    <w:multiLevelType w:val="singleLevel"/>
    <w:tmpl w:val="7191B73E"/>
    <w:lvl w:ilvl="0" w:tentative="0">
      <w:start w:val="1"/>
      <w:numFmt w:val="decimal"/>
      <w:lvlText w:val="%1."/>
      <w:lvlJc w:val="left"/>
      <w:pPr>
        <w:tabs>
          <w:tab w:val="left" w:pos="312"/>
        </w:tabs>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GM4ODhkOWVhZTNhYmM1NDcyOTRhZGZmZTAwZDgifQ=="/>
  </w:docVars>
  <w:rsids>
    <w:rsidRoot w:val="008E1AAD"/>
    <w:rsid w:val="000D1331"/>
    <w:rsid w:val="000D4D68"/>
    <w:rsid w:val="000E79D6"/>
    <w:rsid w:val="001708DC"/>
    <w:rsid w:val="002A1ADA"/>
    <w:rsid w:val="002D5C1D"/>
    <w:rsid w:val="002F0300"/>
    <w:rsid w:val="003E082C"/>
    <w:rsid w:val="00525E9D"/>
    <w:rsid w:val="00531111"/>
    <w:rsid w:val="005E3CC3"/>
    <w:rsid w:val="00640E93"/>
    <w:rsid w:val="0089577D"/>
    <w:rsid w:val="008B43F8"/>
    <w:rsid w:val="008E1AAD"/>
    <w:rsid w:val="0099495C"/>
    <w:rsid w:val="00A6132F"/>
    <w:rsid w:val="00A624B3"/>
    <w:rsid w:val="00B41F8E"/>
    <w:rsid w:val="00C578F8"/>
    <w:rsid w:val="00D1389D"/>
    <w:rsid w:val="00DF30AE"/>
    <w:rsid w:val="00DF487D"/>
    <w:rsid w:val="00F05677"/>
    <w:rsid w:val="00F93268"/>
    <w:rsid w:val="01246FEE"/>
    <w:rsid w:val="019C7D65"/>
    <w:rsid w:val="024A437F"/>
    <w:rsid w:val="033F3CA0"/>
    <w:rsid w:val="03535206"/>
    <w:rsid w:val="040C701B"/>
    <w:rsid w:val="040D0A51"/>
    <w:rsid w:val="045F1BAE"/>
    <w:rsid w:val="05744A87"/>
    <w:rsid w:val="06846EA7"/>
    <w:rsid w:val="06BA44FA"/>
    <w:rsid w:val="06F14055"/>
    <w:rsid w:val="070B156E"/>
    <w:rsid w:val="08835BBE"/>
    <w:rsid w:val="090C6168"/>
    <w:rsid w:val="0A891E6B"/>
    <w:rsid w:val="0AE16A03"/>
    <w:rsid w:val="0B100735"/>
    <w:rsid w:val="0B7C5100"/>
    <w:rsid w:val="0BF86D5F"/>
    <w:rsid w:val="0CF921B9"/>
    <w:rsid w:val="0D6C4C33"/>
    <w:rsid w:val="0EC058F4"/>
    <w:rsid w:val="0F042422"/>
    <w:rsid w:val="10201A80"/>
    <w:rsid w:val="113D2131"/>
    <w:rsid w:val="115C7444"/>
    <w:rsid w:val="11ED75AB"/>
    <w:rsid w:val="128B772A"/>
    <w:rsid w:val="129D2585"/>
    <w:rsid w:val="135E4746"/>
    <w:rsid w:val="1364506E"/>
    <w:rsid w:val="138215D5"/>
    <w:rsid w:val="14392384"/>
    <w:rsid w:val="1466547A"/>
    <w:rsid w:val="14741734"/>
    <w:rsid w:val="168F6EB4"/>
    <w:rsid w:val="1704592E"/>
    <w:rsid w:val="17862758"/>
    <w:rsid w:val="17E516A1"/>
    <w:rsid w:val="17F55566"/>
    <w:rsid w:val="18A240DF"/>
    <w:rsid w:val="19BF0AAB"/>
    <w:rsid w:val="1A0B6C28"/>
    <w:rsid w:val="1A5255BC"/>
    <w:rsid w:val="1AA571C8"/>
    <w:rsid w:val="1ACF4899"/>
    <w:rsid w:val="1B08473B"/>
    <w:rsid w:val="1B0E4224"/>
    <w:rsid w:val="1B1D6560"/>
    <w:rsid w:val="1B1F7AEC"/>
    <w:rsid w:val="1CA7363B"/>
    <w:rsid w:val="1D005B13"/>
    <w:rsid w:val="1D37565E"/>
    <w:rsid w:val="1D8108CC"/>
    <w:rsid w:val="1E645246"/>
    <w:rsid w:val="1E653C99"/>
    <w:rsid w:val="1F8071C4"/>
    <w:rsid w:val="204D1A5E"/>
    <w:rsid w:val="20B26F7A"/>
    <w:rsid w:val="20B54483"/>
    <w:rsid w:val="21256C9F"/>
    <w:rsid w:val="213868C4"/>
    <w:rsid w:val="213D3DFF"/>
    <w:rsid w:val="222960E1"/>
    <w:rsid w:val="22B92211"/>
    <w:rsid w:val="24C41DFA"/>
    <w:rsid w:val="24CF4AC6"/>
    <w:rsid w:val="256F795D"/>
    <w:rsid w:val="25E516E4"/>
    <w:rsid w:val="26713936"/>
    <w:rsid w:val="267D676A"/>
    <w:rsid w:val="267F62DB"/>
    <w:rsid w:val="269D5FE9"/>
    <w:rsid w:val="26DD3917"/>
    <w:rsid w:val="27902E52"/>
    <w:rsid w:val="2830094B"/>
    <w:rsid w:val="28974B93"/>
    <w:rsid w:val="294629F9"/>
    <w:rsid w:val="2A786F10"/>
    <w:rsid w:val="2A84365D"/>
    <w:rsid w:val="2B414B2C"/>
    <w:rsid w:val="2B630CBD"/>
    <w:rsid w:val="2B8C1BCF"/>
    <w:rsid w:val="2CBA56A8"/>
    <w:rsid w:val="2CEA016D"/>
    <w:rsid w:val="2D962354"/>
    <w:rsid w:val="2DE53097"/>
    <w:rsid w:val="2DFF2CA1"/>
    <w:rsid w:val="2F7544C0"/>
    <w:rsid w:val="2FC57D48"/>
    <w:rsid w:val="30CE0C1F"/>
    <w:rsid w:val="30DF2A27"/>
    <w:rsid w:val="319E72EA"/>
    <w:rsid w:val="31B83C66"/>
    <w:rsid w:val="32080D3F"/>
    <w:rsid w:val="32EF1EC4"/>
    <w:rsid w:val="33044948"/>
    <w:rsid w:val="33D77EC6"/>
    <w:rsid w:val="34391C18"/>
    <w:rsid w:val="348E3829"/>
    <w:rsid w:val="349E608B"/>
    <w:rsid w:val="34AA3B6E"/>
    <w:rsid w:val="34E117D9"/>
    <w:rsid w:val="352952D9"/>
    <w:rsid w:val="358D2230"/>
    <w:rsid w:val="367715D1"/>
    <w:rsid w:val="374010EE"/>
    <w:rsid w:val="37B42B63"/>
    <w:rsid w:val="38983612"/>
    <w:rsid w:val="38AD57EB"/>
    <w:rsid w:val="39826EA6"/>
    <w:rsid w:val="3BED7A7B"/>
    <w:rsid w:val="3C7C00B9"/>
    <w:rsid w:val="3CC75EB3"/>
    <w:rsid w:val="3D2E3045"/>
    <w:rsid w:val="3D671885"/>
    <w:rsid w:val="3DA87E6B"/>
    <w:rsid w:val="3EFE2E46"/>
    <w:rsid w:val="3F175AB0"/>
    <w:rsid w:val="3F4B3A4C"/>
    <w:rsid w:val="3F4F2B83"/>
    <w:rsid w:val="3FDD6EA9"/>
    <w:rsid w:val="404B341D"/>
    <w:rsid w:val="413A7C48"/>
    <w:rsid w:val="42077E6A"/>
    <w:rsid w:val="42D6251A"/>
    <w:rsid w:val="42EB026B"/>
    <w:rsid w:val="4308170C"/>
    <w:rsid w:val="43191B17"/>
    <w:rsid w:val="44162735"/>
    <w:rsid w:val="44317BEB"/>
    <w:rsid w:val="44E52AE9"/>
    <w:rsid w:val="450133E7"/>
    <w:rsid w:val="457E231D"/>
    <w:rsid w:val="458D3F86"/>
    <w:rsid w:val="45B55356"/>
    <w:rsid w:val="46586212"/>
    <w:rsid w:val="47A6528D"/>
    <w:rsid w:val="47A723CE"/>
    <w:rsid w:val="47B53BC5"/>
    <w:rsid w:val="4808148E"/>
    <w:rsid w:val="48D55E12"/>
    <w:rsid w:val="48F5158F"/>
    <w:rsid w:val="494B225E"/>
    <w:rsid w:val="498A380E"/>
    <w:rsid w:val="4A087AB7"/>
    <w:rsid w:val="4A384FAF"/>
    <w:rsid w:val="4B551A9F"/>
    <w:rsid w:val="4BAF5F88"/>
    <w:rsid w:val="4BFE5580"/>
    <w:rsid w:val="4CCB0191"/>
    <w:rsid w:val="4CFC0D31"/>
    <w:rsid w:val="4D50208D"/>
    <w:rsid w:val="4DFF3D17"/>
    <w:rsid w:val="4E912E73"/>
    <w:rsid w:val="4F6B3BBF"/>
    <w:rsid w:val="4F702A89"/>
    <w:rsid w:val="4FCC659E"/>
    <w:rsid w:val="5024708A"/>
    <w:rsid w:val="51374FCA"/>
    <w:rsid w:val="51667258"/>
    <w:rsid w:val="5177364B"/>
    <w:rsid w:val="51CC2777"/>
    <w:rsid w:val="526A1CA6"/>
    <w:rsid w:val="52770F90"/>
    <w:rsid w:val="52E8575A"/>
    <w:rsid w:val="53F76F31"/>
    <w:rsid w:val="54560AEA"/>
    <w:rsid w:val="54A21C7C"/>
    <w:rsid w:val="55A960F3"/>
    <w:rsid w:val="56384DAF"/>
    <w:rsid w:val="569E0C8E"/>
    <w:rsid w:val="56F90E20"/>
    <w:rsid w:val="573B47BA"/>
    <w:rsid w:val="57463AB7"/>
    <w:rsid w:val="57844DA8"/>
    <w:rsid w:val="57FB2FC3"/>
    <w:rsid w:val="588C6165"/>
    <w:rsid w:val="58C31112"/>
    <w:rsid w:val="590870AA"/>
    <w:rsid w:val="5935134D"/>
    <w:rsid w:val="594E2DC8"/>
    <w:rsid w:val="59645E70"/>
    <w:rsid w:val="59700306"/>
    <w:rsid w:val="59764B70"/>
    <w:rsid w:val="59A212BB"/>
    <w:rsid w:val="5A5B7DF3"/>
    <w:rsid w:val="5A841EEA"/>
    <w:rsid w:val="5AA10AC3"/>
    <w:rsid w:val="5B0C1437"/>
    <w:rsid w:val="5B5E253B"/>
    <w:rsid w:val="5BDE16D0"/>
    <w:rsid w:val="5C604BB4"/>
    <w:rsid w:val="5C7E0A2E"/>
    <w:rsid w:val="5D6A187B"/>
    <w:rsid w:val="5D961AB3"/>
    <w:rsid w:val="5DC41A91"/>
    <w:rsid w:val="5E516CED"/>
    <w:rsid w:val="5E5B33EA"/>
    <w:rsid w:val="5EA366BC"/>
    <w:rsid w:val="5EAC3EEB"/>
    <w:rsid w:val="5EF6770A"/>
    <w:rsid w:val="610C6FF4"/>
    <w:rsid w:val="61580BE5"/>
    <w:rsid w:val="618C5A00"/>
    <w:rsid w:val="61906F47"/>
    <w:rsid w:val="619A4CCE"/>
    <w:rsid w:val="61A9368F"/>
    <w:rsid w:val="61B71B7D"/>
    <w:rsid w:val="61FA2159"/>
    <w:rsid w:val="632A1B23"/>
    <w:rsid w:val="645673D6"/>
    <w:rsid w:val="64930A64"/>
    <w:rsid w:val="64AB35B6"/>
    <w:rsid w:val="652D6409"/>
    <w:rsid w:val="658C13E0"/>
    <w:rsid w:val="66CB7438"/>
    <w:rsid w:val="67226FE1"/>
    <w:rsid w:val="672F3B29"/>
    <w:rsid w:val="673E37BA"/>
    <w:rsid w:val="6928411F"/>
    <w:rsid w:val="692C572C"/>
    <w:rsid w:val="69B6129C"/>
    <w:rsid w:val="6A643953"/>
    <w:rsid w:val="6AE62292"/>
    <w:rsid w:val="6B1A4DBF"/>
    <w:rsid w:val="6B867AC2"/>
    <w:rsid w:val="6BBD5C06"/>
    <w:rsid w:val="6C1A56FE"/>
    <w:rsid w:val="6D183DF6"/>
    <w:rsid w:val="6D607C0B"/>
    <w:rsid w:val="6D7B5937"/>
    <w:rsid w:val="6DA63422"/>
    <w:rsid w:val="6DC97862"/>
    <w:rsid w:val="6DDC7A59"/>
    <w:rsid w:val="6DFA3B02"/>
    <w:rsid w:val="6E322DCF"/>
    <w:rsid w:val="6F346A0E"/>
    <w:rsid w:val="6F6239FF"/>
    <w:rsid w:val="6FE12F4C"/>
    <w:rsid w:val="6FF763DA"/>
    <w:rsid w:val="70BD731A"/>
    <w:rsid w:val="71454E29"/>
    <w:rsid w:val="7162601B"/>
    <w:rsid w:val="72907893"/>
    <w:rsid w:val="72BE2953"/>
    <w:rsid w:val="742D5450"/>
    <w:rsid w:val="75866A7A"/>
    <w:rsid w:val="75BA0FCC"/>
    <w:rsid w:val="76155207"/>
    <w:rsid w:val="76A57EEA"/>
    <w:rsid w:val="76C03D36"/>
    <w:rsid w:val="776B717B"/>
    <w:rsid w:val="77F34691"/>
    <w:rsid w:val="78566120"/>
    <w:rsid w:val="78893311"/>
    <w:rsid w:val="7A1D011A"/>
    <w:rsid w:val="7A20338E"/>
    <w:rsid w:val="7A261714"/>
    <w:rsid w:val="7A8073B2"/>
    <w:rsid w:val="7C064882"/>
    <w:rsid w:val="7C7941FE"/>
    <w:rsid w:val="7DB75131"/>
    <w:rsid w:val="7E3C29D8"/>
    <w:rsid w:val="7EAE4192"/>
    <w:rsid w:val="7F1F72E8"/>
    <w:rsid w:val="7F3F570A"/>
    <w:rsid w:val="7F5966AC"/>
    <w:rsid w:val="7F70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keepLines/>
      <w:numPr>
        <w:ilvl w:val="3"/>
        <w:numId w:val="1"/>
      </w:numPr>
      <w:spacing w:before="50" w:beforeLines="50" w:after="50" w:afterLines="50" w:line="377" w:lineRule="auto"/>
      <w:outlineLvl w:val="3"/>
    </w:pPr>
    <w:rPr>
      <w:rFonts w:ascii="等线 Light" w:hAnsi="等线 Light" w:eastAsia="黑体"/>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styleId="4">
    <w:name w:val="caption"/>
    <w:basedOn w:val="1"/>
    <w:next w:val="1"/>
    <w:qFormat/>
    <w:uiPriority w:val="0"/>
    <w:pPr>
      <w:spacing w:after="50" w:afterLines="50"/>
      <w:ind w:firstLine="200" w:firstLineChars="200"/>
      <w:jc w:val="center"/>
    </w:pPr>
  </w:style>
  <w:style w:type="paragraph" w:styleId="5">
    <w:name w:val="annotation text"/>
    <w:basedOn w:val="1"/>
    <w:link w:val="25"/>
    <w:qFormat/>
    <w:uiPriority w:val="0"/>
    <w:pPr>
      <w:jc w:val="left"/>
    </w:pPr>
  </w:style>
  <w:style w:type="paragraph" w:styleId="6">
    <w:name w:val="Balloon Text"/>
    <w:basedOn w:val="1"/>
    <w:link w:val="2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5"/>
    <w:next w:val="5"/>
    <w:link w:val="26"/>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正文1"/>
    <w:basedOn w:val="1"/>
    <w:qFormat/>
    <w:uiPriority w:val="0"/>
    <w:pPr>
      <w:widowControl/>
      <w:overflowPunct w:val="0"/>
      <w:autoSpaceDE w:val="0"/>
      <w:autoSpaceDN w:val="0"/>
      <w:adjustRightInd w:val="0"/>
      <w:textAlignment w:val="baseline"/>
    </w:pPr>
    <w:rPr>
      <w:rFonts w:ascii="宋体"/>
      <w:kern w:val="0"/>
      <w:szCs w:val="20"/>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列出段落1"/>
    <w:basedOn w:val="1"/>
    <w:qFormat/>
    <w:uiPriority w:val="34"/>
    <w:pPr>
      <w:ind w:firstLine="420" w:firstLineChars="200"/>
    </w:pPr>
  </w:style>
  <w:style w:type="character" w:customStyle="1" w:styleId="17">
    <w:name w:val="font111"/>
    <w:basedOn w:val="12"/>
    <w:qFormat/>
    <w:uiPriority w:val="0"/>
    <w:rPr>
      <w:rFonts w:hint="eastAsia" w:ascii="宋体" w:hAnsi="宋体" w:eastAsia="宋体" w:cs="宋体"/>
      <w:color w:val="000000"/>
      <w:sz w:val="20"/>
      <w:szCs w:val="20"/>
      <w:u w:val="none"/>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11"/>
    <w:basedOn w:val="12"/>
    <w:qFormat/>
    <w:uiPriority w:val="0"/>
    <w:rPr>
      <w:rFonts w:hint="eastAsia" w:ascii="宋体" w:hAnsi="宋体" w:eastAsia="宋体" w:cs="宋体"/>
      <w:color w:val="000000"/>
      <w:sz w:val="18"/>
      <w:szCs w:val="18"/>
      <w:u w:val="none"/>
    </w:rPr>
  </w:style>
  <w:style w:type="paragraph" w:customStyle="1" w:styleId="20">
    <w:name w:val="二级标题"/>
    <w:basedOn w:val="1"/>
    <w:qFormat/>
    <w:uiPriority w:val="0"/>
    <w:pPr>
      <w:numPr>
        <w:ilvl w:val="1"/>
        <w:numId w:val="2"/>
      </w:numPr>
      <w:jc w:val="left"/>
      <w:outlineLvl w:val="1"/>
    </w:pPr>
    <w:rPr>
      <w:rFonts w:ascii="楷体_GB2312" w:hAnsi="华文楷体" w:eastAsia="楷体_GB2312"/>
      <w:bCs/>
      <w:sz w:val="28"/>
      <w:szCs w:val="28"/>
    </w:rPr>
  </w:style>
  <w:style w:type="paragraph" w:customStyle="1" w:styleId="21">
    <w:name w:val="一级标题"/>
    <w:basedOn w:val="1"/>
    <w:qFormat/>
    <w:uiPriority w:val="0"/>
    <w:pPr>
      <w:numPr>
        <w:ilvl w:val="0"/>
        <w:numId w:val="2"/>
      </w:numPr>
      <w:jc w:val="left"/>
      <w:outlineLvl w:val="0"/>
    </w:pPr>
    <w:rPr>
      <w:rFonts w:ascii="黑体" w:hAnsi="宋体" w:eastAsia="黑体"/>
      <w:sz w:val="30"/>
      <w:szCs w:val="30"/>
    </w:rPr>
  </w:style>
  <w:style w:type="paragraph" w:customStyle="1" w:styleId="22">
    <w:name w:val="三级标题"/>
    <w:basedOn w:val="1"/>
    <w:qFormat/>
    <w:uiPriority w:val="0"/>
    <w:pPr>
      <w:numPr>
        <w:ilvl w:val="2"/>
        <w:numId w:val="2"/>
      </w:numPr>
      <w:jc w:val="left"/>
      <w:outlineLvl w:val="2"/>
    </w:pPr>
    <w:rPr>
      <w:rFonts w:ascii="仿宋_GB2312" w:hAnsi="仿宋" w:eastAsia="仿宋_GB2312"/>
      <w:b/>
      <w:sz w:val="28"/>
      <w:szCs w:val="28"/>
    </w:rPr>
  </w:style>
  <w:style w:type="paragraph" w:customStyle="1" w:styleId="23">
    <w:name w:val="立项表格"/>
    <w:basedOn w:val="1"/>
    <w:qFormat/>
    <w:uiPriority w:val="0"/>
    <w:pPr>
      <w:widowControl/>
      <w:contextualSpacing/>
      <w:jc w:val="center"/>
    </w:pPr>
    <w:rPr>
      <w:sz w:val="24"/>
      <w:lang w:val="en-GB"/>
    </w:rPr>
  </w:style>
  <w:style w:type="character" w:customStyle="1" w:styleId="24">
    <w:name w:val="fontstyle01"/>
    <w:basedOn w:val="12"/>
    <w:qFormat/>
    <w:uiPriority w:val="0"/>
    <w:rPr>
      <w:rFonts w:ascii="仿宋" w:hAnsi="仿宋" w:eastAsia="仿宋" w:cs="仿宋"/>
      <w:color w:val="000000"/>
      <w:sz w:val="28"/>
      <w:szCs w:val="28"/>
    </w:rPr>
  </w:style>
  <w:style w:type="character" w:customStyle="1" w:styleId="25">
    <w:name w:val="批注文字 字符"/>
    <w:basedOn w:val="12"/>
    <w:link w:val="5"/>
    <w:qFormat/>
    <w:uiPriority w:val="0"/>
    <w:rPr>
      <w:kern w:val="2"/>
      <w:sz w:val="21"/>
      <w:szCs w:val="24"/>
    </w:rPr>
  </w:style>
  <w:style w:type="character" w:customStyle="1" w:styleId="26">
    <w:name w:val="批注主题 字符"/>
    <w:basedOn w:val="25"/>
    <w:link w:val="9"/>
    <w:qFormat/>
    <w:uiPriority w:val="0"/>
    <w:rPr>
      <w:b/>
      <w:bCs/>
      <w:kern w:val="2"/>
      <w:sz w:val="21"/>
      <w:szCs w:val="24"/>
    </w:rPr>
  </w:style>
  <w:style w:type="character" w:customStyle="1" w:styleId="27">
    <w:name w:val="批注框文本 字符"/>
    <w:basedOn w:val="12"/>
    <w:link w:val="6"/>
    <w:qFormat/>
    <w:uiPriority w:val="0"/>
    <w:rPr>
      <w:kern w:val="2"/>
      <w:sz w:val="18"/>
      <w:szCs w:val="18"/>
    </w:r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14</Pages>
  <Words>10135</Words>
  <Characters>10605</Characters>
  <Lines>254</Lines>
  <Paragraphs>212</Paragraphs>
  <TotalTime>0</TotalTime>
  <ScaleCrop>false</ScaleCrop>
  <LinksUpToDate>false</LinksUpToDate>
  <CharactersWithSpaces>11272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2024-04-23T04:13:00Z</dcterms:created>
  <dc:creator>Administrator</dc:creator>
  <cp:lastModifiedBy>云采链</cp:lastModifiedBy>
  <dcterms:modified xsi:type="dcterms:W3CDTF">2025-07-14T03:57:21Z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42A6C3A68D5D4A68AAE1C793A4114A91</vt:lpwstr>
  </property>
  <property fmtid="{D5CDD505-2E9C-101B-9397-08002B2CF9AE}" pid="4" name="KSOTemplateDocerSaveRecord">
    <vt:lpwstr>eyJoZGlkIjoiOTUyZTMzMGFmZDU3N2E2OTgxMzI3ZWIyZWQ1MDI2NWYiLCJ1c2VySWQiOiI0MDkwNDAzNDUifQ==</vt:lpwstr>
  </property>
</Properties>
</file>