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A2A75">
      <w:pPr>
        <w:pStyle w:val="7"/>
        <w:tabs>
          <w:tab w:val="left" w:pos="540"/>
        </w:tabs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广东省肇庆监狱2025年度安全生产物资定点采购项目合同</w:t>
      </w:r>
    </w:p>
    <w:p w14:paraId="4327BFBF">
      <w:pPr>
        <w:spacing w:line="560" w:lineRule="exact"/>
        <w:ind w:left="2168" w:hanging="2168" w:hangingChars="600"/>
        <w:jc w:val="left"/>
        <w:rPr>
          <w:rFonts w:ascii="仿宋_GB2312" w:hAnsi="仿宋_GB2312" w:eastAsia="仿宋_GB2312" w:cs="仿宋_GB2312"/>
          <w:b/>
          <w:bCs/>
          <w:spacing w:val="20"/>
          <w:sz w:val="32"/>
          <w:szCs w:val="32"/>
        </w:rPr>
      </w:pPr>
    </w:p>
    <w:p w14:paraId="0483A563"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spacing w:val="20"/>
          <w:sz w:val="32"/>
          <w:szCs w:val="32"/>
        </w:rPr>
      </w:pPr>
    </w:p>
    <w:p w14:paraId="6FE225EF">
      <w:pPr>
        <w:pStyle w:val="6"/>
      </w:pPr>
    </w:p>
    <w:p w14:paraId="3E8D526D">
      <w:pPr>
        <w:pStyle w:val="6"/>
      </w:pPr>
    </w:p>
    <w:p w14:paraId="34415CCC">
      <w:pPr>
        <w:pStyle w:val="6"/>
      </w:pPr>
    </w:p>
    <w:p w14:paraId="40C6C2A0">
      <w:pPr>
        <w:pStyle w:val="6"/>
      </w:pPr>
    </w:p>
    <w:p w14:paraId="525E43DD">
      <w:pPr>
        <w:pStyle w:val="6"/>
      </w:pPr>
    </w:p>
    <w:p w14:paraId="1D72BFC0">
      <w:pPr>
        <w:pStyle w:val="6"/>
      </w:pPr>
    </w:p>
    <w:p w14:paraId="0A6C0B0D">
      <w:pPr>
        <w:pStyle w:val="6"/>
      </w:pPr>
    </w:p>
    <w:p w14:paraId="3A90D05B">
      <w:pPr>
        <w:pStyle w:val="6"/>
      </w:pPr>
    </w:p>
    <w:p w14:paraId="6DF7BD82">
      <w:pPr>
        <w:pStyle w:val="6"/>
      </w:pPr>
    </w:p>
    <w:p w14:paraId="26228B6D">
      <w:pPr>
        <w:pStyle w:val="6"/>
      </w:pPr>
    </w:p>
    <w:p w14:paraId="5E1B969E">
      <w:pPr>
        <w:pStyle w:val="6"/>
      </w:pPr>
    </w:p>
    <w:p w14:paraId="78B8B55C">
      <w:pPr>
        <w:pStyle w:val="6"/>
        <w:jc w:val="left"/>
      </w:pPr>
    </w:p>
    <w:p w14:paraId="042EF9FE">
      <w:pPr>
        <w:pStyle w:val="6"/>
        <w:jc w:val="left"/>
      </w:pPr>
    </w:p>
    <w:p w14:paraId="7663E2CA">
      <w:pPr>
        <w:spacing w:line="560" w:lineRule="exact"/>
        <w:jc w:val="left"/>
        <w:rPr>
          <w:rFonts w:ascii="仿宋_GB2312" w:hAnsi="仿宋_GB2312" w:eastAsia="仿宋_GB2312" w:cs="仿宋_GB2312"/>
          <w:bCs/>
          <w:spacing w:val="2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  <w:u w:val="single"/>
        </w:rPr>
        <w:t xml:space="preserve">广东省肇庆监狱2025年度安全生产物资定点采购项目        </w:t>
      </w:r>
    </w:p>
    <w:p w14:paraId="1D2DEBA2">
      <w:pPr>
        <w:widowControl/>
        <w:spacing w:line="560" w:lineRule="exact"/>
        <w:jc w:val="left"/>
        <w:rPr>
          <w:rFonts w:ascii="仿宋_GB2312" w:hAnsi="仿宋_GB2312" w:eastAsia="仿宋_GB2312" w:cs="仿宋_GB2312"/>
          <w:bCs/>
          <w:spacing w:val="2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甲   方：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  <w:u w:val="single"/>
        </w:rPr>
        <w:t xml:space="preserve">广东省肇庆监狱          </w:t>
      </w:r>
    </w:p>
    <w:p w14:paraId="2B6350D5">
      <w:pPr>
        <w:spacing w:line="560" w:lineRule="exact"/>
        <w:jc w:val="left"/>
        <w:rPr>
          <w:rFonts w:ascii="仿宋_GB2312" w:hAnsi="仿宋_GB2312" w:eastAsia="仿宋_GB2312" w:cs="仿宋_GB2312"/>
          <w:bCs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0"/>
          <w:sz w:val="32"/>
          <w:szCs w:val="32"/>
        </w:rPr>
        <w:t>乙   方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  <w:u w:val="single"/>
        </w:rPr>
        <w:t xml:space="preserve">                       </w:t>
      </w:r>
    </w:p>
    <w:p w14:paraId="218AD2B3">
      <w:pPr>
        <w:tabs>
          <w:tab w:val="center" w:pos="4365"/>
        </w:tabs>
        <w:spacing w:line="560" w:lineRule="exact"/>
        <w:jc w:val="left"/>
        <w:rPr>
          <w:rFonts w:ascii="仿宋_GB2312" w:hAnsi="仿宋_GB2312" w:eastAsia="仿宋_GB2312" w:cs="仿宋_GB2312"/>
          <w:bCs/>
          <w:spacing w:val="2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pacing w:val="20"/>
          <w:sz w:val="32"/>
          <w:szCs w:val="32"/>
        </w:rPr>
        <w:t>签订地点：</w:t>
      </w:r>
      <w:r>
        <w:rPr>
          <w:rFonts w:hint="eastAsia" w:ascii="仿宋_GB2312" w:hAnsi="仿宋_GB2312" w:eastAsia="仿宋_GB2312" w:cs="仿宋_GB2312"/>
          <w:b/>
          <w:spacing w:val="2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  <w:u w:val="single"/>
        </w:rPr>
        <w:t xml:space="preserve">广东省肇庆市         </w:t>
      </w:r>
    </w:p>
    <w:p w14:paraId="69F2A339">
      <w:pPr>
        <w:tabs>
          <w:tab w:val="center" w:pos="4365"/>
        </w:tabs>
        <w:spacing w:line="560" w:lineRule="exact"/>
        <w:jc w:val="left"/>
        <w:rPr>
          <w:rFonts w:ascii="仿宋_GB2312" w:hAnsi="仿宋_GB2312" w:eastAsia="仿宋_GB2312" w:cs="仿宋_GB2312"/>
          <w:bCs/>
          <w:spacing w:val="2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pacing w:val="20"/>
          <w:sz w:val="32"/>
          <w:szCs w:val="32"/>
        </w:rPr>
        <w:t>签约时间：</w:t>
      </w:r>
      <w:r>
        <w:rPr>
          <w:rFonts w:hint="eastAsia" w:ascii="仿宋_GB2312" w:hAnsi="仿宋_GB2312" w:eastAsia="仿宋_GB2312" w:cs="仿宋_GB2312"/>
          <w:b/>
          <w:spacing w:val="2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  <w:u w:val="single"/>
        </w:rPr>
        <w:t>2025</w:t>
      </w:r>
      <w:r>
        <w:rPr>
          <w:rFonts w:hint="eastAsia" w:ascii="仿宋_GB2312" w:hAnsi="仿宋_GB2312" w:eastAsia="仿宋_GB2312" w:cs="仿宋_GB2312"/>
          <w:b/>
          <w:spacing w:val="2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spacing w:val="20"/>
          <w:sz w:val="32"/>
          <w:szCs w:val="32"/>
          <w:u w:val="single"/>
        </w:rPr>
        <w:t xml:space="preserve">年    月    日   </w:t>
      </w:r>
    </w:p>
    <w:p w14:paraId="1922672F">
      <w:pPr>
        <w:pStyle w:val="6"/>
      </w:pPr>
      <w:r>
        <w:br w:type="page"/>
      </w:r>
    </w:p>
    <w:p w14:paraId="64CEB954">
      <w:pPr>
        <w:pStyle w:val="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仿宋_GB2312"/>
          <w:b/>
          <w:bCs/>
          <w:sz w:val="24"/>
          <w:szCs w:val="24"/>
        </w:rPr>
      </w:pPr>
      <w:r>
        <w:rPr>
          <w:rFonts w:hint="eastAsia" w:hAnsi="宋体" w:cs="仿宋_GB2312"/>
          <w:b/>
          <w:bCs/>
          <w:sz w:val="24"/>
          <w:szCs w:val="24"/>
        </w:rPr>
        <w:t>项目一览表</w:t>
      </w:r>
    </w:p>
    <w:tbl>
      <w:tblPr>
        <w:tblStyle w:val="15"/>
        <w:tblW w:w="584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930"/>
        <w:gridCol w:w="4008"/>
        <w:gridCol w:w="2232"/>
      </w:tblGrid>
      <w:tr w14:paraId="6860F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398" w:type="pct"/>
            <w:tcBorders>
              <w:top w:val="single" w:color="auto" w:sz="12" w:space="0"/>
              <w:bottom w:val="single" w:color="auto" w:sz="2" w:space="0"/>
            </w:tcBorders>
            <w:shd w:val="clear" w:color="auto" w:fill="EEECE1"/>
            <w:vAlign w:val="center"/>
          </w:tcPr>
          <w:p w14:paraId="7A9780E4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采购内容</w:t>
            </w:r>
          </w:p>
        </w:tc>
        <w:tc>
          <w:tcPr>
            <w:tcW w:w="467" w:type="pct"/>
            <w:tcBorders>
              <w:top w:val="single" w:color="auto" w:sz="12" w:space="0"/>
              <w:bottom w:val="single" w:color="auto" w:sz="2" w:space="0"/>
            </w:tcBorders>
            <w:shd w:val="clear" w:color="auto" w:fill="EEECE1"/>
            <w:vAlign w:val="center"/>
          </w:tcPr>
          <w:p w14:paraId="2138930E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2013" w:type="pct"/>
            <w:tcBorders>
              <w:top w:val="single" w:color="auto" w:sz="12" w:space="0"/>
              <w:bottom w:val="single" w:color="auto" w:sz="2" w:space="0"/>
            </w:tcBorders>
            <w:shd w:val="clear" w:color="auto" w:fill="EEECE1"/>
            <w:vAlign w:val="center"/>
          </w:tcPr>
          <w:p w14:paraId="126E4D0A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项目期限</w:t>
            </w:r>
          </w:p>
        </w:tc>
        <w:tc>
          <w:tcPr>
            <w:tcW w:w="1121" w:type="pct"/>
            <w:tcBorders>
              <w:top w:val="single" w:color="auto" w:sz="12" w:space="0"/>
              <w:bottom w:val="single" w:color="auto" w:sz="2" w:space="0"/>
            </w:tcBorders>
            <w:shd w:val="clear" w:color="auto" w:fill="EEECE1"/>
            <w:vAlign w:val="center"/>
          </w:tcPr>
          <w:p w14:paraId="2C8E410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合同金额</w:t>
            </w:r>
          </w:p>
        </w:tc>
      </w:tr>
      <w:tr w14:paraId="6E8C9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398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6BA7425A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广东省肇庆监狱2025年度安全生产物资定点采购项目</w:t>
            </w:r>
          </w:p>
        </w:tc>
        <w:tc>
          <w:tcPr>
            <w:tcW w:w="467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0AA960B9">
            <w:pPr>
              <w:keepNext/>
              <w:adjustRightInd w:val="0"/>
              <w:spacing w:line="36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1项</w:t>
            </w:r>
          </w:p>
        </w:tc>
        <w:tc>
          <w:tcPr>
            <w:tcW w:w="2013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1EF04D96">
            <w:pPr>
              <w:pStyle w:val="7"/>
              <w:tabs>
                <w:tab w:val="left" w:pos="540"/>
              </w:tabs>
              <w:adjustRightInd w:val="0"/>
              <w:snapToGrid w:val="0"/>
              <w:spacing w:before="156" w:beforeLines="50" w:line="360" w:lineRule="auto"/>
              <w:jc w:val="center"/>
              <w:rPr>
                <w:rFonts w:hAnsi="宋体"/>
                <w:sz w:val="21"/>
              </w:rPr>
            </w:pPr>
            <w:r>
              <w:rPr>
                <w:rFonts w:hint="eastAsia" w:hAnsi="宋体"/>
                <w:sz w:val="21"/>
              </w:rPr>
              <w:t>自合同签订之日起1年或甲方累计采购量达到合同金额后本合同终止，以先到者为准</w:t>
            </w:r>
          </w:p>
        </w:tc>
        <w:tc>
          <w:tcPr>
            <w:tcW w:w="1121" w:type="pct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7F7CB72F">
            <w:pPr>
              <w:pStyle w:val="7"/>
              <w:tabs>
                <w:tab w:val="left" w:pos="540"/>
              </w:tabs>
              <w:adjustRightInd w:val="0"/>
              <w:snapToGrid w:val="0"/>
              <w:spacing w:line="360" w:lineRule="auto"/>
              <w:jc w:val="center"/>
              <w:rPr>
                <w:rFonts w:hAnsi="宋体"/>
                <w:sz w:val="21"/>
              </w:rPr>
            </w:pPr>
            <w:r>
              <w:rPr>
                <w:rFonts w:hint="eastAsia" w:hAnsi="宋体"/>
                <w:sz w:val="21"/>
              </w:rPr>
              <w:t>人民币</w:t>
            </w:r>
            <w:r>
              <w:rPr>
                <w:rFonts w:hint="eastAsia" w:hAnsi="宋体" w:cs="宋体"/>
                <w:color w:val="000000"/>
                <w:sz w:val="21"/>
                <w:u w:val="single"/>
              </w:rPr>
              <w:t>130,000</w:t>
            </w:r>
            <w:r>
              <w:rPr>
                <w:rFonts w:hint="eastAsia" w:hAnsi="宋体"/>
                <w:sz w:val="21"/>
                <w:u w:val="single"/>
              </w:rPr>
              <w:t>元</w:t>
            </w:r>
          </w:p>
        </w:tc>
      </w:tr>
    </w:tbl>
    <w:p w14:paraId="0A00C410">
      <w:pPr>
        <w:pStyle w:val="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仿宋_GB2312"/>
          <w:b/>
          <w:bCs/>
          <w:sz w:val="24"/>
          <w:szCs w:val="24"/>
        </w:rPr>
        <w:t>项目</w:t>
      </w:r>
      <w:r>
        <w:rPr>
          <w:rFonts w:hint="eastAsia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概况</w:t>
      </w:r>
    </w:p>
    <w:p w14:paraId="30A54602">
      <w:pPr>
        <w:pStyle w:val="55"/>
        <w:numPr>
          <w:ilvl w:val="0"/>
          <w:numId w:val="5"/>
        </w:numPr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>本合同是广东省肇庆监狱2025年度安全生产物资定点采购项目，主要内容包含灭火器、消防水带、应急灯、消防系统配件及相关五金配件等货物。每次订单按甲方需求分包后统一配送到指定地点，不接受快递方式零散配送。</w:t>
      </w:r>
    </w:p>
    <w:p w14:paraId="02996A72">
      <w:pPr>
        <w:pStyle w:val="55"/>
        <w:numPr>
          <w:ilvl w:val="0"/>
          <w:numId w:val="5"/>
        </w:numPr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>本合同所需货物按甲方实际需求进行供应，采购预算金额13万元，采购数量以甲方实际需求为准，按实结算，合同服务期限为自合同签订之日起1年或甲方累计采购量达到合同金额后本合同终止，以先到者为准。甲方不保证一年的总结算金额达到本合同合同金额130,000元。</w:t>
      </w:r>
    </w:p>
    <w:p w14:paraId="781A9110">
      <w:pPr>
        <w:pStyle w:val="55"/>
        <w:numPr>
          <w:ilvl w:val="0"/>
          <w:numId w:val="5"/>
        </w:numPr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>本合同采购内容详见附件：2025年度安全生产物资定点采购项目清单，结算单价为：单价最高限价*（1-成交下浮率），报价包含运输、安装等相关费用。</w:t>
      </w:r>
    </w:p>
    <w:p w14:paraId="7BA9C7F5">
      <w:pPr>
        <w:pStyle w:val="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</w:t>
      </w:r>
      <w:r>
        <w:rPr>
          <w:rFonts w:hint="eastAsia" w:hAnsi="宋体" w:cs="仿宋_GB2312"/>
          <w:b/>
          <w:bCs/>
          <w:sz w:val="24"/>
          <w:szCs w:val="24"/>
        </w:rPr>
        <w:t>形式</w:t>
      </w:r>
      <w:r>
        <w:rPr>
          <w:rFonts w:hint="eastAsia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及交货时间</w:t>
      </w:r>
    </w:p>
    <w:p w14:paraId="7716FC2A">
      <w:pPr>
        <w:pStyle w:val="7"/>
        <w:tabs>
          <w:tab w:val="left" w:pos="540"/>
        </w:tabs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(一)在甲方确定订单后，乙方必须在7个自然日内按甲方需求分包后统一配送到指定地点，不接受快递方式零散配送。 </w:t>
      </w:r>
    </w:p>
    <w:p w14:paraId="127D3577">
      <w:pPr>
        <w:pStyle w:val="7"/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(二)配送时间：按照甲方工作时间安排进行配送，送货期间服从甲方现场管理要求。</w:t>
      </w:r>
    </w:p>
    <w:p w14:paraId="2CD72E60">
      <w:pPr>
        <w:pStyle w:val="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商务要求</w:t>
      </w:r>
    </w:p>
    <w:p w14:paraId="27F945AF">
      <w:pPr>
        <w:numPr>
          <w:ilvl w:val="1"/>
          <w:numId w:val="6"/>
        </w:numPr>
        <w:snapToGrid w:val="0"/>
        <w:spacing w:line="360" w:lineRule="auto"/>
        <w:ind w:left="709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包装和运输</w:t>
      </w:r>
    </w:p>
    <w:p w14:paraId="2303103C">
      <w:pPr>
        <w:numPr>
          <w:ilvl w:val="0"/>
          <w:numId w:val="7"/>
        </w:numPr>
        <w:snapToGrid w:val="0"/>
        <w:spacing w:line="360" w:lineRule="auto"/>
        <w:ind w:left="851" w:hanging="425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乙方应提供运至交付地点所需要的包装，包装应符合经济、牢固、美观的要求，采取防潮、防晒、防锈、防震及防止其它损坏的必要措施，以防止货物在运转中损坏或变质。</w:t>
      </w:r>
    </w:p>
    <w:p w14:paraId="1C8146C4">
      <w:pPr>
        <w:numPr>
          <w:ilvl w:val="0"/>
          <w:numId w:val="7"/>
        </w:numPr>
        <w:snapToGrid w:val="0"/>
        <w:spacing w:line="360" w:lineRule="auto"/>
        <w:ind w:left="851" w:hanging="425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包装必须要符合相关法律、法规的要求，包括与环境、职业健康和安全有关的法律、法规标准。</w:t>
      </w:r>
    </w:p>
    <w:p w14:paraId="672CEF3D">
      <w:pPr>
        <w:numPr>
          <w:ilvl w:val="0"/>
          <w:numId w:val="7"/>
        </w:numPr>
        <w:snapToGrid w:val="0"/>
        <w:spacing w:line="360" w:lineRule="auto"/>
        <w:ind w:left="851" w:hanging="425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运输包装应根据产品的特点及国家相关标准标注有相应的运输标志。</w:t>
      </w:r>
    </w:p>
    <w:p w14:paraId="6F93132F">
      <w:pPr>
        <w:numPr>
          <w:ilvl w:val="1"/>
          <w:numId w:val="6"/>
        </w:numPr>
        <w:snapToGrid w:val="0"/>
        <w:spacing w:line="360" w:lineRule="auto"/>
        <w:ind w:left="709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售后服务</w:t>
      </w:r>
    </w:p>
    <w:p w14:paraId="25A14D63">
      <w:pPr>
        <w:numPr>
          <w:ilvl w:val="0"/>
          <w:numId w:val="8"/>
        </w:numPr>
        <w:snapToGrid w:val="0"/>
        <w:spacing w:line="360" w:lineRule="auto"/>
        <w:ind w:left="851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质保期</w:t>
      </w:r>
    </w:p>
    <w:p w14:paraId="45FD8E4D">
      <w:pPr>
        <w:numPr>
          <w:ilvl w:val="0"/>
          <w:numId w:val="9"/>
        </w:numPr>
        <w:tabs>
          <w:tab w:val="clear" w:pos="425"/>
        </w:tabs>
        <w:autoSpaceDE w:val="0"/>
        <w:autoSpaceDN w:val="0"/>
        <w:adjustRightInd w:val="0"/>
        <w:snapToGrid w:val="0"/>
        <w:spacing w:line="360" w:lineRule="auto"/>
        <w:ind w:left="993" w:hanging="567"/>
        <w:textAlignment w:val="baseline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质保期协助质量保修范围：由于材料、工艺等问题而导致的产品功能失效、性能下降等缺陷(属于自然力或战争等不可抗力、人为因素等造成的除外)。</w:t>
      </w:r>
    </w:p>
    <w:p w14:paraId="5228A6C2">
      <w:pPr>
        <w:numPr>
          <w:ilvl w:val="0"/>
          <w:numId w:val="9"/>
        </w:numPr>
        <w:tabs>
          <w:tab w:val="clear" w:pos="425"/>
        </w:tabs>
        <w:autoSpaceDE w:val="0"/>
        <w:autoSpaceDN w:val="0"/>
        <w:adjustRightInd w:val="0"/>
        <w:snapToGrid w:val="0"/>
        <w:spacing w:line="360" w:lineRule="auto"/>
        <w:ind w:left="993" w:hanging="567"/>
        <w:textAlignment w:val="baseline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质保期为</w:t>
      </w:r>
      <w:r>
        <w:rPr>
          <w:rFonts w:hint="eastAsia" w:ascii="宋体" w:hAnsi="宋体" w:eastAsia="宋体"/>
          <w:sz w:val="24"/>
          <w:szCs w:val="24"/>
          <w:u w:val="single"/>
        </w:rPr>
        <w:t>1</w:t>
      </w:r>
      <w:r>
        <w:rPr>
          <w:rFonts w:hint="eastAsia" w:ascii="宋体" w:hAnsi="宋体" w:eastAsia="宋体"/>
          <w:sz w:val="24"/>
          <w:szCs w:val="24"/>
        </w:rPr>
        <w:t>年，质保期自货物最终验收合格之日起算，</w:t>
      </w:r>
      <w:r>
        <w:rPr>
          <w:rFonts w:hint="eastAsia" w:ascii="宋体" w:hAnsi="宋体" w:eastAsia="宋体"/>
          <w:b/>
          <w:bCs/>
          <w:sz w:val="24"/>
          <w:szCs w:val="24"/>
        </w:rPr>
        <w:t>质保期内乙方协助联系对所供货物生产厂家实行包修、包换、包退、包维护保养。</w:t>
      </w:r>
    </w:p>
    <w:p w14:paraId="61621CDF">
      <w:pPr>
        <w:numPr>
          <w:ilvl w:val="0"/>
          <w:numId w:val="9"/>
        </w:numPr>
        <w:tabs>
          <w:tab w:val="clear" w:pos="425"/>
        </w:tabs>
        <w:autoSpaceDE w:val="0"/>
        <w:autoSpaceDN w:val="0"/>
        <w:adjustRightInd w:val="0"/>
        <w:snapToGrid w:val="0"/>
        <w:spacing w:line="360" w:lineRule="auto"/>
        <w:ind w:left="993" w:hanging="567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对甲方的服务通知，乙方在接报后</w:t>
      </w:r>
      <w:r>
        <w:rPr>
          <w:rFonts w:hint="eastAsia" w:ascii="宋体" w:hAnsi="宋体" w:eastAsia="宋体"/>
          <w:sz w:val="24"/>
          <w:szCs w:val="24"/>
          <w:u w:val="single"/>
        </w:rPr>
        <w:t>1小时</w:t>
      </w:r>
      <w:r>
        <w:rPr>
          <w:rFonts w:hint="eastAsia" w:ascii="宋体" w:hAnsi="宋体" w:eastAsia="宋体"/>
          <w:sz w:val="24"/>
          <w:szCs w:val="24"/>
        </w:rPr>
        <w:t>内响应，</w:t>
      </w:r>
      <w:r>
        <w:rPr>
          <w:rFonts w:hint="eastAsia" w:ascii="宋体" w:hAnsi="宋体" w:eastAsia="宋体"/>
          <w:sz w:val="24"/>
          <w:szCs w:val="24"/>
          <w:u w:val="single"/>
        </w:rPr>
        <w:t>4小时</w:t>
      </w:r>
      <w:r>
        <w:rPr>
          <w:rFonts w:hint="eastAsia" w:ascii="宋体" w:hAnsi="宋体" w:eastAsia="宋体"/>
          <w:sz w:val="24"/>
          <w:szCs w:val="24"/>
        </w:rPr>
        <w:t>内到达现场，</w:t>
      </w:r>
      <w:r>
        <w:rPr>
          <w:rFonts w:hint="eastAsia" w:ascii="宋体" w:hAnsi="宋体" w:eastAsia="宋体"/>
          <w:sz w:val="24"/>
          <w:szCs w:val="24"/>
          <w:u w:val="single"/>
        </w:rPr>
        <w:t>48小时</w:t>
      </w:r>
      <w:r>
        <w:rPr>
          <w:rFonts w:hint="eastAsia" w:ascii="宋体" w:hAnsi="宋体" w:eastAsia="宋体"/>
          <w:sz w:val="24"/>
          <w:szCs w:val="24"/>
        </w:rPr>
        <w:t>内处理完毕。若在</w:t>
      </w:r>
      <w:r>
        <w:rPr>
          <w:rFonts w:hint="eastAsia" w:ascii="宋体" w:hAnsi="宋体" w:eastAsia="宋体"/>
          <w:sz w:val="24"/>
          <w:szCs w:val="24"/>
          <w:u w:val="single"/>
        </w:rPr>
        <w:t>48小时</w:t>
      </w:r>
      <w:r>
        <w:rPr>
          <w:rFonts w:hint="eastAsia" w:ascii="宋体" w:hAnsi="宋体" w:eastAsia="宋体"/>
          <w:sz w:val="24"/>
          <w:szCs w:val="24"/>
        </w:rPr>
        <w:t>内仍未能有效解决，乙方须免费提供同档次的货物予甲方临时使用，临时使用期不得超过</w:t>
      </w:r>
      <w:r>
        <w:rPr>
          <w:rFonts w:hint="eastAsia" w:ascii="宋体" w:hAnsi="宋体" w:eastAsia="宋体"/>
          <w:sz w:val="24"/>
          <w:szCs w:val="24"/>
          <w:u w:val="single"/>
        </w:rPr>
        <w:t>7个日历日</w:t>
      </w:r>
      <w:r>
        <w:rPr>
          <w:rFonts w:hint="eastAsia" w:ascii="宋体" w:hAnsi="宋体" w:eastAsia="宋体"/>
          <w:sz w:val="24"/>
          <w:szCs w:val="24"/>
        </w:rPr>
        <w:t>。如乙方未在规定时间内响应或处理完毕，甲方有权自行采购同档次的货物应急解决，因此产生的费用应由乙方全额承担，并且甲方有权要求乙方按处理天数每天支付合同金额的 1‰作为违约金。</w:t>
      </w:r>
    </w:p>
    <w:p w14:paraId="412295EB">
      <w:pPr>
        <w:numPr>
          <w:ilvl w:val="0"/>
          <w:numId w:val="8"/>
        </w:numPr>
        <w:snapToGrid w:val="0"/>
        <w:spacing w:line="360" w:lineRule="auto"/>
        <w:ind w:left="851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安装与调试</w:t>
      </w:r>
    </w:p>
    <w:p w14:paraId="7141D25E">
      <w:pPr>
        <w:numPr>
          <w:ilvl w:val="0"/>
          <w:numId w:val="10"/>
        </w:numPr>
        <w:tabs>
          <w:tab w:val="clear" w:pos="425"/>
        </w:tabs>
        <w:adjustRightInd w:val="0"/>
        <w:snapToGrid w:val="0"/>
        <w:spacing w:line="360" w:lineRule="auto"/>
        <w:ind w:left="1134" w:hanging="709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合同货物安装</w:t>
      </w:r>
    </w:p>
    <w:p w14:paraId="1E08B802">
      <w:pPr>
        <w:snapToGrid w:val="0"/>
        <w:spacing w:line="360" w:lineRule="auto"/>
        <w:ind w:left="84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① 乙方</w:t>
      </w:r>
      <w:r>
        <w:rPr>
          <w:rFonts w:ascii="宋体" w:hAnsi="宋体" w:eastAsia="宋体"/>
          <w:sz w:val="24"/>
          <w:szCs w:val="24"/>
        </w:rPr>
        <w:t>负责合同货物的安装，一切费用由</w:t>
      </w:r>
      <w:r>
        <w:rPr>
          <w:rFonts w:hint="eastAsia" w:ascii="宋体" w:hAnsi="宋体" w:eastAsia="宋体"/>
          <w:sz w:val="24"/>
          <w:szCs w:val="24"/>
        </w:rPr>
        <w:t>乙方</w:t>
      </w:r>
      <w:r>
        <w:rPr>
          <w:rFonts w:ascii="宋体" w:hAnsi="宋体" w:eastAsia="宋体"/>
          <w:sz w:val="24"/>
          <w:szCs w:val="24"/>
        </w:rPr>
        <w:t>负责。</w:t>
      </w:r>
    </w:p>
    <w:p w14:paraId="3F2EC57B">
      <w:pPr>
        <w:snapToGrid w:val="0"/>
        <w:spacing w:line="360" w:lineRule="auto"/>
        <w:ind w:left="84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② </w:t>
      </w:r>
      <w:r>
        <w:rPr>
          <w:rFonts w:hint="eastAsia" w:ascii="宋体" w:hAnsi="宋体" w:eastAsia="宋体"/>
          <w:sz w:val="24"/>
          <w:szCs w:val="24"/>
        </w:rPr>
        <w:t>乙方</w:t>
      </w:r>
      <w:r>
        <w:rPr>
          <w:rFonts w:ascii="宋体" w:hAnsi="宋体" w:eastAsia="宋体"/>
          <w:sz w:val="24"/>
          <w:szCs w:val="24"/>
        </w:rPr>
        <w:t>安装时须对各安装场地内的其他货物、设施有良好保护措施。</w:t>
      </w:r>
    </w:p>
    <w:p w14:paraId="2564B942">
      <w:pPr>
        <w:pStyle w:val="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运作程序</w:t>
      </w:r>
    </w:p>
    <w:p w14:paraId="5ACD1833">
      <w:pPr>
        <w:pStyle w:val="55"/>
        <w:numPr>
          <w:ilvl w:val="0"/>
          <w:numId w:val="1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乙方送货前应提前24小时通知甲方，以便甲方做好接收验货工作；如遇甲方有特殊原因须改期收货时，应及时通知乙方推迟送货。</w:t>
      </w:r>
    </w:p>
    <w:p w14:paraId="2F2F7360">
      <w:pPr>
        <w:pStyle w:val="55"/>
        <w:numPr>
          <w:ilvl w:val="0"/>
          <w:numId w:val="1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乙方经核实订单后，如某些商品或规格市场上已经不再生产、流通导致无货可供的，应提前两天以书面形式告知甲方，并提供有效的断货证明材料。乙方需保证提供不低于同类型产品质量及价格的新货品种类。</w:t>
      </w:r>
    </w:p>
    <w:p w14:paraId="13F92714">
      <w:pPr>
        <w:pStyle w:val="55"/>
        <w:numPr>
          <w:ilvl w:val="0"/>
          <w:numId w:val="1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因乙方声称某些商品或规格等市场不再生产、供应流通，无法供应、但又不能提供有效证明材料时，甲方有权自行采购同等质量的货物，由此造成的经济损失和责任均由乙方承担，并承担违约责任。</w:t>
      </w:r>
    </w:p>
    <w:p w14:paraId="33949443">
      <w:pPr>
        <w:pStyle w:val="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bCs/>
          <w:sz w:val="24"/>
          <w:szCs w:val="24"/>
        </w:rPr>
        <w:t>验收</w:t>
      </w:r>
      <w:r>
        <w:rPr>
          <w:rFonts w:hint="eastAsia" w:hAnsi="宋体" w:cs="仿宋_GB2312"/>
          <w:b/>
          <w:bCs/>
          <w:sz w:val="24"/>
          <w:szCs w:val="24"/>
        </w:rPr>
        <w:t>方法</w:t>
      </w:r>
    </w:p>
    <w:p w14:paraId="41748E34">
      <w:pPr>
        <w:pStyle w:val="55"/>
        <w:numPr>
          <w:ilvl w:val="0"/>
          <w:numId w:val="1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甲方检查验收时，发现有下列情形的，应当拒收：</w:t>
      </w:r>
    </w:p>
    <w:p w14:paraId="49CE71A9">
      <w:pPr>
        <w:pStyle w:val="55"/>
        <w:numPr>
          <w:ilvl w:val="0"/>
          <w:numId w:val="13"/>
        </w:numPr>
        <w:ind w:left="862" w:leftChars="200" w:hanging="442"/>
        <w:rPr>
          <w:sz w:val="24"/>
          <w:szCs w:val="24"/>
        </w:rPr>
      </w:pPr>
      <w:r>
        <w:rPr>
          <w:rFonts w:hint="eastAsia"/>
          <w:sz w:val="24"/>
          <w:szCs w:val="24"/>
        </w:rPr>
        <w:t>未经甲方同意，乙方擅自变更商品名称或品牌、产地、规格、型号等商品实质内容的；</w:t>
      </w:r>
    </w:p>
    <w:p w14:paraId="6981FE1C">
      <w:pPr>
        <w:pStyle w:val="55"/>
        <w:numPr>
          <w:ilvl w:val="0"/>
          <w:numId w:val="13"/>
        </w:numPr>
        <w:ind w:left="862" w:leftChars="200" w:hanging="442"/>
        <w:rPr>
          <w:sz w:val="24"/>
          <w:szCs w:val="24"/>
        </w:rPr>
      </w:pPr>
      <w:r>
        <w:rPr>
          <w:rFonts w:hint="eastAsia"/>
          <w:sz w:val="24"/>
          <w:szCs w:val="24"/>
        </w:rPr>
        <w:t>货物不符合规格、重(含)量、标准等验收要求的；</w:t>
      </w:r>
    </w:p>
    <w:p w14:paraId="4D4CD3B0">
      <w:pPr>
        <w:pStyle w:val="55"/>
        <w:numPr>
          <w:ilvl w:val="0"/>
          <w:numId w:val="13"/>
        </w:numPr>
        <w:ind w:left="862" w:leftChars="200" w:hanging="442"/>
        <w:rPr>
          <w:sz w:val="24"/>
          <w:szCs w:val="24"/>
        </w:rPr>
      </w:pPr>
      <w:r>
        <w:rPr>
          <w:rFonts w:hint="eastAsia"/>
          <w:sz w:val="24"/>
          <w:szCs w:val="24"/>
        </w:rPr>
        <w:t>外包装上无产地、品牌等商品必备标识的；</w:t>
      </w:r>
    </w:p>
    <w:p w14:paraId="3CD641FE">
      <w:pPr>
        <w:pStyle w:val="55"/>
        <w:numPr>
          <w:ilvl w:val="0"/>
          <w:numId w:val="13"/>
        </w:numPr>
        <w:ind w:left="862" w:leftChars="200" w:hanging="442"/>
        <w:rPr>
          <w:sz w:val="24"/>
          <w:szCs w:val="24"/>
        </w:rPr>
      </w:pPr>
      <w:r>
        <w:rPr>
          <w:rFonts w:hint="eastAsia"/>
          <w:sz w:val="24"/>
          <w:szCs w:val="24"/>
        </w:rPr>
        <w:t>乙方提供或夹带、附送假冒伪劣、变质商品的；</w:t>
      </w:r>
    </w:p>
    <w:p w14:paraId="4207CABF">
      <w:pPr>
        <w:pStyle w:val="55"/>
        <w:numPr>
          <w:ilvl w:val="0"/>
          <w:numId w:val="12"/>
        </w:numPr>
        <w:ind w:left="442" w:hanging="442"/>
        <w:rPr>
          <w:sz w:val="24"/>
          <w:szCs w:val="24"/>
        </w:rPr>
      </w:pPr>
      <w:r>
        <w:rPr>
          <w:rFonts w:hint="eastAsia"/>
          <w:sz w:val="24"/>
          <w:szCs w:val="24"/>
        </w:rPr>
        <w:t>甲方在收取货两天内发现货物不合格的，有权退货。乙方应当在接到甲方通知后的 3 个工作日内重新提供符合要求的货品。若乙方未在上述期限内重新提供符合要求的货品，甲方有权自行采购同档次的货物，因此产生的费用由乙方承担，甲方有权直接通过乙方的履约保证金扣除此费用，并且甲方有权要求乙方支付违约金，甲方有权要求乙方按处理天数每天支付合同金额的 1‰作为违约金。</w:t>
      </w:r>
    </w:p>
    <w:p w14:paraId="516846CC">
      <w:pPr>
        <w:pStyle w:val="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仿宋_GB2312"/>
          <w:b/>
          <w:bCs/>
          <w:sz w:val="24"/>
          <w:szCs w:val="24"/>
        </w:rPr>
        <w:t>质量保证</w:t>
      </w:r>
    </w:p>
    <w:p w14:paraId="4EF2C426">
      <w:pPr>
        <w:pStyle w:val="55"/>
        <w:numPr>
          <w:ilvl w:val="0"/>
          <w:numId w:val="1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乙方所送商品品牌及型号必须按照本合同提供。</w:t>
      </w:r>
    </w:p>
    <w:p w14:paraId="07059BA8">
      <w:pPr>
        <w:pStyle w:val="55"/>
        <w:numPr>
          <w:ilvl w:val="0"/>
          <w:numId w:val="1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乙方不得供应或夹带、附送假冒伪劣、变质商品，有标注生产日期的货物，生产日期应在供货日前3个月内。</w:t>
      </w:r>
    </w:p>
    <w:p w14:paraId="5D0AECDD">
      <w:pPr>
        <w:pStyle w:val="55"/>
        <w:numPr>
          <w:ilvl w:val="0"/>
          <w:numId w:val="1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乙方所送商品必须符合国家质量标准。双方对质量有争议，如需将货物送至具有资质的质量检测机构检测的，若检测结果合格，检测费用由甲方支付。若检测结果不合格，则检测费用由乙方支付。甲方将该批次货物退货，乙方重新配送合格物资外，乙方还需缴纳该批次货物金额的30%作为违约金予甲方。</w:t>
      </w:r>
    </w:p>
    <w:p w14:paraId="5DA6C8C0">
      <w:pPr>
        <w:pStyle w:val="55"/>
        <w:numPr>
          <w:ilvl w:val="0"/>
          <w:numId w:val="1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乙方在合同履行中，有任何违约事项的，甲方应记录在案，以作下次乙方参与竞价时的信誉考察及评标因素。</w:t>
      </w:r>
    </w:p>
    <w:p w14:paraId="5C7B5C71">
      <w:pPr>
        <w:pStyle w:val="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bCs/>
          <w:sz w:val="24"/>
          <w:szCs w:val="24"/>
        </w:rPr>
        <w:t>价格</w:t>
      </w:r>
      <w:r>
        <w:rPr>
          <w:rFonts w:hint="eastAsia" w:hAnsi="宋体" w:cs="仿宋_GB2312"/>
          <w:b/>
          <w:bCs/>
          <w:sz w:val="24"/>
          <w:szCs w:val="24"/>
        </w:rPr>
        <w:t>原则</w:t>
      </w:r>
    </w:p>
    <w:p w14:paraId="613C7F5C">
      <w:pPr>
        <w:autoSpaceDE w:val="0"/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价格原则：合同签订后，不作价格调整。</w:t>
      </w:r>
    </w:p>
    <w:p w14:paraId="01EC24FD">
      <w:pPr>
        <w:pStyle w:val="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违约</w:t>
      </w:r>
      <w:r>
        <w:rPr>
          <w:rFonts w:hint="eastAsia" w:hAnsi="宋体" w:cs="仿宋_GB2312"/>
          <w:b/>
          <w:bCs/>
          <w:sz w:val="24"/>
          <w:szCs w:val="24"/>
        </w:rPr>
        <w:t>责任</w:t>
      </w:r>
    </w:p>
    <w:p w14:paraId="11F4D7FF">
      <w:pPr>
        <w:pStyle w:val="55"/>
        <w:numPr>
          <w:ilvl w:val="0"/>
          <w:numId w:val="1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合同签订后，有下列情形的，视作违约：</w:t>
      </w:r>
    </w:p>
    <w:p w14:paraId="7A7A3293">
      <w:pPr>
        <w:pStyle w:val="55"/>
        <w:ind w:left="504" w:hanging="504" w:hangingChars="210"/>
        <w:rPr>
          <w:sz w:val="24"/>
          <w:szCs w:val="24"/>
        </w:rPr>
      </w:pPr>
      <w:r>
        <w:rPr>
          <w:rFonts w:hint="eastAsia"/>
          <w:sz w:val="24"/>
          <w:szCs w:val="24"/>
        </w:rPr>
        <w:t>未经甲方同意，乙方擅自变更商品名称或品牌、产地、规格、型号等实质内容的，扣罚履约保证金20%；</w:t>
      </w:r>
    </w:p>
    <w:p w14:paraId="569B7FD3">
      <w:pPr>
        <w:pStyle w:val="55"/>
        <w:ind w:left="504" w:hanging="504" w:hangingChars="210"/>
        <w:rPr>
          <w:sz w:val="24"/>
          <w:szCs w:val="24"/>
        </w:rPr>
      </w:pPr>
      <w:r>
        <w:rPr>
          <w:rFonts w:hint="eastAsia"/>
          <w:sz w:val="24"/>
          <w:szCs w:val="24"/>
        </w:rPr>
        <w:t>交货时，乙方仍未提供该商品已经断货的有效的证明材料的，扣罚履约保证金5%；</w:t>
      </w:r>
    </w:p>
    <w:p w14:paraId="57952BDA">
      <w:pPr>
        <w:pStyle w:val="55"/>
        <w:ind w:left="504" w:hanging="504" w:hangingChars="210"/>
        <w:rPr>
          <w:sz w:val="24"/>
          <w:szCs w:val="24"/>
        </w:rPr>
      </w:pPr>
      <w:r>
        <w:rPr>
          <w:rFonts w:hint="eastAsia"/>
          <w:sz w:val="24"/>
          <w:szCs w:val="24"/>
        </w:rPr>
        <w:t>收货时发现商品短少的，乙方未在三日内按时补充的，扣罚履约保证金10%；</w:t>
      </w:r>
    </w:p>
    <w:p w14:paraId="35CCAD0A">
      <w:pPr>
        <w:pStyle w:val="55"/>
        <w:ind w:left="504" w:hanging="504" w:hangingChars="210"/>
        <w:rPr>
          <w:sz w:val="24"/>
          <w:szCs w:val="24"/>
        </w:rPr>
      </w:pPr>
      <w:r>
        <w:rPr>
          <w:rFonts w:hint="eastAsia"/>
          <w:sz w:val="24"/>
          <w:szCs w:val="24"/>
        </w:rPr>
        <w:t>乙方提供或夹带、附送假冒伪劣、变质商品的，扣罚履约保证金50%；</w:t>
      </w:r>
    </w:p>
    <w:p w14:paraId="0C549C85">
      <w:pPr>
        <w:pStyle w:val="55"/>
        <w:ind w:left="504" w:hanging="504" w:hangingChars="210"/>
        <w:rPr>
          <w:sz w:val="24"/>
          <w:szCs w:val="24"/>
        </w:rPr>
      </w:pPr>
      <w:r>
        <w:rPr>
          <w:rFonts w:hint="eastAsia"/>
          <w:sz w:val="24"/>
          <w:szCs w:val="24"/>
        </w:rPr>
        <w:t>乙方不按计划送货的(不可抗力除外)扣罚履约保证金10%；</w:t>
      </w:r>
    </w:p>
    <w:p w14:paraId="4930A6F9">
      <w:pPr>
        <w:pStyle w:val="55"/>
        <w:ind w:left="504" w:hanging="504" w:hangingChars="210"/>
        <w:rPr>
          <w:sz w:val="24"/>
          <w:szCs w:val="24"/>
        </w:rPr>
      </w:pPr>
      <w:r>
        <w:rPr>
          <w:rFonts w:hint="eastAsia"/>
          <w:sz w:val="24"/>
          <w:szCs w:val="24"/>
        </w:rPr>
        <w:t>甲方退货后，乙方必须在三日内补齐退货的商品，未按时补齐扣罚履约保证金10%。</w:t>
      </w:r>
    </w:p>
    <w:p w14:paraId="030218A5">
      <w:pPr>
        <w:pStyle w:val="55"/>
        <w:ind w:left="504" w:hanging="504" w:hangingChars="210"/>
        <w:rPr>
          <w:sz w:val="24"/>
          <w:szCs w:val="24"/>
        </w:rPr>
      </w:pPr>
      <w:r>
        <w:rPr>
          <w:rFonts w:hint="eastAsia"/>
          <w:sz w:val="24"/>
          <w:szCs w:val="24"/>
        </w:rPr>
        <w:t>乙方以获取不当利益为目的或以降低供货质量等手段，给予甲方工作人员好处费、赠送物品，向甲方工作人员行贿等损害甲方利益行为的，扣罚履约保证金20%。</w:t>
      </w:r>
    </w:p>
    <w:p w14:paraId="4B10E0FD">
      <w:pPr>
        <w:pStyle w:val="55"/>
        <w:ind w:left="504" w:hanging="504" w:hangingChars="210"/>
        <w:rPr>
          <w:sz w:val="24"/>
          <w:szCs w:val="24"/>
        </w:rPr>
      </w:pPr>
      <w:r>
        <w:rPr>
          <w:rFonts w:hint="eastAsia"/>
          <w:sz w:val="24"/>
          <w:szCs w:val="24"/>
        </w:rPr>
        <w:t>依法应由甲方享有的原商品的附赠品(商品标注为准)，乙方拒不返还的，扣罚履约保证金10%；</w:t>
      </w:r>
    </w:p>
    <w:p w14:paraId="6DC3DF45">
      <w:pPr>
        <w:pStyle w:val="55"/>
        <w:ind w:left="504" w:hanging="504" w:hangingChars="210"/>
        <w:rPr>
          <w:sz w:val="24"/>
          <w:szCs w:val="24"/>
        </w:rPr>
      </w:pPr>
      <w:r>
        <w:rPr>
          <w:rFonts w:hint="eastAsia"/>
          <w:sz w:val="24"/>
          <w:szCs w:val="24"/>
        </w:rPr>
        <w:t>乙方提供或夹带、附送假冒伪劣、变质商品的，扣罚履约保证金50%；</w:t>
      </w:r>
    </w:p>
    <w:p w14:paraId="7320DDF5">
      <w:pPr>
        <w:pStyle w:val="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bCs/>
          <w:sz w:val="24"/>
          <w:szCs w:val="24"/>
        </w:rPr>
        <w:t>履约保证金和违约金计算</w:t>
      </w:r>
    </w:p>
    <w:p w14:paraId="6F4CD08B">
      <w:pPr>
        <w:pStyle w:val="55"/>
        <w:numPr>
          <w:ilvl w:val="0"/>
          <w:numId w:val="16"/>
        </w:numPr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>合同签订后10个工作日内，乙方须将合同总金额的5%的履约保证金支付至甲方指定账户。如乙方逾期未足额支付履约保证金的，甲方有权单方面立即解除本合同，如因此造成甲方重新竞价等损失的，甲方保留追究权利。如发生违约，甲方可从履约保证金中扣除，乙方应在5个工作日内补齐扣罚部分履约保证金。在服务期结束之日起30个工作日内，甲方一次性无息退还履约保证金。</w:t>
      </w:r>
    </w:p>
    <w:p w14:paraId="4FA43394">
      <w:pPr>
        <w:pStyle w:val="55"/>
        <w:numPr>
          <w:ilvl w:val="0"/>
          <w:numId w:val="16"/>
        </w:numPr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>如在合同执行期间因乙方违约导致履约保证金部分扣除，乙方须在五个工作日内将扣除的履约保证金补齐。如乙方未在规定时间内补足履约保证金，甲方有权从乙方的货款中直接扣除相应金额，若货款不足以扣除，甲方有权要求乙方按逾期天数每天支付合同金额的 1‰作为违约金。</w:t>
      </w:r>
    </w:p>
    <w:p w14:paraId="6A952278">
      <w:pPr>
        <w:pStyle w:val="55"/>
        <w:numPr>
          <w:ilvl w:val="0"/>
          <w:numId w:val="16"/>
        </w:numPr>
        <w:ind w:left="420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>合同期内，如乙方累计扣罚履约保证金达到200%（含200%）以上（即合同金额10%）或累计被扣除履约保证金超过5次（含5次）违约行为，甲方有权立即单方解除本合同，并要求乙方按合同总价款的 10%计付违约金。</w:t>
      </w:r>
    </w:p>
    <w:p w14:paraId="21EE2FC6">
      <w:pPr>
        <w:pStyle w:val="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货款</w:t>
      </w:r>
      <w:r>
        <w:rPr>
          <w:rFonts w:hint="eastAsia" w:hAnsi="宋体" w:cs="仿宋_GB2312"/>
          <w:b/>
          <w:bCs/>
          <w:sz w:val="24"/>
          <w:szCs w:val="24"/>
        </w:rPr>
        <w:t>结算</w:t>
      </w:r>
      <w:r>
        <w:rPr>
          <w:rFonts w:hint="eastAsia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及付款</w:t>
      </w:r>
    </w:p>
    <w:p w14:paraId="7D097ABD">
      <w:pPr>
        <w:pStyle w:val="55"/>
        <w:numPr>
          <w:ilvl w:val="0"/>
          <w:numId w:val="17"/>
        </w:numPr>
        <w:ind w:left="442" w:hanging="442"/>
        <w:rPr>
          <w:sz w:val="24"/>
          <w:szCs w:val="24"/>
        </w:rPr>
      </w:pPr>
      <w:r>
        <w:rPr>
          <w:rFonts w:hint="eastAsia"/>
          <w:sz w:val="24"/>
          <w:szCs w:val="24"/>
        </w:rPr>
        <w:t>货物包装、运输、发票、税等费用由乙方负担。</w:t>
      </w:r>
    </w:p>
    <w:p w14:paraId="738B8212">
      <w:pPr>
        <w:pStyle w:val="55"/>
        <w:numPr>
          <w:ilvl w:val="0"/>
          <w:numId w:val="17"/>
        </w:numPr>
        <w:ind w:left="442" w:hanging="442"/>
        <w:rPr>
          <w:sz w:val="24"/>
          <w:szCs w:val="24"/>
        </w:rPr>
      </w:pPr>
      <w:r>
        <w:rPr>
          <w:rFonts w:hint="eastAsia"/>
          <w:sz w:val="24"/>
          <w:szCs w:val="24"/>
        </w:rPr>
        <w:t>项目完成验收后结算，甲方在收到发票后15个工作日内以银行转账方式进行一次性支付。如甲方逾期付款，每逾期一天，甲方应向乙方支付合同金额的 1‰作为违约金，但乙方应确保所提供的发票等结算文件符合甲方的要求，否则甲方有权相应顺延付款时间且不承担违约责任。</w:t>
      </w:r>
    </w:p>
    <w:p w14:paraId="436A0139">
      <w:pPr>
        <w:pStyle w:val="55"/>
        <w:numPr>
          <w:ilvl w:val="0"/>
          <w:numId w:val="17"/>
        </w:numPr>
        <w:ind w:left="442" w:hanging="442"/>
        <w:rPr>
          <w:sz w:val="24"/>
          <w:szCs w:val="24"/>
        </w:rPr>
      </w:pPr>
      <w:r>
        <w:rPr>
          <w:rFonts w:hint="eastAsia"/>
          <w:sz w:val="24"/>
          <w:szCs w:val="24"/>
        </w:rPr>
        <w:t>付款方式：采用银行转账、银行汇付（含电汇）等方式。</w:t>
      </w:r>
    </w:p>
    <w:p w14:paraId="1509A024">
      <w:pPr>
        <w:pStyle w:val="7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hAnsi="宋体" w:cs="仿宋_GB2312"/>
          <w:b/>
          <w:bCs/>
          <w:sz w:val="24"/>
          <w:szCs w:val="24"/>
        </w:rPr>
        <w:t>其他</w:t>
      </w:r>
    </w:p>
    <w:p w14:paraId="187FB11A">
      <w:pPr>
        <w:pStyle w:val="55"/>
        <w:numPr>
          <w:ilvl w:val="0"/>
          <w:numId w:val="18"/>
        </w:numPr>
        <w:ind w:left="680" w:hanging="680"/>
        <w:rPr>
          <w:sz w:val="24"/>
          <w:szCs w:val="24"/>
        </w:rPr>
      </w:pPr>
      <w:r>
        <w:rPr>
          <w:rFonts w:hint="eastAsia"/>
          <w:sz w:val="24"/>
          <w:szCs w:val="24"/>
        </w:rPr>
        <w:t>未经甲方书面同意，乙方不得擅自转让部分或全部合同项下义务。</w:t>
      </w:r>
    </w:p>
    <w:p w14:paraId="04C2C4A1">
      <w:pPr>
        <w:pStyle w:val="55"/>
        <w:numPr>
          <w:ilvl w:val="0"/>
          <w:numId w:val="18"/>
        </w:numPr>
        <w:ind w:left="680" w:hanging="680"/>
        <w:rPr>
          <w:sz w:val="24"/>
          <w:szCs w:val="24"/>
        </w:rPr>
      </w:pPr>
      <w:r>
        <w:rPr>
          <w:rFonts w:hint="eastAsia"/>
          <w:sz w:val="24"/>
          <w:szCs w:val="24"/>
        </w:rPr>
        <w:t>争议解决方式：因履行本合同产生的纠纷，双方应友好协商解决，协商不成的，任何一方均有权向甲方所在地人民法院诉讼解决。</w:t>
      </w:r>
    </w:p>
    <w:p w14:paraId="1B7C09CB">
      <w:pPr>
        <w:pStyle w:val="55"/>
        <w:numPr>
          <w:ilvl w:val="0"/>
          <w:numId w:val="0"/>
        </w:numPr>
      </w:pPr>
    </w:p>
    <w:p w14:paraId="12653B42">
      <w:pPr>
        <w:pStyle w:val="55"/>
        <w:numPr>
          <w:ilvl w:val="0"/>
          <w:numId w:val="0"/>
        </w:numPr>
      </w:pPr>
    </w:p>
    <w:p w14:paraId="3A55B890">
      <w:pPr>
        <w:pStyle w:val="55"/>
        <w:numPr>
          <w:ilvl w:val="0"/>
          <w:numId w:val="0"/>
        </w:numPr>
      </w:pPr>
    </w:p>
    <w:p w14:paraId="357BB8F2">
      <w:pPr>
        <w:pStyle w:val="55"/>
        <w:numPr>
          <w:ilvl w:val="0"/>
          <w:numId w:val="0"/>
        </w:numPr>
      </w:pPr>
    </w:p>
    <w:p w14:paraId="0143C142">
      <w:pPr>
        <w:pStyle w:val="55"/>
        <w:numPr>
          <w:ilvl w:val="0"/>
          <w:numId w:val="0"/>
        </w:numPr>
      </w:pPr>
    </w:p>
    <w:p w14:paraId="1B9BE917">
      <w:pPr>
        <w:pStyle w:val="55"/>
        <w:numPr>
          <w:ilvl w:val="0"/>
          <w:numId w:val="0"/>
        </w:numPr>
      </w:pPr>
    </w:p>
    <w:p w14:paraId="495EEB61">
      <w:pPr>
        <w:pStyle w:val="55"/>
        <w:numPr>
          <w:ilvl w:val="0"/>
          <w:numId w:val="0"/>
        </w:numPr>
      </w:pPr>
    </w:p>
    <w:p w14:paraId="59893DDB">
      <w:pPr>
        <w:pStyle w:val="55"/>
        <w:numPr>
          <w:ilvl w:val="0"/>
          <w:numId w:val="0"/>
        </w:num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37B4B73">
      <w:pPr>
        <w:pStyle w:val="55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甲方：广东省肇庆监狱（盖章）</w:t>
      </w:r>
    </w:p>
    <w:p w14:paraId="737811E4">
      <w:pPr>
        <w:pStyle w:val="55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37D499CD">
      <w:pPr>
        <w:pStyle w:val="55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法定代表人（委托代理人）：</w:t>
      </w:r>
    </w:p>
    <w:p w14:paraId="1CFBF254">
      <w:pPr>
        <w:pStyle w:val="55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6325FD6A">
      <w:pPr>
        <w:pStyle w:val="55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电话：0758-3173218/0758-3173778</w:t>
      </w:r>
    </w:p>
    <w:p w14:paraId="1922AF10">
      <w:pPr>
        <w:pStyle w:val="55"/>
        <w:numPr>
          <w:ilvl w:val="0"/>
          <w:numId w:val="0"/>
        </w:numPr>
        <w:spacing w:line="240" w:lineRule="auto"/>
        <w:ind w:left="720" w:hanging="720" w:hangingChars="300"/>
        <w:rPr>
          <w:sz w:val="24"/>
          <w:szCs w:val="24"/>
        </w:rPr>
      </w:pPr>
    </w:p>
    <w:p w14:paraId="1907A1FB">
      <w:pPr>
        <w:pStyle w:val="55"/>
        <w:numPr>
          <w:ilvl w:val="0"/>
          <w:numId w:val="0"/>
        </w:numPr>
        <w:spacing w:line="240" w:lineRule="auto"/>
        <w:ind w:left="720" w:hanging="720" w:hanging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地址：广东省肇庆市四会市城中街道城北社区汶塘路1号</w:t>
      </w:r>
    </w:p>
    <w:p w14:paraId="0FA5D60B">
      <w:pPr>
        <w:pStyle w:val="55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4E3E158D">
      <w:pPr>
        <w:pStyle w:val="55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邮编：526000</w:t>
      </w:r>
    </w:p>
    <w:p w14:paraId="368FA838">
      <w:pPr>
        <w:pStyle w:val="55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213D2138">
      <w:pPr>
        <w:pStyle w:val="55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纳税人识别号：114400004565334621</w:t>
      </w:r>
    </w:p>
    <w:p w14:paraId="5679504A">
      <w:pPr>
        <w:pStyle w:val="55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54C831B9">
      <w:pPr>
        <w:pStyle w:val="55"/>
        <w:numPr>
          <w:ilvl w:val="0"/>
          <w:numId w:val="0"/>
        </w:numPr>
        <w:spacing w:line="240" w:lineRule="auto"/>
        <w:ind w:left="1200" w:hanging="1200" w:hangingChars="500"/>
        <w:rPr>
          <w:sz w:val="24"/>
          <w:szCs w:val="24"/>
        </w:rPr>
      </w:pPr>
      <w:r>
        <w:rPr>
          <w:rFonts w:hint="eastAsia"/>
          <w:sz w:val="24"/>
          <w:szCs w:val="24"/>
        </w:rPr>
        <w:t>开户银行：建设银行广东省肇庆市四会支行</w:t>
      </w:r>
    </w:p>
    <w:p w14:paraId="2F0FCD44">
      <w:pPr>
        <w:pStyle w:val="55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14:paraId="078549CA">
      <w:pPr>
        <w:pStyle w:val="55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帐号：4405170720109443788</w:t>
      </w:r>
    </w:p>
    <w:p w14:paraId="330A3FAF">
      <w:pPr>
        <w:pStyle w:val="55"/>
        <w:numPr>
          <w:ilvl w:val="0"/>
          <w:numId w:val="0"/>
        </w:numPr>
        <w:spacing w:line="240" w:lineRule="auto"/>
        <w:ind w:left="1053" w:leftChars="263" w:hanging="501" w:hangingChars="209"/>
        <w:rPr>
          <w:sz w:val="24"/>
          <w:szCs w:val="24"/>
        </w:rPr>
      </w:pPr>
    </w:p>
    <w:p w14:paraId="7B897B39">
      <w:pPr>
        <w:pStyle w:val="55"/>
        <w:numPr>
          <w:ilvl w:val="0"/>
          <w:numId w:val="0"/>
        </w:numPr>
        <w:spacing w:line="240" w:lineRule="auto"/>
        <w:ind w:left="711" w:leftChars="100" w:hanging="501" w:hangingChars="209"/>
        <w:rPr>
          <w:sz w:val="24"/>
          <w:szCs w:val="24"/>
        </w:rPr>
      </w:pPr>
      <w:r>
        <w:rPr>
          <w:rFonts w:hint="eastAsia"/>
          <w:sz w:val="24"/>
          <w:szCs w:val="24"/>
        </w:rPr>
        <w:t>乙方：       （盖章）</w:t>
      </w:r>
    </w:p>
    <w:p w14:paraId="1F8D7D8F">
      <w:pPr>
        <w:pStyle w:val="55"/>
        <w:numPr>
          <w:ilvl w:val="0"/>
          <w:numId w:val="0"/>
        </w:numPr>
        <w:spacing w:line="240" w:lineRule="auto"/>
        <w:ind w:left="711" w:leftChars="100" w:hanging="501" w:hangingChars="209"/>
        <w:rPr>
          <w:sz w:val="24"/>
          <w:szCs w:val="24"/>
        </w:rPr>
      </w:pPr>
    </w:p>
    <w:p w14:paraId="1EF1DA17">
      <w:pPr>
        <w:pStyle w:val="55"/>
        <w:numPr>
          <w:ilvl w:val="0"/>
          <w:numId w:val="0"/>
        </w:numPr>
        <w:spacing w:line="240" w:lineRule="auto"/>
        <w:ind w:left="711" w:leftChars="100" w:hanging="501" w:hangingChars="209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法定代表人（委托代理人）：</w:t>
      </w:r>
    </w:p>
    <w:p w14:paraId="645E700C">
      <w:pPr>
        <w:pStyle w:val="55"/>
        <w:numPr>
          <w:ilvl w:val="0"/>
          <w:numId w:val="0"/>
        </w:numPr>
        <w:spacing w:line="240" w:lineRule="auto"/>
        <w:ind w:left="711" w:leftChars="100" w:hanging="501" w:hangingChars="209"/>
        <w:rPr>
          <w:sz w:val="24"/>
          <w:szCs w:val="24"/>
        </w:rPr>
      </w:pPr>
    </w:p>
    <w:p w14:paraId="2590684F">
      <w:pPr>
        <w:pStyle w:val="55"/>
        <w:numPr>
          <w:ilvl w:val="0"/>
          <w:numId w:val="0"/>
        </w:numPr>
        <w:spacing w:line="240" w:lineRule="auto"/>
        <w:ind w:left="711" w:leftChars="100" w:hanging="501" w:hangingChars="20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电话： </w:t>
      </w:r>
    </w:p>
    <w:p w14:paraId="5D7DCC6B">
      <w:pPr>
        <w:pStyle w:val="55"/>
        <w:numPr>
          <w:ilvl w:val="0"/>
          <w:numId w:val="0"/>
        </w:numPr>
        <w:spacing w:line="240" w:lineRule="auto"/>
        <w:ind w:left="949" w:leftChars="100" w:hanging="739" w:hangingChars="308"/>
        <w:rPr>
          <w:sz w:val="24"/>
          <w:szCs w:val="24"/>
        </w:rPr>
      </w:pPr>
    </w:p>
    <w:p w14:paraId="75FA59E4">
      <w:pPr>
        <w:pStyle w:val="55"/>
        <w:numPr>
          <w:ilvl w:val="0"/>
          <w:numId w:val="0"/>
        </w:numPr>
        <w:spacing w:line="240" w:lineRule="auto"/>
        <w:ind w:left="949" w:leftChars="100" w:hanging="739" w:hangingChars="30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地址： </w:t>
      </w:r>
    </w:p>
    <w:p w14:paraId="0B3A1334">
      <w:pPr>
        <w:pStyle w:val="55"/>
        <w:numPr>
          <w:ilvl w:val="0"/>
          <w:numId w:val="0"/>
        </w:numPr>
        <w:spacing w:line="240" w:lineRule="auto"/>
        <w:ind w:left="949" w:leftChars="100" w:hanging="739" w:hangingChars="308"/>
        <w:rPr>
          <w:sz w:val="24"/>
          <w:szCs w:val="24"/>
        </w:rPr>
      </w:pPr>
    </w:p>
    <w:p w14:paraId="064CFB1A">
      <w:pPr>
        <w:pStyle w:val="55"/>
        <w:numPr>
          <w:ilvl w:val="0"/>
          <w:numId w:val="0"/>
        </w:numPr>
        <w:spacing w:line="240" w:lineRule="auto"/>
        <w:ind w:left="210" w:leftChars="100"/>
        <w:rPr>
          <w:sz w:val="24"/>
          <w:szCs w:val="24"/>
        </w:rPr>
      </w:pPr>
    </w:p>
    <w:p w14:paraId="00F70CE6">
      <w:pPr>
        <w:pStyle w:val="55"/>
        <w:numPr>
          <w:ilvl w:val="0"/>
          <w:numId w:val="0"/>
        </w:numPr>
        <w:spacing w:line="240" w:lineRule="auto"/>
        <w:ind w:left="210" w:leftChars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邮编： </w:t>
      </w:r>
    </w:p>
    <w:p w14:paraId="2335B68C">
      <w:pPr>
        <w:pStyle w:val="55"/>
        <w:numPr>
          <w:ilvl w:val="0"/>
          <w:numId w:val="0"/>
        </w:numPr>
        <w:spacing w:line="240" w:lineRule="auto"/>
        <w:ind w:left="210" w:leftChars="100"/>
        <w:rPr>
          <w:sz w:val="24"/>
          <w:szCs w:val="24"/>
        </w:rPr>
      </w:pPr>
    </w:p>
    <w:p w14:paraId="3C5AB00C">
      <w:pPr>
        <w:pStyle w:val="55"/>
        <w:numPr>
          <w:ilvl w:val="0"/>
          <w:numId w:val="0"/>
        </w:numPr>
        <w:spacing w:line="240" w:lineRule="auto"/>
        <w:ind w:left="210" w:leftChars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纳税人识别号： </w:t>
      </w:r>
    </w:p>
    <w:p w14:paraId="23EF3990">
      <w:pPr>
        <w:pStyle w:val="55"/>
        <w:numPr>
          <w:ilvl w:val="0"/>
          <w:numId w:val="0"/>
        </w:numPr>
        <w:spacing w:line="240" w:lineRule="auto"/>
        <w:ind w:left="1170" w:leftChars="100" w:hanging="960" w:hangingChars="400"/>
        <w:rPr>
          <w:sz w:val="24"/>
          <w:szCs w:val="24"/>
        </w:rPr>
      </w:pPr>
    </w:p>
    <w:p w14:paraId="5DE5F406">
      <w:pPr>
        <w:pStyle w:val="55"/>
        <w:numPr>
          <w:ilvl w:val="0"/>
          <w:numId w:val="0"/>
        </w:numPr>
        <w:spacing w:line="240" w:lineRule="auto"/>
        <w:ind w:left="1170" w:leftChars="100" w:hanging="960" w:hangingChars="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开户银行： </w:t>
      </w:r>
    </w:p>
    <w:p w14:paraId="73F16328">
      <w:pPr>
        <w:pStyle w:val="55"/>
        <w:numPr>
          <w:ilvl w:val="0"/>
          <w:numId w:val="0"/>
        </w:numPr>
        <w:spacing w:line="240" w:lineRule="auto"/>
        <w:ind w:left="1170" w:leftChars="100" w:hanging="960" w:hangingChars="400"/>
        <w:rPr>
          <w:sz w:val="24"/>
          <w:szCs w:val="24"/>
        </w:rPr>
      </w:pPr>
    </w:p>
    <w:p w14:paraId="5835E11F">
      <w:pPr>
        <w:pStyle w:val="55"/>
        <w:numPr>
          <w:ilvl w:val="0"/>
          <w:numId w:val="0"/>
        </w:numPr>
        <w:spacing w:line="240" w:lineRule="auto"/>
        <w:ind w:left="210" w:leftChars="100"/>
        <w:rPr>
          <w:sz w:val="24"/>
          <w:szCs w:val="24"/>
        </w:rPr>
      </w:pPr>
    </w:p>
    <w:p w14:paraId="364940BF">
      <w:pPr>
        <w:pStyle w:val="55"/>
        <w:numPr>
          <w:ilvl w:val="0"/>
          <w:numId w:val="0"/>
        </w:numPr>
        <w:spacing w:line="240" w:lineRule="auto"/>
        <w:ind w:left="210" w:leftChars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帐号： </w:t>
      </w:r>
    </w:p>
    <w:p w14:paraId="1F4D5005">
      <w:pPr>
        <w:pStyle w:val="55"/>
        <w:numPr>
          <w:ilvl w:val="0"/>
          <w:numId w:val="0"/>
        </w:numPr>
        <w:spacing w:line="240" w:lineRule="auto"/>
        <w:rPr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 w14:paraId="4E268D8F">
      <w:pPr>
        <w:pStyle w:val="55"/>
        <w:numPr>
          <w:ilvl w:val="0"/>
          <w:numId w:val="0"/>
        </w:numPr>
        <w:rPr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 w14:paraId="6C9BA894">
      <w:pPr>
        <w:rPr>
          <w:rFonts w:hAnsi="宋体" w:cs="宋体"/>
          <w:b/>
          <w:bCs/>
          <w:color w:val="000000"/>
        </w:rPr>
      </w:pPr>
    </w:p>
    <w:p w14:paraId="44D504D2">
      <w:pPr>
        <w:rPr>
          <w:rFonts w:hAnsi="宋体" w:cs="宋体"/>
          <w:b/>
          <w:bCs/>
          <w:color w:val="000000"/>
        </w:rPr>
      </w:pPr>
    </w:p>
    <w:p w14:paraId="54F86B73">
      <w:pPr>
        <w:rPr>
          <w:rFonts w:hAnsi="宋体" w:cs="宋体"/>
          <w:b/>
          <w:bCs/>
          <w:color w:val="000000"/>
        </w:rPr>
      </w:pPr>
      <w:r>
        <w:rPr>
          <w:rFonts w:hint="eastAsia" w:hAnsi="宋体" w:cs="宋体"/>
          <w:b/>
          <w:bCs/>
          <w:color w:val="000000"/>
        </w:rPr>
        <w:t>附件：2025年度安全生产物资定点采购项目清单</w:t>
      </w:r>
    </w:p>
    <w:tbl>
      <w:tblPr>
        <w:tblStyle w:val="1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662"/>
        <w:gridCol w:w="3179"/>
        <w:gridCol w:w="2585"/>
        <w:gridCol w:w="1384"/>
        <w:gridCol w:w="756"/>
        <w:gridCol w:w="1454"/>
      </w:tblGrid>
      <w:tr w14:paraId="11D4B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E327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2025年度安全生产物资定点采购项目清单</w:t>
            </w:r>
          </w:p>
        </w:tc>
      </w:tr>
      <w:tr w14:paraId="527A6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64E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A433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品类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C04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商品名（商品描述）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F399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规格（型号）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043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品牌（乙方须在给定的品牌范围内进行供货）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E02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4E8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合同单价</w:t>
            </w:r>
          </w:p>
        </w:tc>
      </w:tr>
      <w:tr w14:paraId="543BD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A92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74E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灭火救援器具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48E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ABC干粉手提式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974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4公斤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D370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联塑、桂安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024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具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8BA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65699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14F7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92D4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A08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ABC干粉推车式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492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30公斤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23C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联塑、桂安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513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具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345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6222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738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C6C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9EB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ABC干粉悬挂式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904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10公斤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188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联塑、桂安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4F5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具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55D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02E8F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947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538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25B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七氟丙烷悬挂式灭火器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E2F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10公斤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8E0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桂安、浙安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C2E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具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EE7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644A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270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980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C38F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自动灭火球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F84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4公斤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BDD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AFO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750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具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6FF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52E7B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237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B1A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213A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灭火器外箱(收纳2具4Kg手提式灭火器)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AF1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红色全铁质，厚0.6mm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80A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AAE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9ED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65E66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62B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EC6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799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灭火器外箱(收纳2具4Kg手提式灭火器)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88C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201不锈钢质，厚0.6mm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65E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693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E631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63966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48A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012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950A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消防沙箱（40cm*40cm*40cm，消防沙装填35cm）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073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红色全铁质，厚0.6mm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71A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BD4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CE9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087F9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C59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DD31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FFA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消防水带箱（65*80*24cm，收纳2条消防水带、2把消防水枪）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4FC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201不锈钢质，厚0.8mm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3D3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B66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A79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DE4E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F68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908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7AE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灭火毯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8A0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2*2m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68B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E89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78B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7788C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602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AEC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DCF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45D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4*4m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292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98F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417A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7CB4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375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E09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80A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消防面具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8C8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TZL30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0D5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联塑、桂安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32A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9D6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32C60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A1B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966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1E4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消防演练烟雾弹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1EC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橙色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A5D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7B0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1D6A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7AE3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DE1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528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五金类配件</w:t>
            </w: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647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自报警消防锤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E36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带声光报警消防锤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AEE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1B5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CD5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5CA5B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0B0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08F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7EB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消火栓门把手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8FE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铝合金配2颗自攻螺丝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254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286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5BB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70716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CA6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F24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CE0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单舌弹簧锁（铜芯互开）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E5F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708型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882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7416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26C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000B9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9E2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75A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303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消防门锁（管井锁）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569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互开款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145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93F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170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57A9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3DE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353F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722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消防门门锁、把手套装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F61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互开款，套装含门锁锁芯、门把手及配套螺丝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4F9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6AC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D21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6DCE9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00B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FE2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C27A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消防门闭门器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5D3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定位闭门器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5B1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749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444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2C61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D69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096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BB9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防火门防烟条（红色）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EE1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20*2mm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1CE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B05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5AC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50B8A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337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626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235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消火栓门（铁质红色）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EC2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89.5*59.5cm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E7C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CED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扇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5D4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C74B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ACE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20A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837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消火栓门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（铝合金边框灰色PVC红字）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F41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93*65cm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E99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ED5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扇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BEC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61695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A86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96F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CFF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F4D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60*65cm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725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90A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扇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91A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301C1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191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E2F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标识贴纸类</w:t>
            </w: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69F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PP背胶贴纸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（通用警示标识贴纸）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88C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5*5cm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995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949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7E5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7B691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E9B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F6C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E42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4D6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10*10cm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2CB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3C5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60A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6234B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EAF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BF7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530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AC8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20*30cm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1E6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8CD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B54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D702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030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891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944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30E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30*15cm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01B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5DF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CD5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A3EC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F91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448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AD9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CBC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12*50cm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745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7F0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1FF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C01F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0FD9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422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AAE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背胶户外车贴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（定制海报）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F4C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59*89cm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187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7A4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594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3F481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450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D82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C83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耐磨地贴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（荧光绿色安全出口地贴）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378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30*60cm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1A1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B41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188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9B80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CBE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516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7081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亚克力定制牌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（发泡双面胶安装）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416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40*30cm，厚度3mm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C99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1C8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61B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08B86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433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C61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48B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亚克力定制牌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（广告铆钉安装）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1DD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60*90cm，厚度3mm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913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287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017F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36442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26A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E02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消防水系统配件</w:t>
            </w: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EC5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消防水管卡箍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34D3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适配DN50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7E7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B8B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020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028BD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ECB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945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C73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A0B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适配DN65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098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B7F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56A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A810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675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C3B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6EB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186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适配DN100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5A6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91E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76C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73718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DD82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62B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97A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FAC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适配DN110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875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0F4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3E0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50528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AC5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F37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A3A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412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适配DN150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72E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FB4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BFD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76E1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838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36D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97F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B8F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适配DN200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D66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920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14D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0D9E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3FE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26B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C9E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1CB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适配DN250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6D9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5C7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1E0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000F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4B2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9C6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5E7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1A9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适配DN300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134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0F2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2F7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50C83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68E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72E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7EF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沟槽暗杆闸阀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6A7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适配DN50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89D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CEC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E7A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682CF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DFD7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357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8E4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20B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适配DN65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8FD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82D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E29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8D4D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A32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E06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4ED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A02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适配DN100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94B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D46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CCE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037F7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B0E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ABA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90C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0EB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适配DN110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DB5F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EA47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CC7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64449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CB6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0A2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A47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9FE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适配DN150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EC4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D35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674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343FD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F20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6A2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794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C2A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适配DN200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E74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27C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131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38510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E5C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9C9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B95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10C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适配DN250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709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C26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136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DC9A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CC9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2E1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951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7A3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适配DN300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BDE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3EE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98A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799A1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976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C92E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2C9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软密封法兰暗杆闸阀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（含2张法兰胶片及安装螺丝）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C407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适配DN50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139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5CD0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274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59288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E8D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347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E5F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190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适配DN65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EB2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9A0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E6A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5749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AAA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804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ACE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539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适配DN100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244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28D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B3B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38DE3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C13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F56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E8E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495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适配DN110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663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1AF3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5C7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640A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C22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F33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252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0F5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适配DN150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913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417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C97C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C25F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0D4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C78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E64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901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适配DN200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C92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76E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E2B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8291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AB3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0BC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FB7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82D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适配DN250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2AB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614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9A7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38832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ABF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137B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EFA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8D9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适配DN300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34C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288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D56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6B9EB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DAD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B2B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4DD6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马鞍式水流指示器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045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适配DN50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888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CCA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BCF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5DA7A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85E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55B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30D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372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适配DN100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8DF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158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C2C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B63D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1C4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98E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51D6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3508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适配DN150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2D1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6C5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299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06AB5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1B1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4E0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FB3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球墨哈夫节（抱箍）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686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适配DN50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4C7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E0F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D35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02A0E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238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901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A62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531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适配DN100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B31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B9C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E85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5FA78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5B5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B63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493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B7B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适配DN150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2D2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276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851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D45D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B35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14C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0E8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室内消火栓接头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722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SN65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727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0A1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522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F994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C09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80C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AEE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消防软管卷盘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F0E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JPS0.8- 19,25米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479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2FC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0A0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003BF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DCB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3F6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EBA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红色消防软管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F17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JPS0.8- 19,25米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12A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17A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3C0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D90D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EFC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409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1C8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消防软管喷头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088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DN25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EFF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9A6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764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B482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0A9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924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45D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不锈钢喉箍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A3A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十字65-89mm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048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515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078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692B8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114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F6E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7C3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565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双环钢丝箍19-22MM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806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1F3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1F2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5CA1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E7D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8BF3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632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消防软管盘阀门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7126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DN25球阀转PN16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FAA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F56B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CC4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7C7A3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8F2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342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E78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内扣接口有里衬消防水带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EB2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8型、65水带，25米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72B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桂安、沱雨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52D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C23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3C427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6E4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232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184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A4F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13型、65水带，25米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C8E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桂安、沱雨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DCDD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801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761DC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F09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5A4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310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快接接口有里衬消防水带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0CF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16型、65水带，25米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3FA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桂安、沱雨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817B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CF87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3F42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0B7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8A1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078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内扣式消防水带接头一对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8B6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适配65型水带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FD6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桂安、沱雨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3D8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对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0A4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3099A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3B7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3D3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7EF6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快接式消防水带接头一对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9C6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适配65型水带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AC0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桂安、沱雨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F7F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对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88C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3ED1E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979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7E1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1E7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直流式消防水枪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850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65型2.5寸加厚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716B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沱雨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5BC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2B9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0084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D74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D8D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E753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开关式消防水枪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D5A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65型2.5寸加厚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533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沱雨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E56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8EB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349A7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3B8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D64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64F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多功能消防水枪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1A0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多功能消防水枪65型配双接头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1F1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沱雨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7A9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10E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F1A7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B52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05E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BE5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喷淋管末端阀门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358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DN25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DB2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654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A002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010C2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7ED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58C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AF3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自动喷淋头上喷头（68°C），含配套装饰板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D12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DN15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FE5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019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8B6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0E3B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64E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76C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724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6B0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DN25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582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3B7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70C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5180C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100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277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2266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自动喷淋头下喷头（68°C），含配套装饰板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8A3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DN15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87C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35E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2E2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E5DB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706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F94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E06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468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DN25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15A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B0C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BDA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59C2D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977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7FA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8FC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抗震压力表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E06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YTN-100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D89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红旗仪表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A34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977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D2BC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4D42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9BF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E6F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缓冲管180°304不锈钢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9C9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内丝20*1.5，外丝4分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46B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D0A7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409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3E3A7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DEC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31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B1B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消防电系统</w:t>
            </w: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096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不锈钢安全出口指示牌（单面，电压自适应）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413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安全出口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FA5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289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C36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56F21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13D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CE6E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AD1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BD2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出口向右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B2F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CAF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87C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7129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E80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5A2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6C1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443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出口向左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F27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EBC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437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34379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77D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718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B4E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DEA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安全楼梯向右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AD0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79E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C00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99A9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F0C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EA6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5F4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D59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安全楼梯向左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80F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25A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9AD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6DF81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F91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5C5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645F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应急灯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D90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220V非集中款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6B7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9D6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3CD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7323C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DF4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0F9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165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F6A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24V或36V集中款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C54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B0D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盏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AD75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5ED9F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520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1C9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0B7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电池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ACF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12V5Ah/20HR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CD7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1F9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6AD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5C6F2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63A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DFB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462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E0D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12V7Ah/20HR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73E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774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1E4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0A9E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944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903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821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C31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12V12Ah/20HR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060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704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2AF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080C9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222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3A2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669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消防手报器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（面板及底座套装）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7E7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J-SAP-M-962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6E8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0003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68F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127F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991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AED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8B7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消火栓按钮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（面板及底座套装）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9E8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J-SAP-M-963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A96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C8E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C6E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33EE7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A88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050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43E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消防烟感探头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（面板及底座套装）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454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JTY-GD-930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F0F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B4D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0B6A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490B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B29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31D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D53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声光报警器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（面板及底座套装）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415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SG-993K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78C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400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97F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4E6E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0B1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0F9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555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消防温感探头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（面板及底座套装）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309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JTY-GD-920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6D9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1E8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4CC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318B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50B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BC2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3C6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防火门门磁开关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959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FJ-MC-07</w:t>
            </w:r>
            <w:bookmarkStart w:id="0" w:name="_GoBack"/>
            <w:bookmarkEnd w:id="0"/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BAA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AA2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8E2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5B4D6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FC6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F65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9C3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D66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FJ-MC-08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D85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632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F41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7936E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2EE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69E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5FE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防火控制盘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AD2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JB-FSD-982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99F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C44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550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4CEF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999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879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912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消防控制模块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（面板及底座套装）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70F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输入模块(JS-951)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5DF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B12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E54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BB1B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980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404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9A5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F46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输出模块(KZ-953)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174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66F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128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97CB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CDE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C94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672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AE5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输入输入输出模块(KZJ-956)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9D0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3DE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B52C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798B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364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FAF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1D6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528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隔离模块(GL-957)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847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110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0D5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CAA5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CA1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44FB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77C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消防编码器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430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F100B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2C3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382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C9B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35B1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D01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460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1C5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消防电话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684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DH9272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7A1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6D4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EC4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57991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B09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069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017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消防主机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3A2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MN310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464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D95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84F7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B7F3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53B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87E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204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ACC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JB-QBL-9108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1D58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C94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D32A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681C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5F6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B902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D11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消防机主板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F1E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MN310_CAN1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E56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3EC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BC8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04C45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C29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864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0DB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43B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MN310_B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134F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E60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62B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ECE1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A47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D40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DB4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147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MN310-A_324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931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439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FC3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7AD41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6CD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184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79A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B7D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ZB-9100-A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969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5CA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AE4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F398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BA9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470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FE1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30D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JB-QBL-9108-A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88B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B37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CE2F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33F7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A3E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CD5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F7C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C65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MN310_TVS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1A5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552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680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61E74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AE5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1AB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C02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6C6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KZJ-LD5-03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A2B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EEA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0CA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7A099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17D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7B8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DD22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1C1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QBL9116-G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261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659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1F9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66E2B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BA0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F7D4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579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D2C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QBL9116_DX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CC5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E0C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E0C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0AC7C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3F3D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420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491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B52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ZB-9100-H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9CD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B7AF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C215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1A578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832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6BD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3D6D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F5F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RCY-10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F92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3CCA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BBBB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228F0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FC1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A895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594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902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QBL9116_SK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FF7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400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CA9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73C20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988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5A20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B66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热敏打印机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544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PINTER01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AD3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7142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3FB9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6ADF8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E64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DF7C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01B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F32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PINTER02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0ED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A58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4007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EFFE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4B7D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8188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C3BC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协议型CAN总线隔离中继器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358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SJ-ZJ-C310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B9C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745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2A33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40B04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724B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F07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BB1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电源模块</w:t>
            </w: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F0519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MN310主机电源模块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134B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F866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7851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0F924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1B9A0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254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414E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4B63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PB-10电源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3D81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9FF7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7E82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  <w:tr w14:paraId="5F5C8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26B4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31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0A2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B226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  <w:tc>
          <w:tcPr>
            <w:tcW w:w="1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1CA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FL-A01防雷模块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5A52E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泛海三江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E6C5">
            <w:pPr>
              <w:widowControl/>
              <w:jc w:val="center"/>
              <w:textAlignment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F15F">
            <w:pPr>
              <w:jc w:val="center"/>
              <w:rPr>
                <w:rFonts w:ascii="CESI仿宋-GB2312" w:hAnsi="CESI仿宋-GB2312" w:eastAsia="CESI仿宋-GB2312" w:cs="CESI仿宋-GB2312"/>
                <w:color w:val="000000"/>
                <w:szCs w:val="21"/>
              </w:rPr>
            </w:pPr>
          </w:p>
        </w:tc>
      </w:tr>
    </w:tbl>
    <w:p w14:paraId="7316DFC0">
      <w:pPr>
        <w:autoSpaceDE w:val="0"/>
        <w:spacing w:line="360" w:lineRule="auto"/>
        <w:rPr>
          <w:rFonts w:ascii="宋体" w:hAnsi="宋体" w:eastAsia="宋体"/>
          <w:color w:val="000000"/>
          <w:sz w:val="24"/>
          <w:szCs w:val="24"/>
        </w:rPr>
      </w:pPr>
    </w:p>
    <w:sectPr>
      <w:type w:val="continuous"/>
      <w:pgSz w:w="11906" w:h="16838"/>
      <w:pgMar w:top="720" w:right="720" w:bottom="720" w:left="720" w:header="720" w:footer="720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070AB"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0"/>
    <w:multiLevelType w:val="multilevel"/>
    <w:tmpl w:val="0000001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 w:ascii="宋体" w:hAnsi="宋体" w:eastAsia="宋体" w:cs="Times New Roman"/>
        <w:b w:val="0"/>
        <w:dstrike w:val="0"/>
      </w:rPr>
    </w:lvl>
    <w:lvl w:ilvl="2" w:tentative="0">
      <w:start w:val="1"/>
      <w:numFmt w:val="decimal"/>
      <w:lvlText w:val="%1.%2.%3"/>
      <w:lvlJc w:val="left"/>
      <w:pPr>
        <w:tabs>
          <w:tab w:val="left" w:pos="1703"/>
        </w:tabs>
        <w:ind w:left="1703" w:hanging="851"/>
      </w:pPr>
      <w:rPr>
        <w:rFonts w:hint="default" w:ascii="宋体" w:hAnsi="宋体" w:eastAsia="宋体" w:cs="Times New Roman"/>
        <w:b w:val="0"/>
        <w:color w:val="auto"/>
        <w:sz w:val="21"/>
        <w:szCs w:val="21"/>
      </w:rPr>
    </w:lvl>
    <w:lvl w:ilvl="3" w:tentative="0">
      <w:start w:val="1"/>
      <w:numFmt w:val="decimal"/>
      <w:pStyle w:val="30"/>
      <w:lvlText w:val="%1.%2.%3.%4"/>
      <w:lvlJc w:val="left"/>
      <w:pPr>
        <w:tabs>
          <w:tab w:val="left" w:pos="851"/>
        </w:tabs>
        <w:ind w:left="851" w:hanging="851"/>
      </w:pPr>
      <w:rPr>
        <w:rFonts w:hint="eastAsia"/>
        <w:dstrike w:val="0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0E185C47"/>
    <w:multiLevelType w:val="multilevel"/>
    <w:tmpl w:val="0E185C47"/>
    <w:lvl w:ilvl="0" w:tentative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hint="default"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80" w:hanging="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320" w:hanging="44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760" w:hanging="44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200" w:hanging="44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hint="default" w:ascii="Times New Roman" w:hAnsi="Times New Roman" w:cs="Times New Roman"/>
      </w:rPr>
    </w:lvl>
  </w:abstractNum>
  <w:abstractNum w:abstractNumId="2">
    <w:nsid w:val="14D96D82"/>
    <w:multiLevelType w:val="multilevel"/>
    <w:tmpl w:val="14D96D82"/>
    <w:lvl w:ilvl="0" w:tentative="0">
      <w:start w:val="1"/>
      <w:numFmt w:val="chineseCountingThousand"/>
      <w:suff w:val="nothing"/>
      <w:lvlText w:val="(%1)"/>
      <w:lvlJc w:val="left"/>
      <w:pPr>
        <w:ind w:left="440" w:hanging="440"/>
      </w:pPr>
      <w:rPr>
        <w:rFonts w:hint="default"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80" w:hanging="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320" w:hanging="44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760" w:hanging="44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200" w:hanging="44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hint="default" w:ascii="Times New Roman" w:hAnsi="Times New Roman" w:cs="Times New Roman"/>
      </w:rPr>
    </w:lvl>
  </w:abstractNum>
  <w:abstractNum w:abstractNumId="3">
    <w:nsid w:val="16087778"/>
    <w:multiLevelType w:val="multilevel"/>
    <w:tmpl w:val="16087778"/>
    <w:lvl w:ilvl="0" w:tentative="0">
      <w:start w:val="1"/>
      <w:numFmt w:val="chineseCountingThousand"/>
      <w:suff w:val="nothing"/>
      <w:lvlText w:val="(%1)"/>
      <w:lvlJc w:val="left"/>
      <w:pPr>
        <w:ind w:left="440" w:hanging="440"/>
      </w:pPr>
      <w:rPr>
        <w:rFonts w:hint="default"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80" w:hanging="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320" w:hanging="44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760" w:hanging="44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200" w:hanging="44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hint="default" w:ascii="Times New Roman" w:hAnsi="Times New Roman" w:cs="Times New Roman"/>
      </w:rPr>
    </w:lvl>
  </w:abstractNum>
  <w:abstractNum w:abstractNumId="4">
    <w:nsid w:val="1C2F72D3"/>
    <w:multiLevelType w:val="multilevel"/>
    <w:tmpl w:val="1C2F72D3"/>
    <w:lvl w:ilvl="0" w:tentative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japaneseCounting"/>
      <w:lvlText w:val="(%2)"/>
      <w:lvlJc w:val="left"/>
      <w:pPr>
        <w:ind w:left="80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320" w:hanging="44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760" w:hanging="44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200" w:hanging="44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hint="default" w:ascii="Times New Roman" w:hAnsi="Times New Roman" w:cs="Times New Roman"/>
      </w:rPr>
    </w:lvl>
  </w:abstractNum>
  <w:abstractNum w:abstractNumId="5">
    <w:nsid w:val="1EB00AA7"/>
    <w:multiLevelType w:val="multilevel"/>
    <w:tmpl w:val="1EB00AA7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860"/>
        </w:tabs>
        <w:ind w:left="1860" w:hanging="360"/>
      </w:pPr>
    </w:lvl>
    <w:lvl w:ilvl="2" w:tentative="0">
      <w:start w:val="1"/>
      <w:numFmt w:val="decimal"/>
      <w:lvlText w:val="%3."/>
      <w:lvlJc w:val="left"/>
      <w:pPr>
        <w:tabs>
          <w:tab w:val="left" w:pos="2580"/>
        </w:tabs>
        <w:ind w:left="2580" w:hanging="360"/>
      </w:p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360"/>
      </w:pPr>
    </w:lvl>
    <w:lvl w:ilvl="4" w:tentative="0">
      <w:start w:val="1"/>
      <w:numFmt w:val="decimal"/>
      <w:lvlText w:val="%5."/>
      <w:lvlJc w:val="left"/>
      <w:pPr>
        <w:tabs>
          <w:tab w:val="left" w:pos="4020"/>
        </w:tabs>
        <w:ind w:left="4020" w:hanging="360"/>
      </w:pPr>
    </w:lvl>
    <w:lvl w:ilvl="5" w:tentative="0">
      <w:start w:val="1"/>
      <w:numFmt w:val="decimal"/>
      <w:lvlText w:val="%6."/>
      <w:lvlJc w:val="left"/>
      <w:pPr>
        <w:tabs>
          <w:tab w:val="left" w:pos="4740"/>
        </w:tabs>
        <w:ind w:left="4740" w:hanging="360"/>
      </w:pPr>
    </w:lvl>
    <w:lvl w:ilvl="6" w:tentative="0">
      <w:start w:val="1"/>
      <w:numFmt w:val="decimal"/>
      <w:lvlText w:val="%7."/>
      <w:lvlJc w:val="left"/>
      <w:pPr>
        <w:tabs>
          <w:tab w:val="left" w:pos="5460"/>
        </w:tabs>
        <w:ind w:left="5460" w:hanging="360"/>
      </w:pPr>
    </w:lvl>
    <w:lvl w:ilvl="7" w:tentative="0">
      <w:start w:val="1"/>
      <w:numFmt w:val="decimal"/>
      <w:lvlText w:val="%8."/>
      <w:lvlJc w:val="left"/>
      <w:pPr>
        <w:tabs>
          <w:tab w:val="left" w:pos="6180"/>
        </w:tabs>
        <w:ind w:left="6180" w:hanging="360"/>
      </w:pPr>
    </w:lvl>
    <w:lvl w:ilvl="8" w:tentative="0">
      <w:start w:val="1"/>
      <w:numFmt w:val="decimal"/>
      <w:lvlText w:val="%9."/>
      <w:lvlJc w:val="left"/>
      <w:pPr>
        <w:tabs>
          <w:tab w:val="left" w:pos="6900"/>
        </w:tabs>
        <w:ind w:left="6900" w:hanging="360"/>
      </w:pPr>
    </w:lvl>
  </w:abstractNum>
  <w:abstractNum w:abstractNumId="6">
    <w:nsid w:val="296B2505"/>
    <w:multiLevelType w:val="multilevel"/>
    <w:tmpl w:val="296B2505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C9F0BA4"/>
    <w:multiLevelType w:val="multilevel"/>
    <w:tmpl w:val="2C9F0BA4"/>
    <w:lvl w:ilvl="0" w:tentative="0">
      <w:start w:val="1"/>
      <w:numFmt w:val="decimal"/>
      <w:lvlText w:val="（%1）"/>
      <w:lvlJc w:val="left"/>
      <w:pPr>
        <w:tabs>
          <w:tab w:val="left" w:pos="425"/>
        </w:tabs>
        <w:ind w:left="425" w:hanging="425"/>
      </w:pPr>
      <w:rPr>
        <w:rFonts w:hint="eastAsia"/>
        <w:b w:val="0"/>
        <w:color w:val="auto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8">
    <w:nsid w:val="2DF25939"/>
    <w:multiLevelType w:val="multilevel"/>
    <w:tmpl w:val="2DF25939"/>
    <w:lvl w:ilvl="0" w:tentative="0">
      <w:start w:val="1"/>
      <w:numFmt w:val="chineseCountingThousand"/>
      <w:suff w:val="nothing"/>
      <w:lvlText w:val="(%1)"/>
      <w:lvlJc w:val="left"/>
      <w:pPr>
        <w:ind w:left="860" w:hanging="440"/>
      </w:pPr>
      <w:rPr>
        <w:rFonts w:hint="eastAsia" w:ascii="宋体" w:hAnsi="宋体" w:eastAsia="宋体"/>
      </w:rPr>
    </w:lvl>
    <w:lvl w:ilvl="1" w:tentative="0">
      <w:start w:val="1"/>
      <w:numFmt w:val="japaneseCounting"/>
      <w:lvlText w:val="(%2)"/>
      <w:lvlJc w:val="left"/>
      <w:pPr>
        <w:ind w:left="80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320" w:hanging="44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760" w:hanging="44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200" w:hanging="44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hint="default" w:ascii="Times New Roman" w:hAnsi="Times New Roman" w:cs="Times New Roman"/>
      </w:rPr>
    </w:lvl>
  </w:abstractNum>
  <w:abstractNum w:abstractNumId="9">
    <w:nsid w:val="32D72CC8"/>
    <w:multiLevelType w:val="multilevel"/>
    <w:tmpl w:val="32D72CC8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35B4039"/>
    <w:multiLevelType w:val="multilevel"/>
    <w:tmpl w:val="435B4039"/>
    <w:lvl w:ilvl="0" w:tentative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hint="default"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80" w:hanging="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320" w:hanging="44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760" w:hanging="44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200" w:hanging="44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hint="default" w:ascii="Times New Roman" w:hAnsi="Times New Roman" w:cs="Times New Roman"/>
      </w:rPr>
    </w:lvl>
  </w:abstractNum>
  <w:abstractNum w:abstractNumId="11">
    <w:nsid w:val="4C2A3851"/>
    <w:multiLevelType w:val="multilevel"/>
    <w:tmpl w:val="4C2A3851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80" w:hanging="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320" w:hanging="44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760" w:hanging="44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200" w:hanging="44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hint="default" w:ascii="Times New Roman" w:hAnsi="Times New Roman" w:cs="Times New Roman"/>
      </w:rPr>
    </w:lvl>
  </w:abstractNum>
  <w:abstractNum w:abstractNumId="12">
    <w:nsid w:val="4CC55870"/>
    <w:multiLevelType w:val="multilevel"/>
    <w:tmpl w:val="4CC55870"/>
    <w:lvl w:ilvl="0" w:tentative="0">
      <w:start w:val="1"/>
      <w:numFmt w:val="decimal"/>
      <w:pStyle w:val="55"/>
      <w:lvlText w:val="%1."/>
      <w:lvlJc w:val="left"/>
      <w:pPr>
        <w:ind w:left="1280" w:hanging="440"/>
      </w:pPr>
      <w:rPr>
        <w:rFonts w:hint="default" w:ascii="仿宋" w:hAnsi="仿宋" w:eastAsia="仿宋" w:cs="Times New Roman"/>
      </w:rPr>
    </w:lvl>
    <w:lvl w:ilvl="1" w:tentative="0">
      <w:start w:val="1"/>
      <w:numFmt w:val="lowerLetter"/>
      <w:lvlText w:val="%2)"/>
      <w:lvlJc w:val="left"/>
      <w:pPr>
        <w:ind w:left="1720" w:hanging="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44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600" w:hanging="44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040" w:hanging="44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480" w:hanging="44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920" w:hanging="4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4360" w:hanging="44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800" w:hanging="440"/>
      </w:pPr>
      <w:rPr>
        <w:rFonts w:hint="default" w:ascii="Times New Roman" w:hAnsi="Times New Roman" w:cs="Times New Roman"/>
      </w:rPr>
    </w:lvl>
  </w:abstractNum>
  <w:abstractNum w:abstractNumId="13">
    <w:nsid w:val="5A037C68"/>
    <w:multiLevelType w:val="multilevel"/>
    <w:tmpl w:val="5A037C68"/>
    <w:lvl w:ilvl="0" w:tentative="0">
      <w:start w:val="1"/>
      <w:numFmt w:val="chineseCountingThousand"/>
      <w:pStyle w:val="44"/>
      <w:suff w:val="space"/>
      <w:lvlText w:val="第%1章"/>
      <w:lvlJc w:val="left"/>
      <w:pPr>
        <w:ind w:left="3260" w:hanging="425"/>
      </w:pPr>
      <w:rPr>
        <w:rFonts w:hint="eastAsia"/>
      </w:rPr>
    </w:lvl>
    <w:lvl w:ilvl="1" w:tentative="0">
      <w:start w:val="1"/>
      <w:numFmt w:val="decimal"/>
      <w:pStyle w:val="45"/>
      <w:isLgl/>
      <w:suff w:val="space"/>
      <w:lvlText w:val="%1.%2"/>
      <w:lvlJc w:val="left"/>
      <w:pPr>
        <w:ind w:left="1276" w:hanging="992"/>
      </w:pPr>
      <w:rPr>
        <w:rFonts w:hint="default" w:asciiTheme="minorHAnsi" w:hAnsiTheme="minorHAnsi" w:cstheme="minorHAnsi"/>
        <w:b/>
        <w:sz w:val="36"/>
        <w:szCs w:val="36"/>
        <w:lang w:val="en-US"/>
      </w:rPr>
    </w:lvl>
    <w:lvl w:ilvl="2" w:tentative="0">
      <w:start w:val="1"/>
      <w:numFmt w:val="decimal"/>
      <w:pStyle w:val="46"/>
      <w:isLgl/>
      <w:suff w:val="space"/>
      <w:lvlText w:val="%1.%2.%3"/>
      <w:lvlJc w:val="left"/>
      <w:pPr>
        <w:ind w:left="2552" w:hanging="1418"/>
      </w:pPr>
      <w:rPr>
        <w:rFonts w:hint="eastAsia"/>
        <w:b/>
        <w:lang w:val="en-US"/>
      </w:rPr>
    </w:lvl>
    <w:lvl w:ilvl="3" w:tentative="0">
      <w:start w:val="1"/>
      <w:numFmt w:val="decimal"/>
      <w:pStyle w:val="48"/>
      <w:isLgl/>
      <w:suff w:val="space"/>
      <w:lvlText w:val="%1.%2.%3.%4"/>
      <w:lvlJc w:val="left"/>
      <w:pPr>
        <w:ind w:left="2268" w:hanging="1984"/>
      </w:pPr>
      <w:rPr>
        <w:rFonts w:hint="eastAsia"/>
      </w:rPr>
    </w:lvl>
    <w:lvl w:ilvl="4" w:tentative="0">
      <w:start w:val="1"/>
      <w:numFmt w:val="decimal"/>
      <w:pStyle w:val="49"/>
      <w:suff w:val="space"/>
      <w:lvlText w:val="§4.%2.%3.%4.%5"/>
      <w:lvlJc w:val="left"/>
      <w:pPr>
        <w:ind w:left="1985" w:hanging="198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5102" w:hanging="1700"/>
      </w:pPr>
      <w:rPr>
        <w:rFonts w:hint="eastAsia"/>
      </w:rPr>
    </w:lvl>
  </w:abstractNum>
  <w:abstractNum w:abstractNumId="14">
    <w:nsid w:val="63A73B57"/>
    <w:multiLevelType w:val="multilevel"/>
    <w:tmpl w:val="63A73B57"/>
    <w:lvl w:ilvl="0" w:tentative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80" w:hanging="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320" w:hanging="44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760" w:hanging="44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200" w:hanging="44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hint="default" w:ascii="Times New Roman" w:hAnsi="Times New Roman" w:cs="Times New Roman"/>
      </w:rPr>
    </w:lvl>
  </w:abstractNum>
  <w:abstractNum w:abstractNumId="15">
    <w:nsid w:val="737813E0"/>
    <w:multiLevelType w:val="multilevel"/>
    <w:tmpl w:val="737813E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A846717"/>
    <w:multiLevelType w:val="multilevel"/>
    <w:tmpl w:val="7A846717"/>
    <w:lvl w:ilvl="0" w:tentative="0">
      <w:start w:val="1"/>
      <w:numFmt w:val="decimal"/>
      <w:lvlText w:val="（%1）"/>
      <w:lvlJc w:val="left"/>
      <w:pPr>
        <w:tabs>
          <w:tab w:val="left" w:pos="425"/>
        </w:tabs>
        <w:ind w:left="425" w:hanging="425"/>
      </w:pPr>
      <w:rPr>
        <w:rFonts w:hint="eastAsia"/>
        <w:color w:val="auto"/>
        <w:sz w:val="21"/>
        <w:szCs w:val="21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7">
    <w:nsid w:val="7B523C64"/>
    <w:multiLevelType w:val="multilevel"/>
    <w:tmpl w:val="7B523C64"/>
    <w:lvl w:ilvl="0" w:tentative="0">
      <w:start w:val="1"/>
      <w:numFmt w:val="chineseCountingThousand"/>
      <w:lvlText w:val="(%1)"/>
      <w:lvlJc w:val="left"/>
      <w:pPr>
        <w:ind w:left="420" w:hanging="420"/>
      </w:pPr>
      <w:rPr>
        <w:rFonts w:asciiTheme="minorEastAsia" w:hAnsiTheme="minorEastAsia" w:eastAsiaTheme="minorEastAsia"/>
      </w:rPr>
    </w:lvl>
    <w:lvl w:ilvl="1" w:tentative="0">
      <w:start w:val="1"/>
      <w:numFmt w:val="japaneseCounting"/>
      <w:lvlText w:val="（%2）"/>
      <w:lvlJc w:val="left"/>
      <w:pPr>
        <w:ind w:left="1146" w:hanging="720"/>
      </w:pPr>
      <w:rPr>
        <w:rFonts w:hint="default"/>
        <w:lang w:val="en-US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17"/>
  </w:num>
  <w:num w:numId="7">
    <w:abstractNumId w:val="15"/>
  </w:num>
  <w:num w:numId="8">
    <w:abstractNumId w:val="6"/>
  </w:num>
  <w:num w:numId="9">
    <w:abstractNumId w:val="16"/>
  </w:num>
  <w:num w:numId="10">
    <w:abstractNumId w:val="7"/>
  </w:num>
  <w:num w:numId="11">
    <w:abstractNumId w:val="2"/>
  </w:num>
  <w:num w:numId="12">
    <w:abstractNumId w:val="14"/>
  </w:num>
  <w:num w:numId="13">
    <w:abstractNumId w:val="11"/>
  </w:num>
  <w:num w:numId="14">
    <w:abstractNumId w:val="3"/>
  </w:num>
  <w:num w:numId="15">
    <w:abstractNumId w:val="10"/>
  </w:num>
  <w:num w:numId="16">
    <w:abstractNumId w:val="4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N2NiMGZhNzBiM2Y1NmZkNjFjNmMzMmYwYmNhMTAifQ=="/>
  </w:docVars>
  <w:rsids>
    <w:rsidRoot w:val="00603670"/>
    <w:rsid w:val="0000298A"/>
    <w:rsid w:val="0000467F"/>
    <w:rsid w:val="00011A82"/>
    <w:rsid w:val="000163AB"/>
    <w:rsid w:val="00027036"/>
    <w:rsid w:val="00042B6B"/>
    <w:rsid w:val="000431C9"/>
    <w:rsid w:val="00045E6F"/>
    <w:rsid w:val="00050534"/>
    <w:rsid w:val="00052798"/>
    <w:rsid w:val="00053978"/>
    <w:rsid w:val="0005463F"/>
    <w:rsid w:val="000565F1"/>
    <w:rsid w:val="0006472A"/>
    <w:rsid w:val="00067493"/>
    <w:rsid w:val="00072D57"/>
    <w:rsid w:val="0007482D"/>
    <w:rsid w:val="000749D9"/>
    <w:rsid w:val="00075391"/>
    <w:rsid w:val="00082CDE"/>
    <w:rsid w:val="000832A1"/>
    <w:rsid w:val="00083BE6"/>
    <w:rsid w:val="00086BDC"/>
    <w:rsid w:val="0009282E"/>
    <w:rsid w:val="000A6C4C"/>
    <w:rsid w:val="000A6EAA"/>
    <w:rsid w:val="000B040C"/>
    <w:rsid w:val="000B3F59"/>
    <w:rsid w:val="000B4E07"/>
    <w:rsid w:val="000C5ABD"/>
    <w:rsid w:val="000D5C55"/>
    <w:rsid w:val="000E1199"/>
    <w:rsid w:val="000E4C42"/>
    <w:rsid w:val="000F1249"/>
    <w:rsid w:val="000F423D"/>
    <w:rsid w:val="00100860"/>
    <w:rsid w:val="001022AB"/>
    <w:rsid w:val="00107E2D"/>
    <w:rsid w:val="00111680"/>
    <w:rsid w:val="0011556A"/>
    <w:rsid w:val="00116EDF"/>
    <w:rsid w:val="00123BEA"/>
    <w:rsid w:val="001304CF"/>
    <w:rsid w:val="00132FE1"/>
    <w:rsid w:val="00140AD2"/>
    <w:rsid w:val="00145AE8"/>
    <w:rsid w:val="0015320F"/>
    <w:rsid w:val="0016171E"/>
    <w:rsid w:val="00175ECB"/>
    <w:rsid w:val="001775AE"/>
    <w:rsid w:val="00182BE9"/>
    <w:rsid w:val="00184D98"/>
    <w:rsid w:val="001863E0"/>
    <w:rsid w:val="00193765"/>
    <w:rsid w:val="001A0DDF"/>
    <w:rsid w:val="001A2C19"/>
    <w:rsid w:val="001A3440"/>
    <w:rsid w:val="001A769F"/>
    <w:rsid w:val="001B0A70"/>
    <w:rsid w:val="001B3438"/>
    <w:rsid w:val="001B74DB"/>
    <w:rsid w:val="001C071E"/>
    <w:rsid w:val="001C3D61"/>
    <w:rsid w:val="001C43C7"/>
    <w:rsid w:val="001C6BE3"/>
    <w:rsid w:val="001C7EAF"/>
    <w:rsid w:val="001D1026"/>
    <w:rsid w:val="001D33E6"/>
    <w:rsid w:val="001D3E3B"/>
    <w:rsid w:val="001E3291"/>
    <w:rsid w:val="001E48AC"/>
    <w:rsid w:val="001E4D28"/>
    <w:rsid w:val="001E5C33"/>
    <w:rsid w:val="001F3F8C"/>
    <w:rsid w:val="0020323E"/>
    <w:rsid w:val="002056C6"/>
    <w:rsid w:val="00207081"/>
    <w:rsid w:val="00215C82"/>
    <w:rsid w:val="00232638"/>
    <w:rsid w:val="002379C7"/>
    <w:rsid w:val="0024390D"/>
    <w:rsid w:val="00251790"/>
    <w:rsid w:val="00253352"/>
    <w:rsid w:val="00262DAA"/>
    <w:rsid w:val="0026399A"/>
    <w:rsid w:val="002674A4"/>
    <w:rsid w:val="00270E13"/>
    <w:rsid w:val="00274FF8"/>
    <w:rsid w:val="002823CC"/>
    <w:rsid w:val="00283853"/>
    <w:rsid w:val="00283A1B"/>
    <w:rsid w:val="002920CA"/>
    <w:rsid w:val="0029296F"/>
    <w:rsid w:val="00293F3E"/>
    <w:rsid w:val="002A1D82"/>
    <w:rsid w:val="002A1FE5"/>
    <w:rsid w:val="002A50F6"/>
    <w:rsid w:val="002B2992"/>
    <w:rsid w:val="002B4DF8"/>
    <w:rsid w:val="002B6918"/>
    <w:rsid w:val="002B6EEB"/>
    <w:rsid w:val="002C2E94"/>
    <w:rsid w:val="002C310D"/>
    <w:rsid w:val="002C7CC8"/>
    <w:rsid w:val="002D38B1"/>
    <w:rsid w:val="002D4EBD"/>
    <w:rsid w:val="002D5B83"/>
    <w:rsid w:val="002E0263"/>
    <w:rsid w:val="002E2DEA"/>
    <w:rsid w:val="002E61D3"/>
    <w:rsid w:val="002E66A9"/>
    <w:rsid w:val="002F352E"/>
    <w:rsid w:val="002F4A33"/>
    <w:rsid w:val="002F5E67"/>
    <w:rsid w:val="0031356B"/>
    <w:rsid w:val="0032150E"/>
    <w:rsid w:val="00327C22"/>
    <w:rsid w:val="003309BC"/>
    <w:rsid w:val="00332AF3"/>
    <w:rsid w:val="00336F07"/>
    <w:rsid w:val="00342E19"/>
    <w:rsid w:val="00355F34"/>
    <w:rsid w:val="00361074"/>
    <w:rsid w:val="00366797"/>
    <w:rsid w:val="003818F2"/>
    <w:rsid w:val="00383905"/>
    <w:rsid w:val="00384761"/>
    <w:rsid w:val="00392176"/>
    <w:rsid w:val="00392847"/>
    <w:rsid w:val="00393D24"/>
    <w:rsid w:val="00394537"/>
    <w:rsid w:val="00395A64"/>
    <w:rsid w:val="00395C9C"/>
    <w:rsid w:val="003A0FFD"/>
    <w:rsid w:val="003A3D21"/>
    <w:rsid w:val="003A6594"/>
    <w:rsid w:val="003B0A20"/>
    <w:rsid w:val="003B48C0"/>
    <w:rsid w:val="003B4A3E"/>
    <w:rsid w:val="003B5D20"/>
    <w:rsid w:val="003C419C"/>
    <w:rsid w:val="003C5908"/>
    <w:rsid w:val="003D2DE8"/>
    <w:rsid w:val="003D3C42"/>
    <w:rsid w:val="003E273C"/>
    <w:rsid w:val="003E4186"/>
    <w:rsid w:val="003E7F12"/>
    <w:rsid w:val="003F38D5"/>
    <w:rsid w:val="00403AB2"/>
    <w:rsid w:val="00412749"/>
    <w:rsid w:val="00413C65"/>
    <w:rsid w:val="00413C99"/>
    <w:rsid w:val="004211A3"/>
    <w:rsid w:val="00425F66"/>
    <w:rsid w:val="00431DBE"/>
    <w:rsid w:val="00433B9F"/>
    <w:rsid w:val="00440B03"/>
    <w:rsid w:val="00452633"/>
    <w:rsid w:val="00452AC6"/>
    <w:rsid w:val="004535E8"/>
    <w:rsid w:val="004556E5"/>
    <w:rsid w:val="00456ED5"/>
    <w:rsid w:val="0045760A"/>
    <w:rsid w:val="004610D7"/>
    <w:rsid w:val="004613B9"/>
    <w:rsid w:val="0047081D"/>
    <w:rsid w:val="004765F8"/>
    <w:rsid w:val="00476745"/>
    <w:rsid w:val="00476899"/>
    <w:rsid w:val="00484EBC"/>
    <w:rsid w:val="00491492"/>
    <w:rsid w:val="00492B35"/>
    <w:rsid w:val="00493336"/>
    <w:rsid w:val="00494623"/>
    <w:rsid w:val="00496883"/>
    <w:rsid w:val="004A1AB6"/>
    <w:rsid w:val="004A36A8"/>
    <w:rsid w:val="004B4136"/>
    <w:rsid w:val="004B57DA"/>
    <w:rsid w:val="004B7182"/>
    <w:rsid w:val="004C523B"/>
    <w:rsid w:val="004D2165"/>
    <w:rsid w:val="004D2617"/>
    <w:rsid w:val="004D2A3E"/>
    <w:rsid w:val="004D491B"/>
    <w:rsid w:val="004D6786"/>
    <w:rsid w:val="004D6D34"/>
    <w:rsid w:val="004E3790"/>
    <w:rsid w:val="004F1479"/>
    <w:rsid w:val="005007B2"/>
    <w:rsid w:val="00501334"/>
    <w:rsid w:val="00501F2E"/>
    <w:rsid w:val="00521996"/>
    <w:rsid w:val="00522280"/>
    <w:rsid w:val="00527993"/>
    <w:rsid w:val="005316BD"/>
    <w:rsid w:val="00533B92"/>
    <w:rsid w:val="00534F6E"/>
    <w:rsid w:val="00535EEC"/>
    <w:rsid w:val="005426D8"/>
    <w:rsid w:val="005456E9"/>
    <w:rsid w:val="005462F7"/>
    <w:rsid w:val="00552113"/>
    <w:rsid w:val="005521A5"/>
    <w:rsid w:val="00555B34"/>
    <w:rsid w:val="00555C6F"/>
    <w:rsid w:val="00565168"/>
    <w:rsid w:val="005656FE"/>
    <w:rsid w:val="005678E8"/>
    <w:rsid w:val="005811E6"/>
    <w:rsid w:val="00581598"/>
    <w:rsid w:val="00585A83"/>
    <w:rsid w:val="00591BC0"/>
    <w:rsid w:val="00593C7A"/>
    <w:rsid w:val="00594083"/>
    <w:rsid w:val="00594BBB"/>
    <w:rsid w:val="00597F26"/>
    <w:rsid w:val="005A473C"/>
    <w:rsid w:val="005B1D70"/>
    <w:rsid w:val="005B3699"/>
    <w:rsid w:val="005B3711"/>
    <w:rsid w:val="005C064C"/>
    <w:rsid w:val="005C3A40"/>
    <w:rsid w:val="005D72B7"/>
    <w:rsid w:val="005D796C"/>
    <w:rsid w:val="005E4015"/>
    <w:rsid w:val="005E4E73"/>
    <w:rsid w:val="005E748F"/>
    <w:rsid w:val="005F00ED"/>
    <w:rsid w:val="005F0A32"/>
    <w:rsid w:val="005F14D1"/>
    <w:rsid w:val="005F4F7A"/>
    <w:rsid w:val="005F6D53"/>
    <w:rsid w:val="00603670"/>
    <w:rsid w:val="006037D5"/>
    <w:rsid w:val="00616532"/>
    <w:rsid w:val="00616AE3"/>
    <w:rsid w:val="00616FCE"/>
    <w:rsid w:val="00620F2C"/>
    <w:rsid w:val="00627F1C"/>
    <w:rsid w:val="0063218B"/>
    <w:rsid w:val="00635185"/>
    <w:rsid w:val="00636814"/>
    <w:rsid w:val="0064715C"/>
    <w:rsid w:val="0066018A"/>
    <w:rsid w:val="00661499"/>
    <w:rsid w:val="00673379"/>
    <w:rsid w:val="006753B4"/>
    <w:rsid w:val="00675EEA"/>
    <w:rsid w:val="00675F24"/>
    <w:rsid w:val="00677610"/>
    <w:rsid w:val="006779F7"/>
    <w:rsid w:val="00680244"/>
    <w:rsid w:val="006817FD"/>
    <w:rsid w:val="006923B3"/>
    <w:rsid w:val="006A10E6"/>
    <w:rsid w:val="006A4C9D"/>
    <w:rsid w:val="006A61C8"/>
    <w:rsid w:val="006A703E"/>
    <w:rsid w:val="006B07B5"/>
    <w:rsid w:val="006B1BFB"/>
    <w:rsid w:val="006B764E"/>
    <w:rsid w:val="006D213E"/>
    <w:rsid w:val="006D55BD"/>
    <w:rsid w:val="006D5FC6"/>
    <w:rsid w:val="006D7DC9"/>
    <w:rsid w:val="006D7E04"/>
    <w:rsid w:val="006E738A"/>
    <w:rsid w:val="006F2BCF"/>
    <w:rsid w:val="00700C51"/>
    <w:rsid w:val="00704006"/>
    <w:rsid w:val="00704031"/>
    <w:rsid w:val="007056A1"/>
    <w:rsid w:val="007059E9"/>
    <w:rsid w:val="0071097B"/>
    <w:rsid w:val="007128C2"/>
    <w:rsid w:val="00712EA4"/>
    <w:rsid w:val="00713BF5"/>
    <w:rsid w:val="00715D44"/>
    <w:rsid w:val="00717FA5"/>
    <w:rsid w:val="007214B0"/>
    <w:rsid w:val="007223A1"/>
    <w:rsid w:val="00724E13"/>
    <w:rsid w:val="00726EDF"/>
    <w:rsid w:val="00731504"/>
    <w:rsid w:val="00733289"/>
    <w:rsid w:val="007342B9"/>
    <w:rsid w:val="00741354"/>
    <w:rsid w:val="007440B0"/>
    <w:rsid w:val="007470DA"/>
    <w:rsid w:val="00754E1F"/>
    <w:rsid w:val="00760A55"/>
    <w:rsid w:val="00761C9A"/>
    <w:rsid w:val="00762179"/>
    <w:rsid w:val="00764650"/>
    <w:rsid w:val="00766BD6"/>
    <w:rsid w:val="00767B4E"/>
    <w:rsid w:val="00770113"/>
    <w:rsid w:val="00772ED2"/>
    <w:rsid w:val="007743EF"/>
    <w:rsid w:val="00777FBA"/>
    <w:rsid w:val="00781170"/>
    <w:rsid w:val="00781957"/>
    <w:rsid w:val="00783B9B"/>
    <w:rsid w:val="00792E53"/>
    <w:rsid w:val="0079465B"/>
    <w:rsid w:val="007A162B"/>
    <w:rsid w:val="007A5550"/>
    <w:rsid w:val="007B16F9"/>
    <w:rsid w:val="007B645B"/>
    <w:rsid w:val="007C5792"/>
    <w:rsid w:val="007C57AD"/>
    <w:rsid w:val="007C57F5"/>
    <w:rsid w:val="007D06C7"/>
    <w:rsid w:val="007D2F23"/>
    <w:rsid w:val="007D3165"/>
    <w:rsid w:val="007D4FCF"/>
    <w:rsid w:val="007E26FA"/>
    <w:rsid w:val="007E3EDE"/>
    <w:rsid w:val="007F26F4"/>
    <w:rsid w:val="007F6B25"/>
    <w:rsid w:val="007F7D95"/>
    <w:rsid w:val="0080065E"/>
    <w:rsid w:val="008034FC"/>
    <w:rsid w:val="00803518"/>
    <w:rsid w:val="00804AA0"/>
    <w:rsid w:val="00807671"/>
    <w:rsid w:val="00811E08"/>
    <w:rsid w:val="00812470"/>
    <w:rsid w:val="008124C1"/>
    <w:rsid w:val="0082229E"/>
    <w:rsid w:val="00825FF0"/>
    <w:rsid w:val="00826B4F"/>
    <w:rsid w:val="00830919"/>
    <w:rsid w:val="00847407"/>
    <w:rsid w:val="008537C7"/>
    <w:rsid w:val="0085406A"/>
    <w:rsid w:val="008556E4"/>
    <w:rsid w:val="00856F2F"/>
    <w:rsid w:val="0086466B"/>
    <w:rsid w:val="00874F9D"/>
    <w:rsid w:val="00875023"/>
    <w:rsid w:val="008807A1"/>
    <w:rsid w:val="00881257"/>
    <w:rsid w:val="008817C4"/>
    <w:rsid w:val="00882269"/>
    <w:rsid w:val="00887228"/>
    <w:rsid w:val="0089450B"/>
    <w:rsid w:val="00896CD1"/>
    <w:rsid w:val="008A5110"/>
    <w:rsid w:val="008A59A3"/>
    <w:rsid w:val="008A7093"/>
    <w:rsid w:val="008A75A4"/>
    <w:rsid w:val="008B7BAC"/>
    <w:rsid w:val="008B7C71"/>
    <w:rsid w:val="008C07EC"/>
    <w:rsid w:val="008C2AB1"/>
    <w:rsid w:val="008C3917"/>
    <w:rsid w:val="008C7245"/>
    <w:rsid w:val="008D0A5A"/>
    <w:rsid w:val="008D3842"/>
    <w:rsid w:val="008E3CD8"/>
    <w:rsid w:val="008E49E5"/>
    <w:rsid w:val="008E6EDC"/>
    <w:rsid w:val="008F0594"/>
    <w:rsid w:val="008F3BD8"/>
    <w:rsid w:val="008F3E0F"/>
    <w:rsid w:val="008F3F79"/>
    <w:rsid w:val="008F480D"/>
    <w:rsid w:val="00901401"/>
    <w:rsid w:val="00904D13"/>
    <w:rsid w:val="00910F2B"/>
    <w:rsid w:val="009112D2"/>
    <w:rsid w:val="009227C3"/>
    <w:rsid w:val="0092421F"/>
    <w:rsid w:val="009304A1"/>
    <w:rsid w:val="00931494"/>
    <w:rsid w:val="00932E40"/>
    <w:rsid w:val="00936570"/>
    <w:rsid w:val="009378E8"/>
    <w:rsid w:val="00937F4D"/>
    <w:rsid w:val="0094531F"/>
    <w:rsid w:val="00945388"/>
    <w:rsid w:val="00945FC8"/>
    <w:rsid w:val="0094675A"/>
    <w:rsid w:val="00947F7D"/>
    <w:rsid w:val="009500CB"/>
    <w:rsid w:val="00950D89"/>
    <w:rsid w:val="00953896"/>
    <w:rsid w:val="00954192"/>
    <w:rsid w:val="00966193"/>
    <w:rsid w:val="009666D4"/>
    <w:rsid w:val="00966E16"/>
    <w:rsid w:val="00977403"/>
    <w:rsid w:val="00981FCF"/>
    <w:rsid w:val="00984506"/>
    <w:rsid w:val="00986D1B"/>
    <w:rsid w:val="009877F1"/>
    <w:rsid w:val="00990253"/>
    <w:rsid w:val="00991F41"/>
    <w:rsid w:val="009A21C0"/>
    <w:rsid w:val="009A3F9D"/>
    <w:rsid w:val="009A4BF3"/>
    <w:rsid w:val="009B3FBA"/>
    <w:rsid w:val="009B4D41"/>
    <w:rsid w:val="009B703D"/>
    <w:rsid w:val="009C1303"/>
    <w:rsid w:val="009C1D0E"/>
    <w:rsid w:val="009C2D78"/>
    <w:rsid w:val="009D0859"/>
    <w:rsid w:val="009D4FC9"/>
    <w:rsid w:val="009E2920"/>
    <w:rsid w:val="009E5075"/>
    <w:rsid w:val="009E5F7B"/>
    <w:rsid w:val="009F22AA"/>
    <w:rsid w:val="009F5006"/>
    <w:rsid w:val="00A042E3"/>
    <w:rsid w:val="00A0472A"/>
    <w:rsid w:val="00A101C4"/>
    <w:rsid w:val="00A11D18"/>
    <w:rsid w:val="00A123F8"/>
    <w:rsid w:val="00A13934"/>
    <w:rsid w:val="00A16824"/>
    <w:rsid w:val="00A16C1A"/>
    <w:rsid w:val="00A17264"/>
    <w:rsid w:val="00A202CE"/>
    <w:rsid w:val="00A258AD"/>
    <w:rsid w:val="00A30C64"/>
    <w:rsid w:val="00A35A63"/>
    <w:rsid w:val="00A444BF"/>
    <w:rsid w:val="00A45A6D"/>
    <w:rsid w:val="00A8143C"/>
    <w:rsid w:val="00A82740"/>
    <w:rsid w:val="00A86591"/>
    <w:rsid w:val="00A86FB9"/>
    <w:rsid w:val="00A96899"/>
    <w:rsid w:val="00AA2719"/>
    <w:rsid w:val="00AA4A01"/>
    <w:rsid w:val="00AA4E8B"/>
    <w:rsid w:val="00AA6FF2"/>
    <w:rsid w:val="00AB35F4"/>
    <w:rsid w:val="00AB6105"/>
    <w:rsid w:val="00AB690D"/>
    <w:rsid w:val="00AB6A8B"/>
    <w:rsid w:val="00AC2AF9"/>
    <w:rsid w:val="00AD0574"/>
    <w:rsid w:val="00AD08E8"/>
    <w:rsid w:val="00AD1A14"/>
    <w:rsid w:val="00AD26FD"/>
    <w:rsid w:val="00AD3C05"/>
    <w:rsid w:val="00AD6219"/>
    <w:rsid w:val="00AD65A2"/>
    <w:rsid w:val="00AD7AFD"/>
    <w:rsid w:val="00AE270A"/>
    <w:rsid w:val="00AE2F48"/>
    <w:rsid w:val="00AE49ED"/>
    <w:rsid w:val="00AE598C"/>
    <w:rsid w:val="00AE7CC5"/>
    <w:rsid w:val="00AF1D6C"/>
    <w:rsid w:val="00AF4372"/>
    <w:rsid w:val="00B0099A"/>
    <w:rsid w:val="00B06AE0"/>
    <w:rsid w:val="00B16927"/>
    <w:rsid w:val="00B3479A"/>
    <w:rsid w:val="00B4385C"/>
    <w:rsid w:val="00B4687C"/>
    <w:rsid w:val="00B51C54"/>
    <w:rsid w:val="00B53CB0"/>
    <w:rsid w:val="00B5406D"/>
    <w:rsid w:val="00B617FE"/>
    <w:rsid w:val="00B85FC9"/>
    <w:rsid w:val="00B93774"/>
    <w:rsid w:val="00B9732A"/>
    <w:rsid w:val="00BA1058"/>
    <w:rsid w:val="00BA1245"/>
    <w:rsid w:val="00BA2954"/>
    <w:rsid w:val="00BA578C"/>
    <w:rsid w:val="00BB45E3"/>
    <w:rsid w:val="00BB566D"/>
    <w:rsid w:val="00BB5881"/>
    <w:rsid w:val="00BB67EB"/>
    <w:rsid w:val="00BC4505"/>
    <w:rsid w:val="00BC697C"/>
    <w:rsid w:val="00BD3301"/>
    <w:rsid w:val="00BD4CD9"/>
    <w:rsid w:val="00BD56D5"/>
    <w:rsid w:val="00BF04FE"/>
    <w:rsid w:val="00BF2CDB"/>
    <w:rsid w:val="00BF568B"/>
    <w:rsid w:val="00C00098"/>
    <w:rsid w:val="00C02598"/>
    <w:rsid w:val="00C0283A"/>
    <w:rsid w:val="00C05DEA"/>
    <w:rsid w:val="00C2026A"/>
    <w:rsid w:val="00C20444"/>
    <w:rsid w:val="00C21B82"/>
    <w:rsid w:val="00C31252"/>
    <w:rsid w:val="00C35B76"/>
    <w:rsid w:val="00C368FE"/>
    <w:rsid w:val="00C40805"/>
    <w:rsid w:val="00C476C2"/>
    <w:rsid w:val="00C50DD0"/>
    <w:rsid w:val="00C5370A"/>
    <w:rsid w:val="00C53E5B"/>
    <w:rsid w:val="00C541C5"/>
    <w:rsid w:val="00C56A1C"/>
    <w:rsid w:val="00C57229"/>
    <w:rsid w:val="00C62C70"/>
    <w:rsid w:val="00C64670"/>
    <w:rsid w:val="00C65789"/>
    <w:rsid w:val="00C6648C"/>
    <w:rsid w:val="00C66638"/>
    <w:rsid w:val="00C7060E"/>
    <w:rsid w:val="00C70CFB"/>
    <w:rsid w:val="00C76722"/>
    <w:rsid w:val="00C776A4"/>
    <w:rsid w:val="00C83E6E"/>
    <w:rsid w:val="00C90DA1"/>
    <w:rsid w:val="00C915E7"/>
    <w:rsid w:val="00C92525"/>
    <w:rsid w:val="00C958DC"/>
    <w:rsid w:val="00CA090A"/>
    <w:rsid w:val="00CA0CCB"/>
    <w:rsid w:val="00CA0FD7"/>
    <w:rsid w:val="00CB5B5C"/>
    <w:rsid w:val="00CC17D4"/>
    <w:rsid w:val="00CD143C"/>
    <w:rsid w:val="00CD28FB"/>
    <w:rsid w:val="00CD57F2"/>
    <w:rsid w:val="00CD68A8"/>
    <w:rsid w:val="00CE5A60"/>
    <w:rsid w:val="00CE71FC"/>
    <w:rsid w:val="00CF2666"/>
    <w:rsid w:val="00CF59AA"/>
    <w:rsid w:val="00D002F2"/>
    <w:rsid w:val="00D00830"/>
    <w:rsid w:val="00D00A26"/>
    <w:rsid w:val="00D015A2"/>
    <w:rsid w:val="00D10E67"/>
    <w:rsid w:val="00D2020D"/>
    <w:rsid w:val="00D221F4"/>
    <w:rsid w:val="00D24487"/>
    <w:rsid w:val="00D253E5"/>
    <w:rsid w:val="00D30387"/>
    <w:rsid w:val="00D3190E"/>
    <w:rsid w:val="00D32910"/>
    <w:rsid w:val="00D334D5"/>
    <w:rsid w:val="00D4308A"/>
    <w:rsid w:val="00D4630A"/>
    <w:rsid w:val="00D467C0"/>
    <w:rsid w:val="00D51CA0"/>
    <w:rsid w:val="00D533FC"/>
    <w:rsid w:val="00D55206"/>
    <w:rsid w:val="00D55DA2"/>
    <w:rsid w:val="00D60FE5"/>
    <w:rsid w:val="00D61271"/>
    <w:rsid w:val="00D638E3"/>
    <w:rsid w:val="00D7179D"/>
    <w:rsid w:val="00D71805"/>
    <w:rsid w:val="00D73DC3"/>
    <w:rsid w:val="00D80669"/>
    <w:rsid w:val="00D8277B"/>
    <w:rsid w:val="00D82EF0"/>
    <w:rsid w:val="00D830E8"/>
    <w:rsid w:val="00D9501D"/>
    <w:rsid w:val="00D953AB"/>
    <w:rsid w:val="00D95FC8"/>
    <w:rsid w:val="00D96CBE"/>
    <w:rsid w:val="00DA53B7"/>
    <w:rsid w:val="00DA5447"/>
    <w:rsid w:val="00DB19FD"/>
    <w:rsid w:val="00DC5710"/>
    <w:rsid w:val="00DD1F0C"/>
    <w:rsid w:val="00DD2C2A"/>
    <w:rsid w:val="00DD3557"/>
    <w:rsid w:val="00DD4221"/>
    <w:rsid w:val="00DF2021"/>
    <w:rsid w:val="00E01E1E"/>
    <w:rsid w:val="00E01F9F"/>
    <w:rsid w:val="00E05E76"/>
    <w:rsid w:val="00E06F98"/>
    <w:rsid w:val="00E07AB9"/>
    <w:rsid w:val="00E127FA"/>
    <w:rsid w:val="00E21482"/>
    <w:rsid w:val="00E255DD"/>
    <w:rsid w:val="00E300EB"/>
    <w:rsid w:val="00E33E2A"/>
    <w:rsid w:val="00E3421A"/>
    <w:rsid w:val="00E34EB3"/>
    <w:rsid w:val="00E4552F"/>
    <w:rsid w:val="00E456ED"/>
    <w:rsid w:val="00E52B0C"/>
    <w:rsid w:val="00E5612D"/>
    <w:rsid w:val="00E672D3"/>
    <w:rsid w:val="00E70313"/>
    <w:rsid w:val="00E81F84"/>
    <w:rsid w:val="00E84F37"/>
    <w:rsid w:val="00E921C7"/>
    <w:rsid w:val="00E9295A"/>
    <w:rsid w:val="00E96562"/>
    <w:rsid w:val="00E96CF6"/>
    <w:rsid w:val="00EA011F"/>
    <w:rsid w:val="00EA08B8"/>
    <w:rsid w:val="00EA1D68"/>
    <w:rsid w:val="00EA3D4B"/>
    <w:rsid w:val="00EA6C46"/>
    <w:rsid w:val="00EB31FE"/>
    <w:rsid w:val="00EB3E5D"/>
    <w:rsid w:val="00EC5CF8"/>
    <w:rsid w:val="00EC65BF"/>
    <w:rsid w:val="00EC6A4D"/>
    <w:rsid w:val="00EC6B71"/>
    <w:rsid w:val="00ED0F4C"/>
    <w:rsid w:val="00ED5181"/>
    <w:rsid w:val="00EE203B"/>
    <w:rsid w:val="00EE22B8"/>
    <w:rsid w:val="00EE532B"/>
    <w:rsid w:val="00EE6332"/>
    <w:rsid w:val="00EE7439"/>
    <w:rsid w:val="00EF1B95"/>
    <w:rsid w:val="00EF3265"/>
    <w:rsid w:val="00EF55E8"/>
    <w:rsid w:val="00EF5F21"/>
    <w:rsid w:val="00F01C37"/>
    <w:rsid w:val="00F02AD3"/>
    <w:rsid w:val="00F124EF"/>
    <w:rsid w:val="00F13EB5"/>
    <w:rsid w:val="00F14A8B"/>
    <w:rsid w:val="00F15985"/>
    <w:rsid w:val="00F1651A"/>
    <w:rsid w:val="00F16A55"/>
    <w:rsid w:val="00F21DD8"/>
    <w:rsid w:val="00F2484C"/>
    <w:rsid w:val="00F25AF1"/>
    <w:rsid w:val="00F264F6"/>
    <w:rsid w:val="00F31DBA"/>
    <w:rsid w:val="00F31E19"/>
    <w:rsid w:val="00F41D13"/>
    <w:rsid w:val="00F4747C"/>
    <w:rsid w:val="00F4761E"/>
    <w:rsid w:val="00F5165D"/>
    <w:rsid w:val="00F523A2"/>
    <w:rsid w:val="00F57202"/>
    <w:rsid w:val="00F61DA9"/>
    <w:rsid w:val="00F62E3C"/>
    <w:rsid w:val="00F67ABD"/>
    <w:rsid w:val="00F705B7"/>
    <w:rsid w:val="00F71BEE"/>
    <w:rsid w:val="00F74919"/>
    <w:rsid w:val="00F83BA9"/>
    <w:rsid w:val="00FB0EF6"/>
    <w:rsid w:val="00FB7C68"/>
    <w:rsid w:val="00FC353C"/>
    <w:rsid w:val="00FD12C6"/>
    <w:rsid w:val="00FD56B9"/>
    <w:rsid w:val="00FE1170"/>
    <w:rsid w:val="00FE25FB"/>
    <w:rsid w:val="00FE29D4"/>
    <w:rsid w:val="00FE3A2F"/>
    <w:rsid w:val="00FF04E2"/>
    <w:rsid w:val="00FF424F"/>
    <w:rsid w:val="01EF0FF5"/>
    <w:rsid w:val="02AB1B36"/>
    <w:rsid w:val="033F6EB7"/>
    <w:rsid w:val="03DD2175"/>
    <w:rsid w:val="04A020B8"/>
    <w:rsid w:val="05886611"/>
    <w:rsid w:val="05C74AC6"/>
    <w:rsid w:val="062E63CA"/>
    <w:rsid w:val="06574096"/>
    <w:rsid w:val="08411DA3"/>
    <w:rsid w:val="09B172F2"/>
    <w:rsid w:val="0A8844B9"/>
    <w:rsid w:val="0ABC1F51"/>
    <w:rsid w:val="0C57716B"/>
    <w:rsid w:val="0DBD4932"/>
    <w:rsid w:val="0E834BA2"/>
    <w:rsid w:val="0EF31ADA"/>
    <w:rsid w:val="0F732A17"/>
    <w:rsid w:val="0F796781"/>
    <w:rsid w:val="0FF75FF9"/>
    <w:rsid w:val="1020689F"/>
    <w:rsid w:val="10ED2F89"/>
    <w:rsid w:val="11F25759"/>
    <w:rsid w:val="127558BB"/>
    <w:rsid w:val="15403AF5"/>
    <w:rsid w:val="192B2E0D"/>
    <w:rsid w:val="193250E1"/>
    <w:rsid w:val="19445842"/>
    <w:rsid w:val="19872D42"/>
    <w:rsid w:val="19C65CB0"/>
    <w:rsid w:val="1A5B1C7D"/>
    <w:rsid w:val="1A953292"/>
    <w:rsid w:val="1AA3012F"/>
    <w:rsid w:val="1B6E5836"/>
    <w:rsid w:val="1C4F0B9E"/>
    <w:rsid w:val="1C571329"/>
    <w:rsid w:val="1C95029D"/>
    <w:rsid w:val="1CDF2AF5"/>
    <w:rsid w:val="1CFE2EDE"/>
    <w:rsid w:val="1D5364EE"/>
    <w:rsid w:val="1EFE68A6"/>
    <w:rsid w:val="211778F3"/>
    <w:rsid w:val="224D4C29"/>
    <w:rsid w:val="23F23BF1"/>
    <w:rsid w:val="24E822F5"/>
    <w:rsid w:val="25116B0E"/>
    <w:rsid w:val="266647A9"/>
    <w:rsid w:val="26957599"/>
    <w:rsid w:val="26A469C8"/>
    <w:rsid w:val="271E4788"/>
    <w:rsid w:val="2837268E"/>
    <w:rsid w:val="285966AC"/>
    <w:rsid w:val="29467376"/>
    <w:rsid w:val="294B4407"/>
    <w:rsid w:val="2A885DBF"/>
    <w:rsid w:val="2B343C0C"/>
    <w:rsid w:val="2B45410A"/>
    <w:rsid w:val="2DCF11B3"/>
    <w:rsid w:val="2E90068D"/>
    <w:rsid w:val="2EDC352E"/>
    <w:rsid w:val="30390D84"/>
    <w:rsid w:val="30561BA3"/>
    <w:rsid w:val="30D707F7"/>
    <w:rsid w:val="311A5814"/>
    <w:rsid w:val="31965C69"/>
    <w:rsid w:val="33DC0CBB"/>
    <w:rsid w:val="34314EC4"/>
    <w:rsid w:val="34497053"/>
    <w:rsid w:val="36681A70"/>
    <w:rsid w:val="37BA5346"/>
    <w:rsid w:val="37CD359F"/>
    <w:rsid w:val="38634537"/>
    <w:rsid w:val="38C34BA0"/>
    <w:rsid w:val="390911EE"/>
    <w:rsid w:val="392104B3"/>
    <w:rsid w:val="393530A5"/>
    <w:rsid w:val="3A2D068C"/>
    <w:rsid w:val="3A852125"/>
    <w:rsid w:val="3B0434A5"/>
    <w:rsid w:val="3B4101FC"/>
    <w:rsid w:val="3BFD1F8A"/>
    <w:rsid w:val="3C247CE6"/>
    <w:rsid w:val="3C927AA1"/>
    <w:rsid w:val="3E3A2089"/>
    <w:rsid w:val="3E602BE4"/>
    <w:rsid w:val="3EBE13D2"/>
    <w:rsid w:val="3F211FA6"/>
    <w:rsid w:val="3F4F333A"/>
    <w:rsid w:val="3F57E13F"/>
    <w:rsid w:val="3F9B4722"/>
    <w:rsid w:val="3FCA5EF8"/>
    <w:rsid w:val="413460A7"/>
    <w:rsid w:val="41410E54"/>
    <w:rsid w:val="4190289F"/>
    <w:rsid w:val="42E9070B"/>
    <w:rsid w:val="43374264"/>
    <w:rsid w:val="43A873A3"/>
    <w:rsid w:val="43FF55FE"/>
    <w:rsid w:val="4454649A"/>
    <w:rsid w:val="445470A2"/>
    <w:rsid w:val="46135775"/>
    <w:rsid w:val="46302DC8"/>
    <w:rsid w:val="48234938"/>
    <w:rsid w:val="49780D9D"/>
    <w:rsid w:val="4B001ED9"/>
    <w:rsid w:val="4BA243DC"/>
    <w:rsid w:val="4BB5101A"/>
    <w:rsid w:val="4CEF73A8"/>
    <w:rsid w:val="4D0C476C"/>
    <w:rsid w:val="4D247123"/>
    <w:rsid w:val="4F5032BA"/>
    <w:rsid w:val="500D64F7"/>
    <w:rsid w:val="5180267B"/>
    <w:rsid w:val="53CD3401"/>
    <w:rsid w:val="54181497"/>
    <w:rsid w:val="547774EA"/>
    <w:rsid w:val="54A4534A"/>
    <w:rsid w:val="54F447AB"/>
    <w:rsid w:val="5565056E"/>
    <w:rsid w:val="56EA278B"/>
    <w:rsid w:val="56F40D8C"/>
    <w:rsid w:val="57614189"/>
    <w:rsid w:val="57EA67AB"/>
    <w:rsid w:val="58A636D4"/>
    <w:rsid w:val="58E61B7F"/>
    <w:rsid w:val="5B1F44DA"/>
    <w:rsid w:val="5BB15E88"/>
    <w:rsid w:val="5C910967"/>
    <w:rsid w:val="5D636AEB"/>
    <w:rsid w:val="5E0A23ED"/>
    <w:rsid w:val="5EAC5CAB"/>
    <w:rsid w:val="5F9E31B1"/>
    <w:rsid w:val="5FDDB76B"/>
    <w:rsid w:val="60C845F4"/>
    <w:rsid w:val="61303773"/>
    <w:rsid w:val="61644C4A"/>
    <w:rsid w:val="61A11A3C"/>
    <w:rsid w:val="62EE1B10"/>
    <w:rsid w:val="643F6FFF"/>
    <w:rsid w:val="653B0EF8"/>
    <w:rsid w:val="65C950B8"/>
    <w:rsid w:val="66A4482A"/>
    <w:rsid w:val="66DF49A5"/>
    <w:rsid w:val="672F160A"/>
    <w:rsid w:val="6740581C"/>
    <w:rsid w:val="6751523C"/>
    <w:rsid w:val="67BE7094"/>
    <w:rsid w:val="687A3A4A"/>
    <w:rsid w:val="69D21DE1"/>
    <w:rsid w:val="6A4155F4"/>
    <w:rsid w:val="6A8618A6"/>
    <w:rsid w:val="6AA12569"/>
    <w:rsid w:val="6ADC5420"/>
    <w:rsid w:val="6AFFCDF4"/>
    <w:rsid w:val="6C151CC1"/>
    <w:rsid w:val="6CF45A1F"/>
    <w:rsid w:val="6E4B7FE9"/>
    <w:rsid w:val="6E6B308E"/>
    <w:rsid w:val="6EB20639"/>
    <w:rsid w:val="6EBF4A6C"/>
    <w:rsid w:val="6EEB7941"/>
    <w:rsid w:val="6F797392"/>
    <w:rsid w:val="6F832518"/>
    <w:rsid w:val="70FF364B"/>
    <w:rsid w:val="71090321"/>
    <w:rsid w:val="71302602"/>
    <w:rsid w:val="72D02862"/>
    <w:rsid w:val="72D23B22"/>
    <w:rsid w:val="75036E25"/>
    <w:rsid w:val="75807DB8"/>
    <w:rsid w:val="75D37E27"/>
    <w:rsid w:val="767762D8"/>
    <w:rsid w:val="76F70355"/>
    <w:rsid w:val="77700104"/>
    <w:rsid w:val="777C2932"/>
    <w:rsid w:val="777E3CA9"/>
    <w:rsid w:val="7A03588E"/>
    <w:rsid w:val="7A4207B8"/>
    <w:rsid w:val="7A661B61"/>
    <w:rsid w:val="7AC32CDC"/>
    <w:rsid w:val="7AD122CB"/>
    <w:rsid w:val="7AFEC005"/>
    <w:rsid w:val="7C3E11CB"/>
    <w:rsid w:val="7D687EC3"/>
    <w:rsid w:val="7DBDF7A4"/>
    <w:rsid w:val="7E076A61"/>
    <w:rsid w:val="7EBD6D07"/>
    <w:rsid w:val="7F33165C"/>
    <w:rsid w:val="B7DAECF6"/>
    <w:rsid w:val="BEEAC344"/>
    <w:rsid w:val="DEE7D7D3"/>
    <w:rsid w:val="F3F7499F"/>
    <w:rsid w:val="F577C2F6"/>
    <w:rsid w:val="FF96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600" w:leftChars="600"/>
    </w:pPr>
    <w:rPr>
      <w:rFonts w:ascii="Times New Roman" w:hAnsi="Times New Roman" w:cs="Times New Roman"/>
      <w:szCs w:val="24"/>
    </w:rPr>
  </w:style>
  <w:style w:type="paragraph" w:styleId="5">
    <w:name w:val="annotation text"/>
    <w:basedOn w:val="1"/>
    <w:link w:val="22"/>
    <w:unhideWhenUsed/>
    <w:qFormat/>
    <w:uiPriority w:val="99"/>
    <w:pPr>
      <w:jc w:val="left"/>
    </w:pPr>
  </w:style>
  <w:style w:type="paragraph" w:styleId="6">
    <w:name w:val="Body Text"/>
    <w:basedOn w:val="1"/>
    <w:link w:val="40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7">
    <w:name w:val="Plain Text"/>
    <w:basedOn w:val="1"/>
    <w:link w:val="27"/>
    <w:qFormat/>
    <w:uiPriority w:val="99"/>
    <w:rPr>
      <w:rFonts w:ascii="宋体" w:hAnsi="Courier New" w:eastAsia="宋体" w:cs="Times New Roman"/>
      <w:kern w:val="0"/>
      <w:sz w:val="20"/>
      <w:szCs w:val="21"/>
    </w:rPr>
  </w:style>
  <w:style w:type="paragraph" w:styleId="8">
    <w:name w:val="Balloon Text"/>
    <w:basedOn w:val="1"/>
    <w:link w:val="23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  <w:pPr>
      <w:tabs>
        <w:tab w:val="left" w:pos="1260"/>
        <w:tab w:val="right" w:leader="dot" w:pos="8722"/>
      </w:tabs>
      <w:adjustRightInd w:val="0"/>
      <w:spacing w:line="480" w:lineRule="auto"/>
      <w:textAlignment w:val="baseline"/>
    </w:pPr>
    <w:rPr>
      <w:b/>
      <w:kern w:val="0"/>
      <w:sz w:val="24"/>
      <w:szCs w:val="20"/>
    </w:rPr>
  </w:style>
  <w:style w:type="paragraph" w:styleId="1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5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4">
    <w:name w:val="annotation subject"/>
    <w:basedOn w:val="5"/>
    <w:next w:val="5"/>
    <w:link w:val="24"/>
    <w:unhideWhenUsed/>
    <w:qFormat/>
    <w:uiPriority w:val="0"/>
    <w:rPr>
      <w:b/>
      <w:bCs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annotation reference"/>
    <w:basedOn w:val="16"/>
    <w:unhideWhenUsed/>
    <w:qFormat/>
    <w:uiPriority w:val="99"/>
    <w:rPr>
      <w:sz w:val="21"/>
      <w:szCs w:val="21"/>
    </w:rPr>
  </w:style>
  <w:style w:type="character" w:customStyle="1" w:styleId="19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9"/>
    <w:qFormat/>
    <w:uiPriority w:val="99"/>
    <w:rPr>
      <w:sz w:val="18"/>
      <w:szCs w:val="18"/>
    </w:rPr>
  </w:style>
  <w:style w:type="paragraph" w:styleId="21">
    <w:name w:val="List Paragraph"/>
    <w:basedOn w:val="1"/>
    <w:link w:val="29"/>
    <w:qFormat/>
    <w:uiPriority w:val="99"/>
    <w:pPr>
      <w:ind w:firstLine="420" w:firstLineChars="200"/>
    </w:pPr>
  </w:style>
  <w:style w:type="character" w:customStyle="1" w:styleId="22">
    <w:name w:val="批注文字 字符"/>
    <w:basedOn w:val="16"/>
    <w:link w:val="5"/>
    <w:qFormat/>
    <w:uiPriority w:val="99"/>
  </w:style>
  <w:style w:type="character" w:customStyle="1" w:styleId="23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24">
    <w:name w:val="批注主题 字符"/>
    <w:basedOn w:val="22"/>
    <w:link w:val="14"/>
    <w:semiHidden/>
    <w:qFormat/>
    <w:uiPriority w:val="99"/>
    <w:rPr>
      <w:b/>
      <w:bCs/>
    </w:rPr>
  </w:style>
  <w:style w:type="character" w:customStyle="1" w:styleId="25">
    <w:name w:val="标题 字符"/>
    <w:basedOn w:val="16"/>
    <w:link w:val="13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6">
    <w:name w:val="标题 2 字符"/>
    <w:basedOn w:val="16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7">
    <w:name w:val="纯文本 字符"/>
    <w:basedOn w:val="16"/>
    <w:link w:val="7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customStyle="1" w:styleId="28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hAnsi="Times New Roman" w:eastAsia="宋体" w:cs="Times New Roman"/>
      <w:snapToGrid w:val="0"/>
      <w:spacing w:val="20"/>
      <w:kern w:val="0"/>
      <w:sz w:val="24"/>
      <w:szCs w:val="20"/>
    </w:rPr>
  </w:style>
  <w:style w:type="character" w:customStyle="1" w:styleId="29">
    <w:name w:val="列表段落 字符"/>
    <w:link w:val="21"/>
    <w:qFormat/>
    <w:uiPriority w:val="99"/>
  </w:style>
  <w:style w:type="paragraph" w:customStyle="1" w:styleId="30">
    <w:name w:val="样式4"/>
    <w:basedOn w:val="1"/>
    <w:qFormat/>
    <w:uiPriority w:val="0"/>
    <w:pPr>
      <w:numPr>
        <w:ilvl w:val="3"/>
        <w:numId w:val="1"/>
      </w:numPr>
      <w:tabs>
        <w:tab w:val="left" w:pos="425"/>
        <w:tab w:val="left" w:pos="1984"/>
        <w:tab w:val="clear" w:pos="851"/>
      </w:tabs>
    </w:pPr>
    <w:rPr>
      <w:rFonts w:ascii="Times New Roman" w:hAnsi="Times New Roman" w:eastAsia="宋体" w:cs="Times New Roman"/>
      <w:szCs w:val="24"/>
    </w:rPr>
  </w:style>
  <w:style w:type="paragraph" w:customStyle="1" w:styleId="31">
    <w:name w:val="列出段落1"/>
    <w:basedOn w:val="1"/>
    <w:link w:val="32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32">
    <w:name w:val="List Paragraph Char"/>
    <w:link w:val="31"/>
    <w:qFormat/>
    <w:locked/>
    <w:uiPriority w:val="99"/>
    <w:rPr>
      <w:rFonts w:ascii="Times New Roman" w:hAnsi="Times New Roman" w:eastAsia="宋体" w:cs="Times New Roman"/>
      <w:szCs w:val="21"/>
    </w:rPr>
  </w:style>
  <w:style w:type="paragraph" w:customStyle="1" w:styleId="33">
    <w:name w:val="_Style 121"/>
    <w:basedOn w:val="1"/>
    <w:next w:val="2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4">
    <w:name w:val="start-font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start-font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6">
    <w:name w:val="批注文字 Char"/>
    <w:qFormat/>
    <w:uiPriority w:val="99"/>
    <w:rPr>
      <w:rFonts w:ascii="Times New Roman" w:hAnsi="Times New Roman" w:eastAsia="宋体"/>
      <w:kern w:val="2"/>
      <w:sz w:val="21"/>
      <w:szCs w:val="24"/>
    </w:rPr>
  </w:style>
  <w:style w:type="paragraph" w:customStyle="1" w:styleId="3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8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font3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40">
    <w:name w:val="正文文本 字符"/>
    <w:basedOn w:val="16"/>
    <w:link w:val="6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4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42">
    <w:name w:val="批注主题 Char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43">
    <w:name w:val="批注框文本 Char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44">
    <w:name w:val="￥标题1"/>
    <w:next w:val="1"/>
    <w:qFormat/>
    <w:uiPriority w:val="0"/>
    <w:pPr>
      <w:numPr>
        <w:ilvl w:val="0"/>
        <w:numId w:val="2"/>
      </w:numPr>
      <w:spacing w:line="360" w:lineRule="auto"/>
      <w:jc w:val="center"/>
      <w:outlineLvl w:val="0"/>
    </w:pPr>
    <w:rPr>
      <w:rFonts w:ascii="Calibri" w:hAnsi="Calibri" w:eastAsia="华文新魏" w:cs="Times New Roman"/>
      <w:b/>
      <w:kern w:val="2"/>
      <w:sz w:val="44"/>
      <w:szCs w:val="22"/>
      <w:lang w:val="en-US" w:eastAsia="zh-CN" w:bidi="ar-SA"/>
    </w:rPr>
  </w:style>
  <w:style w:type="paragraph" w:customStyle="1" w:styleId="45">
    <w:name w:val="￥标题2"/>
    <w:next w:val="1"/>
    <w:link w:val="47"/>
    <w:qFormat/>
    <w:uiPriority w:val="0"/>
    <w:pPr>
      <w:numPr>
        <w:ilvl w:val="1"/>
        <w:numId w:val="2"/>
      </w:numPr>
      <w:spacing w:line="360" w:lineRule="auto"/>
      <w:outlineLvl w:val="1"/>
    </w:pPr>
    <w:rPr>
      <w:rFonts w:ascii="Calibri" w:hAnsi="Calibri" w:eastAsia="华文新魏" w:cs="Times New Roman"/>
      <w:b/>
      <w:kern w:val="2"/>
      <w:sz w:val="36"/>
      <w:szCs w:val="22"/>
      <w:lang w:val="en-US" w:eastAsia="zh-CN" w:bidi="ar-SA"/>
    </w:rPr>
  </w:style>
  <w:style w:type="paragraph" w:customStyle="1" w:styleId="46">
    <w:name w:val="￥标题3"/>
    <w:next w:val="1"/>
    <w:link w:val="50"/>
    <w:qFormat/>
    <w:uiPriority w:val="0"/>
    <w:pPr>
      <w:numPr>
        <w:ilvl w:val="2"/>
        <w:numId w:val="2"/>
      </w:numPr>
      <w:spacing w:line="360" w:lineRule="auto"/>
      <w:outlineLvl w:val="2"/>
    </w:pPr>
    <w:rPr>
      <w:rFonts w:ascii="Calibri" w:hAnsi="Calibri" w:eastAsia="华文新魏" w:cs="Times New Roman"/>
      <w:b/>
      <w:kern w:val="2"/>
      <w:sz w:val="32"/>
      <w:szCs w:val="22"/>
      <w:lang w:val="en-US" w:eastAsia="zh-CN" w:bidi="ar-SA"/>
    </w:rPr>
  </w:style>
  <w:style w:type="character" w:customStyle="1" w:styleId="47">
    <w:name w:val="￥标题2 Char"/>
    <w:link w:val="45"/>
    <w:qFormat/>
    <w:uiPriority w:val="0"/>
    <w:rPr>
      <w:rFonts w:ascii="Calibri" w:hAnsi="Calibri" w:eastAsia="华文新魏"/>
      <w:b/>
      <w:kern w:val="2"/>
      <w:sz w:val="36"/>
      <w:szCs w:val="22"/>
    </w:rPr>
  </w:style>
  <w:style w:type="paragraph" w:customStyle="1" w:styleId="48">
    <w:name w:val="￥标题4"/>
    <w:next w:val="1"/>
    <w:qFormat/>
    <w:uiPriority w:val="0"/>
    <w:pPr>
      <w:numPr>
        <w:ilvl w:val="3"/>
        <w:numId w:val="2"/>
      </w:numPr>
      <w:spacing w:line="360" w:lineRule="auto"/>
      <w:outlineLvl w:val="3"/>
    </w:pPr>
    <w:rPr>
      <w:rFonts w:ascii="Calibri" w:hAnsi="Calibri" w:eastAsia="华文新魏" w:cs="Times New Roman"/>
      <w:b/>
      <w:kern w:val="2"/>
      <w:sz w:val="28"/>
      <w:szCs w:val="22"/>
      <w:lang w:val="en-US" w:eastAsia="zh-CN" w:bidi="ar-SA"/>
    </w:rPr>
  </w:style>
  <w:style w:type="paragraph" w:customStyle="1" w:styleId="49">
    <w:name w:val="￥标题5"/>
    <w:next w:val="1"/>
    <w:qFormat/>
    <w:uiPriority w:val="0"/>
    <w:pPr>
      <w:numPr>
        <w:ilvl w:val="4"/>
        <w:numId w:val="2"/>
      </w:numPr>
      <w:spacing w:line="360" w:lineRule="auto"/>
      <w:outlineLvl w:val="4"/>
    </w:pPr>
    <w:rPr>
      <w:rFonts w:ascii="Calibri" w:hAnsi="Calibri" w:eastAsia="宋体" w:cs="Times New Roman"/>
      <w:b/>
      <w:sz w:val="24"/>
      <w:szCs w:val="22"/>
      <w:lang w:val="zh-CN" w:eastAsia="zh-CN" w:bidi="ar-SA"/>
    </w:rPr>
  </w:style>
  <w:style w:type="character" w:customStyle="1" w:styleId="50">
    <w:name w:val="￥标题3 Char"/>
    <w:link w:val="46"/>
    <w:qFormat/>
    <w:uiPriority w:val="0"/>
    <w:rPr>
      <w:rFonts w:ascii="Calibri" w:hAnsi="Calibri" w:eastAsia="华文新魏"/>
      <w:b/>
      <w:kern w:val="2"/>
      <w:sz w:val="32"/>
      <w:szCs w:val="22"/>
    </w:rPr>
  </w:style>
  <w:style w:type="paragraph" w:customStyle="1" w:styleId="51">
    <w:name w:val="￥正文"/>
    <w:basedOn w:val="1"/>
    <w:link w:val="52"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kern w:val="0"/>
      <w:sz w:val="24"/>
      <w:szCs w:val="20"/>
    </w:rPr>
  </w:style>
  <w:style w:type="character" w:customStyle="1" w:styleId="52">
    <w:name w:val="￥正文 Char"/>
    <w:link w:val="51"/>
    <w:qFormat/>
    <w:uiPriority w:val="0"/>
    <w:rPr>
      <w:rFonts w:ascii="Calibri" w:hAnsi="Calibri"/>
      <w:sz w:val="24"/>
    </w:rPr>
  </w:style>
  <w:style w:type="paragraph" w:customStyle="1" w:styleId="53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列出段落2"/>
    <w:basedOn w:val="1"/>
    <w:qFormat/>
    <w:uiPriority w:val="0"/>
    <w:pPr>
      <w:numPr>
        <w:ilvl w:val="0"/>
        <w:numId w:val="3"/>
      </w:numPr>
      <w:autoSpaceDE w:val="0"/>
      <w:spacing w:line="360" w:lineRule="auto"/>
    </w:pPr>
    <w:rPr>
      <w:rFonts w:ascii="宋体" w:hAnsi="宋体" w:eastAsia="宋体" w:cs="Times New Roman"/>
      <w:szCs w:val="21"/>
    </w:rPr>
  </w:style>
  <w:style w:type="character" w:customStyle="1" w:styleId="56">
    <w:name w:val="纯文本 Char2"/>
    <w:basedOn w:val="16"/>
    <w:qFormat/>
    <w:uiPriority w:val="0"/>
    <w:rPr>
      <w:rFonts w:hint="eastAsia" w:ascii="宋体" w:hAnsi="Courier New" w:eastAsia="宋体" w:cs="宋体"/>
      <w:szCs w:val="21"/>
      <w:lang w:val="zh-CN"/>
    </w:rPr>
  </w:style>
  <w:style w:type="character" w:customStyle="1" w:styleId="5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8">
    <w:name w:val="修订4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9">
    <w:name w:val="font21"/>
    <w:basedOn w:val="16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6D79-801E-487D-A139-B2398538AD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13</Pages>
  <Words>3203</Words>
  <Characters>3343</Characters>
  <Lines>762</Lines>
  <Paragraphs>701</Paragraphs>
  <TotalTime>0</TotalTime>
  <ScaleCrop>false</ScaleCrop>
  <LinksUpToDate>false</LinksUpToDate>
  <CharactersWithSpaces>3439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2024-04-22T00:23:00Z</dcterms:created>
  <dc:creator>dreamsummit</dc:creator>
  <cp:lastModifiedBy>云采链</cp:lastModifiedBy>
  <cp:lastPrinted>2025-06-18T16:30:00Z</cp:lastPrinted>
  <dcterms:modified xsi:type="dcterms:W3CDTF">2025-06-25T22:18:56Z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0F104977AEB24E4FA8899A9EF53B85AE_13</vt:lpwstr>
  </property>
  <property fmtid="{D5CDD505-2E9C-101B-9397-08002B2CF9AE}" pid="4" name="KSOTemplateDocerSaveRecord">
    <vt:lpwstr>eyJoZGlkIjoiNGRjYTZkYWM4YTMzYWE0OTFhZjdlMDY2YjY0YWEyY2YiLCJ1c2VySWQiOiI0MDkwNDAzNDUifQ==</vt:lpwstr>
  </property>
</Properties>
</file>