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D5B47">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bookmarkStart w:id="5" w:name="_GoBack"/>
      <w:bookmarkEnd w:id="5"/>
    </w:p>
    <w:p w14:paraId="1843744D">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1194723A">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30ACDD66">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0692CDB5">
      <w:pPr>
        <w:spacing w:line="360" w:lineRule="auto"/>
        <w:rPr>
          <w:rFonts w:ascii="宋体" w:hAnsi="宋体" w:eastAsia="宋体" w:cs="宋体"/>
          <w:color w:val="000000" w:themeColor="text1"/>
          <w:sz w:val="30"/>
          <w:szCs w:val="30"/>
          <w14:textFill>
            <w14:solidFill>
              <w14:schemeClr w14:val="tx1"/>
            </w14:solidFill>
          </w14:textFill>
        </w:rPr>
      </w:pPr>
    </w:p>
    <w:p w14:paraId="5BD20F2E">
      <w:pPr>
        <w:spacing w:line="360" w:lineRule="auto"/>
        <w:rPr>
          <w:rFonts w:ascii="宋体" w:hAnsi="宋体" w:eastAsia="宋体" w:cs="宋体"/>
          <w:color w:val="000000" w:themeColor="text1"/>
          <w:sz w:val="30"/>
          <w:szCs w:val="30"/>
          <w14:textFill>
            <w14:solidFill>
              <w14:schemeClr w14:val="tx1"/>
            </w14:solidFill>
          </w14:textFill>
        </w:rPr>
      </w:pPr>
    </w:p>
    <w:p w14:paraId="1DEAFB7F">
      <w:pPr>
        <w:spacing w:line="360" w:lineRule="auto"/>
        <w:rPr>
          <w:rFonts w:ascii="宋体" w:hAnsi="宋体" w:eastAsia="宋体" w:cs="宋体"/>
          <w:color w:val="000000" w:themeColor="text1"/>
          <w:sz w:val="30"/>
          <w:szCs w:val="30"/>
          <w14:textFill>
            <w14:solidFill>
              <w14:schemeClr w14:val="tx1"/>
            </w14:solidFill>
          </w14:textFill>
        </w:rPr>
      </w:pPr>
    </w:p>
    <w:p w14:paraId="20A74FB4">
      <w:pPr>
        <w:spacing w:line="360" w:lineRule="auto"/>
        <w:rPr>
          <w:rFonts w:ascii="宋体" w:hAnsi="宋体" w:eastAsia="宋体" w:cs="宋体"/>
          <w:color w:val="000000" w:themeColor="text1"/>
          <w:sz w:val="30"/>
          <w:szCs w:val="30"/>
          <w14:textFill>
            <w14:solidFill>
              <w14:schemeClr w14:val="tx1"/>
            </w14:solidFill>
          </w14:textFill>
        </w:rPr>
      </w:pPr>
    </w:p>
    <w:p w14:paraId="5D87207E">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1AA2DD3F">
      <w:pPr>
        <w:spacing w:line="360" w:lineRule="auto"/>
        <w:ind w:left="1405" w:hanging="1405" w:hangingChars="500"/>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广东省广裕集团肇庆祥达实业有限公司“十一五”组团工厂烟感报警器加装及消防照明线路维修项目</w:t>
      </w:r>
    </w:p>
    <w:p w14:paraId="1E4F757D">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148880B5">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0FCE79BF">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52986769">
      <w:pPr>
        <w:autoSpaceDE w:val="0"/>
        <w:autoSpaceDN w:val="0"/>
        <w:adjustRightInd w:val="0"/>
        <w:snapToGrid w:val="0"/>
        <w:spacing w:line="360" w:lineRule="auto"/>
        <w:ind w:left="420" w:firstLine="420"/>
        <w:jc w:val="center"/>
        <w:rPr>
          <w:rFonts w:ascii="宋体" w:hAnsi="宋体" w:eastAsia="宋体" w:cs="宋体"/>
          <w:b/>
          <w:bCs/>
          <w:sz w:val="28"/>
          <w:szCs w:val="32"/>
        </w:rPr>
      </w:pPr>
      <w:r>
        <w:rPr>
          <w:rFonts w:hint="eastAsia" w:ascii="宋体" w:hAnsi="宋体" w:eastAsia="宋体" w:cs="宋体"/>
          <w:b/>
          <w:bCs/>
          <w:color w:val="000000" w:themeColor="text1"/>
          <w:sz w:val="28"/>
          <w:szCs w:val="32"/>
          <w14:textFill>
            <w14:solidFill>
              <w14:schemeClr w14:val="tx1"/>
            </w14:solidFill>
          </w14:textFill>
        </w:rPr>
        <w:t>广东省广裕集团肇庆祥达实业有限公司</w:t>
      </w:r>
    </w:p>
    <w:p w14:paraId="3B2E11C4">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654B3929">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二〇二五年六月</w:t>
      </w:r>
    </w:p>
    <w:p w14:paraId="4B314B7B">
      <w:pPr>
        <w:widowControl/>
        <w:jc w:val="left"/>
        <w:rPr>
          <w:rFonts w:ascii="宋体" w:hAnsi="宋体" w:eastAsia="宋体" w:cs="宋体"/>
          <w:sz w:val="28"/>
        </w:rPr>
      </w:pPr>
      <w:r>
        <w:rPr>
          <w:rFonts w:ascii="宋体" w:hAnsi="宋体" w:eastAsia="宋体" w:cs="宋体"/>
          <w:sz w:val="28"/>
        </w:rPr>
        <w:br w:type="page"/>
      </w:r>
    </w:p>
    <w:p w14:paraId="413406BB">
      <w:pPr>
        <w:pStyle w:val="20"/>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0120A60B">
      <w:pPr>
        <w:pStyle w:val="31"/>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49DBEB22">
      <w:pPr>
        <w:pStyle w:val="31"/>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4DA28A9A">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2BB6AA3">
      <w:pPr>
        <w:pStyle w:val="31"/>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FD90BCA">
      <w:pPr>
        <w:pStyle w:val="31"/>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5F58B223">
      <w:pPr>
        <w:pStyle w:val="31"/>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竞价说明</w:t>
      </w:r>
    </w:p>
    <w:p w14:paraId="63A0514F">
      <w:pPr>
        <w:pStyle w:val="31"/>
        <w:numPr>
          <w:ilvl w:val="0"/>
          <w:numId w:val="4"/>
        </w:numPr>
        <w:tabs>
          <w:tab w:val="left" w:pos="851"/>
        </w:tabs>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77E2B4BB">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286EC564">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6517C9A3">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643AF41E">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601969F8">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028EF344">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72A4E08F">
      <w:pPr>
        <w:pStyle w:val="31"/>
        <w:numPr>
          <w:ilvl w:val="0"/>
          <w:numId w:val="4"/>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3B32D219">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13603C47">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56F7ACA0">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2DDDC27F">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01FB3805">
      <w:pPr>
        <w:pStyle w:val="31"/>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3EA7DBE8">
      <w:pPr>
        <w:pStyle w:val="31"/>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54DCF342">
      <w:pPr>
        <w:pStyle w:val="31"/>
        <w:numPr>
          <w:ilvl w:val="0"/>
          <w:numId w:val="5"/>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07CEA763">
      <w:pPr>
        <w:pStyle w:val="31"/>
        <w:numPr>
          <w:ilvl w:val="0"/>
          <w:numId w:val="5"/>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495AADC5">
      <w:pPr>
        <w:pStyle w:val="31"/>
        <w:numPr>
          <w:ilvl w:val="0"/>
          <w:numId w:val="5"/>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62CFD573">
      <w:pPr>
        <w:pStyle w:val="31"/>
        <w:numPr>
          <w:ilvl w:val="0"/>
          <w:numId w:val="3"/>
        </w:numPr>
        <w:spacing w:line="360" w:lineRule="auto"/>
        <w:ind w:left="420" w:hanging="420" w:firstLineChars="0"/>
        <w:rPr>
          <w:rStyle w:val="27"/>
          <w:rFonts w:ascii="宋体" w:hAnsi="宋体" w:eastAsia="宋体" w:cs="宋体"/>
          <w:bCs w:val="0"/>
        </w:rPr>
      </w:pPr>
      <w:r>
        <w:rPr>
          <w:rStyle w:val="27"/>
          <w:rFonts w:hint="eastAsia" w:ascii="宋体" w:hAnsi="宋体" w:eastAsia="宋体" w:cs="宋体"/>
          <w:bCs w:val="0"/>
        </w:rPr>
        <w:t>报名要求</w:t>
      </w:r>
      <w:r>
        <w:rPr>
          <w:rStyle w:val="27"/>
          <w:rFonts w:hint="eastAsia" w:ascii="宋体" w:hAnsi="宋体" w:eastAsia="宋体" w:cs="宋体"/>
          <w:b w:val="0"/>
        </w:rPr>
        <w:t>（参与竞价的供应商资质要求: 报名时需要提供以下</w:t>
      </w:r>
      <w:r>
        <w:rPr>
          <w:rStyle w:val="27"/>
          <w:rFonts w:hint="eastAsia" w:ascii="宋体" w:hAnsi="宋体" w:eastAsia="宋体" w:cs="宋体"/>
          <w:bCs w:val="0"/>
          <w:u w:val="single"/>
        </w:rPr>
        <w:t>盖章</w:t>
      </w:r>
      <w:r>
        <w:rPr>
          <w:rStyle w:val="27"/>
          <w:rFonts w:hint="eastAsia" w:ascii="宋体" w:hAnsi="宋体" w:eastAsia="宋体" w:cs="宋体"/>
          <w:b w:val="0"/>
        </w:rPr>
        <w:t>资料，并对上传的报名文件资料承担责任）</w:t>
      </w:r>
    </w:p>
    <w:p w14:paraId="748910B1">
      <w:pPr>
        <w:pStyle w:val="31"/>
        <w:widowControl/>
        <w:numPr>
          <w:ilvl w:val="0"/>
          <w:numId w:val="6"/>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A0C2C83">
      <w:pPr>
        <w:pStyle w:val="31"/>
        <w:widowControl/>
        <w:numPr>
          <w:ilvl w:val="0"/>
          <w:numId w:val="6"/>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ascii="宋体" w:hAnsi="宋体" w:eastAsia="宋体" w:cs="宋体"/>
          <w:color w:val="000000" w:themeColor="text1"/>
          <w:kern w:val="0"/>
          <w:szCs w:val="20"/>
          <w14:textFill>
            <w14:solidFill>
              <w14:schemeClr w14:val="tx1"/>
            </w14:solidFill>
          </w14:textFill>
        </w:rPr>
        <w:t>供应商：具有良好的商业信誉和健全的财务会计制度；有依法缴纳税收和社会保障资金的良好记录；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160584CF">
      <w:pPr>
        <w:pStyle w:val="31"/>
        <w:widowControl/>
        <w:numPr>
          <w:ilvl w:val="0"/>
          <w:numId w:val="6"/>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1F1E133D">
      <w:pPr>
        <w:pStyle w:val="31"/>
        <w:widowControl/>
        <w:numPr>
          <w:ilvl w:val="0"/>
          <w:numId w:val="6"/>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rPr>
        <w:t>供应商须持有建设行政主管部门颁发有效的《安全生产许可证》。</w:t>
      </w:r>
    </w:p>
    <w:p w14:paraId="135C0408">
      <w:pPr>
        <w:pStyle w:val="31"/>
        <w:widowControl/>
        <w:numPr>
          <w:ilvl w:val="0"/>
          <w:numId w:val="6"/>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rPr>
        <w:t>供应商需具有建设主管部门颁发的有效的消防设施工程专业承包资质（二级或以上），须提供有效的建筑业企业资质证书。</w:t>
      </w:r>
    </w:p>
    <w:p w14:paraId="48E2C17C">
      <w:pPr>
        <w:pStyle w:val="31"/>
        <w:widowControl/>
        <w:numPr>
          <w:ilvl w:val="0"/>
          <w:numId w:val="6"/>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rPr>
        <w:t>供应商拟担任本工程项目负责人应具有机电工程专业二级或以上注册建造师，须提供有效的证书证明。</w:t>
      </w:r>
    </w:p>
    <w:p w14:paraId="3D8829AD">
      <w:pPr>
        <w:pStyle w:val="31"/>
        <w:numPr>
          <w:ilvl w:val="0"/>
          <w:numId w:val="3"/>
        </w:numPr>
        <w:spacing w:line="360" w:lineRule="auto"/>
        <w:ind w:left="420" w:hanging="420" w:firstLineChars="0"/>
        <w:rPr>
          <w:rStyle w:val="27"/>
          <w:rFonts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报价要求</w:t>
      </w:r>
      <w:r>
        <w:rPr>
          <w:rStyle w:val="27"/>
          <w:rFonts w:hint="eastAsia" w:ascii="宋体" w:hAnsi="宋体" w:eastAsia="宋体" w:cs="宋体"/>
          <w:color w:val="000000" w:themeColor="text1"/>
          <w:szCs w:val="21"/>
          <w14:textFill>
            <w14:solidFill>
              <w14:schemeClr w14:val="tx1"/>
            </w14:solidFill>
          </w14:textFill>
        </w:rPr>
        <w:t>（</w:t>
      </w:r>
      <w:r>
        <w:rPr>
          <w:rStyle w:val="27"/>
          <w:rFonts w:hint="eastAsia" w:ascii="宋体" w:hAnsi="宋体" w:eastAsia="宋体" w:cs="宋体"/>
          <w:b w:val="0"/>
          <w:color w:val="000000" w:themeColor="text1"/>
          <w:szCs w:val="21"/>
          <w14:textFill>
            <w14:solidFill>
              <w14:schemeClr w14:val="tx1"/>
            </w14:solidFill>
          </w14:textFill>
        </w:rPr>
        <w:t>报价时需要提供以下</w:t>
      </w:r>
      <w:r>
        <w:rPr>
          <w:rStyle w:val="27"/>
          <w:rFonts w:hint="eastAsia" w:ascii="宋体" w:hAnsi="宋体" w:eastAsia="宋体" w:cs="宋体"/>
          <w:color w:val="000000" w:themeColor="text1"/>
          <w:szCs w:val="21"/>
          <w:u w:val="double"/>
          <w14:textFill>
            <w14:solidFill>
              <w14:schemeClr w14:val="tx1"/>
            </w14:solidFill>
          </w14:textFill>
        </w:rPr>
        <w:t>盖章</w:t>
      </w:r>
      <w:r>
        <w:rPr>
          <w:rStyle w:val="27"/>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7"/>
          <w:rFonts w:hint="eastAsia" w:ascii="宋体" w:hAnsi="宋体" w:eastAsia="宋体" w:cs="宋体"/>
          <w:color w:val="000000" w:themeColor="text1"/>
          <w:szCs w:val="21"/>
          <w14:textFill>
            <w14:solidFill>
              <w14:schemeClr w14:val="tx1"/>
            </w14:solidFill>
          </w14:textFill>
        </w:rPr>
        <w:t>）</w:t>
      </w:r>
    </w:p>
    <w:p w14:paraId="69C32B56">
      <w:pPr>
        <w:pStyle w:val="31"/>
        <w:numPr>
          <w:ilvl w:val="0"/>
          <w:numId w:val="7"/>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报价表及工程量清单（加盖公章PDF版））、工程量清单（EXCEL版））。</w:t>
      </w:r>
    </w:p>
    <w:p w14:paraId="652BB70D">
      <w:pPr>
        <w:pStyle w:val="31"/>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D5B0C36">
      <w:pPr>
        <w:pStyle w:val="31"/>
        <w:numPr>
          <w:ilvl w:val="0"/>
          <w:numId w:val="3"/>
        </w:numPr>
        <w:spacing w:line="360" w:lineRule="auto"/>
        <w:ind w:left="420" w:hanging="420" w:firstLineChars="0"/>
        <w:rPr>
          <w:rStyle w:val="27"/>
          <w:rFonts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确定成交候选人</w:t>
      </w:r>
    </w:p>
    <w:p w14:paraId="3AF41F7A">
      <w:pPr>
        <w:pStyle w:val="31"/>
        <w:numPr>
          <w:ilvl w:val="0"/>
          <w:numId w:val="8"/>
        </w:numPr>
        <w:spacing w:line="360" w:lineRule="auto"/>
        <w:ind w:left="760" w:hanging="34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szCs w:val="21"/>
        </w:rPr>
        <w:t>本项目以最低价成交的方式确定成交供应商。报价时间截止后，系统按报价（经价格核准后的价格）由低到高顺序排列，</w:t>
      </w:r>
      <w:r>
        <w:rPr>
          <w:rFonts w:hint="eastAsia" w:ascii="宋体" w:hAnsi="宋体" w:eastAsia="宋体"/>
        </w:rPr>
        <w:t>报价最低的为第一成交候选人，报价相同的，按报价时间在前的为第一成交候选人；</w:t>
      </w:r>
      <w:r>
        <w:rPr>
          <w:rFonts w:hint="eastAsia" w:ascii="宋体" w:hAnsi="宋体" w:eastAsia="宋体"/>
          <w:szCs w:val="21"/>
        </w:rPr>
        <w:t>报价次低的为第二成交候选人，以此类推</w:t>
      </w:r>
      <w:r>
        <w:rPr>
          <w:rFonts w:hint="eastAsia" w:ascii="宋体" w:hAnsi="宋体" w:eastAsia="宋体" w:cs="宋体"/>
          <w:bCs/>
          <w:color w:val="000000" w:themeColor="text1"/>
          <w14:textFill>
            <w14:solidFill>
              <w14:schemeClr w14:val="tx1"/>
            </w14:solidFill>
          </w14:textFill>
        </w:rPr>
        <w:t>。</w:t>
      </w:r>
    </w:p>
    <w:p w14:paraId="019C5A90">
      <w:pPr>
        <w:pStyle w:val="31"/>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756F7115">
      <w:pPr>
        <w:pStyle w:val="31"/>
        <w:numPr>
          <w:ilvl w:val="0"/>
          <w:numId w:val="9"/>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14:paraId="35F7E4BC">
      <w:pPr>
        <w:pStyle w:val="31"/>
        <w:numPr>
          <w:ilvl w:val="0"/>
          <w:numId w:val="9"/>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585DA13E">
      <w:pPr>
        <w:pStyle w:val="31"/>
        <w:numPr>
          <w:ilvl w:val="0"/>
          <w:numId w:val="9"/>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503C7527">
      <w:pPr>
        <w:pStyle w:val="31"/>
        <w:numPr>
          <w:ilvl w:val="0"/>
          <w:numId w:val="9"/>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49206E14">
      <w:pPr>
        <w:pStyle w:val="19"/>
        <w:numPr>
          <w:ilvl w:val="0"/>
          <w:numId w:val="9"/>
        </w:numPr>
        <w:shd w:val="clear" w:color="auto" w:fill="FFFFFF"/>
        <w:spacing w:before="0" w:beforeAutospacing="0" w:after="0" w:afterAutospacing="0" w:line="360" w:lineRule="auto"/>
        <w:ind w:left="732" w:hanging="31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A3890CC">
      <w:pPr>
        <w:pStyle w:val="19"/>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7B7BDE20">
      <w:pPr>
        <w:pStyle w:val="19"/>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12464F59">
      <w:pPr>
        <w:pStyle w:val="31"/>
        <w:widowControl/>
        <w:numPr>
          <w:ilvl w:val="0"/>
          <w:numId w:val="10"/>
        </w:numPr>
        <w:spacing w:line="360" w:lineRule="auto"/>
        <w:ind w:left="1248" w:hanging="39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07A8FC97">
      <w:pPr>
        <w:pStyle w:val="31"/>
        <w:widowControl/>
        <w:numPr>
          <w:ilvl w:val="0"/>
          <w:numId w:val="10"/>
        </w:numPr>
        <w:spacing w:line="360" w:lineRule="auto"/>
        <w:ind w:left="1248" w:hanging="39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29DD5A4C">
      <w:pPr>
        <w:pStyle w:val="31"/>
        <w:widowControl/>
        <w:numPr>
          <w:ilvl w:val="0"/>
          <w:numId w:val="10"/>
        </w:numPr>
        <w:spacing w:line="360" w:lineRule="auto"/>
        <w:ind w:left="1248" w:hanging="39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5D8FA007">
      <w:pPr>
        <w:pStyle w:val="31"/>
        <w:widowControl/>
        <w:numPr>
          <w:ilvl w:val="0"/>
          <w:numId w:val="10"/>
        </w:numPr>
        <w:spacing w:line="360" w:lineRule="auto"/>
        <w:ind w:left="1248" w:hanging="397" w:firstLineChars="0"/>
        <w:jc w:val="left"/>
        <w:rPr>
          <w:rFonts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3F15E7D8">
      <w:pPr>
        <w:pStyle w:val="31"/>
        <w:widowControl/>
        <w:numPr>
          <w:ilvl w:val="0"/>
          <w:numId w:val="10"/>
        </w:numPr>
        <w:spacing w:line="360" w:lineRule="auto"/>
        <w:ind w:left="1248" w:hanging="39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7CA80358">
      <w:pPr>
        <w:pStyle w:val="31"/>
        <w:widowControl/>
        <w:numPr>
          <w:ilvl w:val="0"/>
          <w:numId w:val="10"/>
        </w:numPr>
        <w:spacing w:line="360" w:lineRule="auto"/>
        <w:ind w:left="1248" w:hanging="39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不同供应商的响应文件异常一致(格式相同，字体一样，表格颜色相同等)或者报价呈规律性差异；</w:t>
      </w:r>
    </w:p>
    <w:p w14:paraId="161F8D3E">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37E89DB5">
      <w:pPr>
        <w:pStyle w:val="31"/>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不同供应商的平台保障金从同一单位或者个人的账户转出（如有）。</w:t>
      </w:r>
    </w:p>
    <w:p w14:paraId="2B393891">
      <w:pPr>
        <w:pStyle w:val="31"/>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0E365D4C">
      <w:pPr>
        <w:pStyle w:val="31"/>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1A91C8EA">
      <w:pPr>
        <w:pStyle w:val="31"/>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200F5B7C">
      <w:pPr>
        <w:pStyle w:val="31"/>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5C23A288">
      <w:pPr>
        <w:pStyle w:val="31"/>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7040355A">
      <w:pPr>
        <w:pStyle w:val="31"/>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22315C30">
      <w:pPr>
        <w:pStyle w:val="31"/>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2D70057E">
      <w:pPr>
        <w:pStyle w:val="31"/>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1D16C445">
      <w:pPr>
        <w:pStyle w:val="31"/>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5C7A5D4D">
      <w:pPr>
        <w:pStyle w:val="31"/>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4A2D8830">
      <w:pPr>
        <w:pStyle w:val="31"/>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21AFC65D">
      <w:pPr>
        <w:pStyle w:val="31"/>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广东省广裕集团肇庆祥达实业有限公司业务咨询部门电话 0758-3173863</w:t>
      </w:r>
      <w:r>
        <w:rPr>
          <w:rFonts w:ascii="宋体" w:hAnsi="宋体" w:eastAsia="宋体"/>
        </w:rPr>
        <w:t>。</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广东省广裕集团肇庆祥达实业有限公司纪检监督部门电话0758—3173809</w:t>
      </w:r>
      <w:r>
        <w:rPr>
          <w:rFonts w:ascii="宋体" w:hAnsi="宋体" w:eastAsia="宋体"/>
        </w:rPr>
        <w:t>。</w:t>
      </w:r>
    </w:p>
    <w:p w14:paraId="1AD19F33">
      <w:pPr>
        <w:pStyle w:val="31"/>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44DDCB9B">
      <w:pPr>
        <w:pStyle w:val="31"/>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294B97FE">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CDF068A">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289E2462">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55EF473B">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59A8A01B">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bookmarkStart w:id="0" w:name="_Hlk169448260"/>
      <w:bookmarkStart w:id="1" w:name="_Hlk169883875"/>
      <w:bookmarkStart w:id="2" w:name="_Hlk179972347"/>
      <w:r>
        <w:rPr>
          <w:rFonts w:hint="eastAsia" w:hAnsi="宋体" w:cs="宋体"/>
          <w:b/>
          <w:bCs/>
          <w:color w:val="000000" w:themeColor="text1"/>
          <w:sz w:val="21"/>
          <w14:textFill>
            <w14:solidFill>
              <w14:schemeClr w14:val="tx1"/>
            </w14:solidFill>
          </w14:textFill>
        </w:rPr>
        <w:t>项目一览表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1162"/>
        <w:gridCol w:w="2156"/>
        <w:gridCol w:w="4003"/>
      </w:tblGrid>
      <w:tr w14:paraId="1A014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4" w:type="pct"/>
            <w:tcBorders>
              <w:top w:val="single" w:color="auto" w:sz="12" w:space="0"/>
              <w:bottom w:val="single" w:color="auto" w:sz="2" w:space="0"/>
            </w:tcBorders>
            <w:shd w:val="clear" w:color="auto" w:fill="EEECE1"/>
            <w:vAlign w:val="center"/>
          </w:tcPr>
          <w:p w14:paraId="171D3EF6">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583" w:type="pct"/>
            <w:tcBorders>
              <w:top w:val="single" w:color="auto" w:sz="12" w:space="0"/>
              <w:bottom w:val="single" w:color="auto" w:sz="2" w:space="0"/>
            </w:tcBorders>
            <w:shd w:val="clear" w:color="auto" w:fill="EEECE1"/>
            <w:vAlign w:val="center"/>
          </w:tcPr>
          <w:p w14:paraId="71F4375E">
            <w:pPr>
              <w:jc w:val="center"/>
              <w:rPr>
                <w:rFonts w:ascii="宋体" w:hAnsi="宋体" w:eastAsia="宋体" w:cs="宋体"/>
                <w:b/>
                <w:szCs w:val="21"/>
              </w:rPr>
            </w:pPr>
            <w:r>
              <w:rPr>
                <w:rFonts w:hint="eastAsia" w:ascii="宋体" w:hAnsi="宋体" w:eastAsia="宋体" w:cs="宋体"/>
                <w:b/>
                <w:szCs w:val="21"/>
              </w:rPr>
              <w:t>数量</w:t>
            </w:r>
          </w:p>
        </w:tc>
        <w:tc>
          <w:tcPr>
            <w:tcW w:w="1082" w:type="pct"/>
            <w:tcBorders>
              <w:top w:val="single" w:color="auto" w:sz="12" w:space="0"/>
              <w:bottom w:val="single" w:color="auto" w:sz="2" w:space="0"/>
            </w:tcBorders>
            <w:shd w:val="clear" w:color="auto" w:fill="EEECE1"/>
            <w:vAlign w:val="center"/>
          </w:tcPr>
          <w:p w14:paraId="0E6579F0">
            <w:pPr>
              <w:jc w:val="center"/>
              <w:rPr>
                <w:rFonts w:ascii="宋体" w:hAnsi="宋体" w:eastAsia="宋体" w:cs="宋体"/>
                <w:b/>
                <w:color w:val="FF0000"/>
                <w:szCs w:val="21"/>
              </w:rPr>
            </w:pPr>
            <w:r>
              <w:rPr>
                <w:rFonts w:hint="eastAsia" w:ascii="宋体" w:hAnsi="宋体" w:eastAsia="宋体" w:cs="宋体"/>
                <w:b/>
                <w:szCs w:val="21"/>
              </w:rPr>
              <w:t>工期</w:t>
            </w:r>
          </w:p>
        </w:tc>
        <w:tc>
          <w:tcPr>
            <w:tcW w:w="2009" w:type="pct"/>
            <w:tcBorders>
              <w:top w:val="single" w:color="auto" w:sz="12" w:space="0"/>
              <w:bottom w:val="single" w:color="auto" w:sz="2" w:space="0"/>
            </w:tcBorders>
            <w:shd w:val="clear" w:color="auto" w:fill="EEECE1"/>
            <w:vAlign w:val="center"/>
          </w:tcPr>
          <w:p w14:paraId="61514DD1">
            <w:pPr>
              <w:jc w:val="center"/>
              <w:rPr>
                <w:rFonts w:ascii="宋体" w:hAnsi="宋体" w:eastAsia="宋体" w:cs="宋体"/>
                <w:b/>
                <w:szCs w:val="21"/>
              </w:rPr>
            </w:pPr>
            <w:r>
              <w:rPr>
                <w:rFonts w:hint="eastAsia" w:ascii="宋体" w:hAnsi="宋体" w:eastAsia="宋体" w:cs="宋体"/>
                <w:b/>
                <w:szCs w:val="21"/>
              </w:rPr>
              <w:t>最高限价</w:t>
            </w:r>
          </w:p>
        </w:tc>
      </w:tr>
      <w:tr w14:paraId="7612C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24" w:type="pct"/>
            <w:tcBorders>
              <w:top w:val="single" w:color="auto" w:sz="2" w:space="0"/>
              <w:bottom w:val="single" w:color="auto" w:sz="2" w:space="0"/>
            </w:tcBorders>
            <w:vAlign w:val="center"/>
          </w:tcPr>
          <w:p w14:paraId="17F6C616">
            <w:pPr>
              <w:jc w:val="center"/>
              <w:rPr>
                <w:rFonts w:ascii="宋体" w:hAnsi="宋体" w:eastAsia="宋体" w:cs="宋体"/>
                <w:color w:val="000000" w:themeColor="text1"/>
                <w:szCs w:val="21"/>
                <w14:textFill>
                  <w14:solidFill>
                    <w14:schemeClr w14:val="tx1"/>
                  </w14:solidFill>
                </w14:textFill>
              </w:rPr>
            </w:pPr>
            <w:bookmarkStart w:id="3" w:name="_Hlk167195175"/>
            <w:r>
              <w:rPr>
                <w:rFonts w:hint="eastAsia" w:ascii="宋体" w:hAnsi="宋体" w:eastAsia="宋体" w:cs="宋体"/>
                <w:color w:val="000000" w:themeColor="text1"/>
                <w:szCs w:val="21"/>
                <w14:textFill>
                  <w14:solidFill>
                    <w14:schemeClr w14:val="tx1"/>
                  </w14:solidFill>
                </w14:textFill>
              </w:rPr>
              <w:t>广东省广裕集团肇庆祥达实业有限公司“十一五”组团工厂烟感报警器加装及消防照明线路维修项目</w:t>
            </w:r>
          </w:p>
        </w:tc>
        <w:tc>
          <w:tcPr>
            <w:tcW w:w="583" w:type="pct"/>
            <w:tcBorders>
              <w:top w:val="single" w:color="auto" w:sz="2" w:space="0"/>
              <w:bottom w:val="single" w:color="auto" w:sz="2" w:space="0"/>
            </w:tcBorders>
            <w:vAlign w:val="center"/>
          </w:tcPr>
          <w:p w14:paraId="330DB17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082" w:type="pct"/>
            <w:tcBorders>
              <w:top w:val="single" w:color="auto" w:sz="2" w:space="0"/>
              <w:bottom w:val="single" w:color="auto" w:sz="2" w:space="0"/>
            </w:tcBorders>
            <w:vAlign w:val="center"/>
          </w:tcPr>
          <w:p w14:paraId="4D63E237">
            <w:pPr>
              <w:keepNext/>
              <w:adjustRightInd w:val="0"/>
              <w:jc w:val="center"/>
              <w:textAlignment w:val="center"/>
              <w:rPr>
                <w:rFonts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333333"/>
                <w:szCs w:val="21"/>
                <w:shd w:val="clear" w:color="auto" w:fill="FFFFFF"/>
              </w:rPr>
              <w:t>合同签订后，采购人开具开工令之日起73个日历日内完成施工</w:t>
            </w:r>
          </w:p>
        </w:tc>
        <w:tc>
          <w:tcPr>
            <w:tcW w:w="2009" w:type="pct"/>
            <w:tcBorders>
              <w:top w:val="single" w:color="auto" w:sz="2" w:space="0"/>
              <w:bottom w:val="single" w:color="auto" w:sz="2" w:space="0"/>
            </w:tcBorders>
            <w:vAlign w:val="center"/>
          </w:tcPr>
          <w:p w14:paraId="133E4161">
            <w:pPr>
              <w:jc w:val="center"/>
              <w:rPr>
                <w:rFonts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333333"/>
                <w:szCs w:val="21"/>
                <w:shd w:val="clear" w:color="auto" w:fill="FFFFFF"/>
              </w:rPr>
              <w:t>人民币</w:t>
            </w:r>
            <w:r>
              <w:rPr>
                <w:rFonts w:hint="eastAsia" w:asciiTheme="minorEastAsia" w:hAnsiTheme="minorEastAsia" w:cstheme="minorEastAsia"/>
                <w:color w:val="333333"/>
                <w:szCs w:val="21"/>
                <w:u w:val="single"/>
                <w:shd w:val="clear" w:color="auto" w:fill="FFFFFF"/>
              </w:rPr>
              <w:t>507359.12</w:t>
            </w:r>
            <w:r>
              <w:rPr>
                <w:rFonts w:hint="eastAsia" w:asciiTheme="minorEastAsia" w:hAnsiTheme="minorEastAsia" w:cstheme="minorEastAsia"/>
                <w:color w:val="333333"/>
                <w:szCs w:val="21"/>
                <w:shd w:val="clear" w:color="auto" w:fill="FFFFFF"/>
              </w:rPr>
              <w:t>元（其中绿色施工安全防护措施费</w:t>
            </w:r>
            <w:r>
              <w:rPr>
                <w:rFonts w:hint="eastAsia" w:ascii="宋体" w:hAnsi="宋体" w:eastAsia="宋体" w:cs="宋体"/>
                <w:szCs w:val="21"/>
              </w:rPr>
              <w:t>21321.58</w:t>
            </w:r>
            <w:r>
              <w:rPr>
                <w:rFonts w:hint="eastAsia" w:asciiTheme="minorEastAsia" w:hAnsiTheme="minorEastAsia" w:cstheme="minorEastAsia"/>
                <w:color w:val="333333"/>
                <w:szCs w:val="21"/>
                <w:shd w:val="clear" w:color="auto" w:fill="FFFFFF"/>
              </w:rPr>
              <w:t>元为不可竞争费用）</w:t>
            </w:r>
          </w:p>
        </w:tc>
      </w:tr>
      <w:bookmarkEnd w:id="0"/>
      <w:bookmarkEnd w:id="1"/>
      <w:bookmarkEnd w:id="2"/>
      <w:bookmarkEnd w:id="3"/>
    </w:tbl>
    <w:p w14:paraId="6653C2E1">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6A5D97CA">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项目名称：广东省广裕集团肇庆祥达实业有限公司“十一五”组团工厂烟感报警器加装及消防照明线路维修项目</w:t>
      </w:r>
    </w:p>
    <w:p w14:paraId="4EE46857">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项目施工地点：广东省四会市城中街道城北社区汶塘路1号</w:t>
      </w:r>
    </w:p>
    <w:p w14:paraId="5837B7B5">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项目预算：507359.12元</w:t>
      </w:r>
    </w:p>
    <w:p w14:paraId="2DDF5DC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1、项目总预算：507359.12元</w:t>
      </w:r>
    </w:p>
    <w:p w14:paraId="0F2C7E3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2、暂列金金额：0元</w:t>
      </w:r>
    </w:p>
    <w:p w14:paraId="0C37F2AA">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3、绿色施工安全防护措施费金额：21321.58元</w:t>
      </w:r>
    </w:p>
    <w:p w14:paraId="190FAE36">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4、余泥渣土场外运输排放费：0元</w:t>
      </w:r>
    </w:p>
    <w:p w14:paraId="2536848F">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项目工期：</w:t>
      </w:r>
      <w:r>
        <w:rPr>
          <w:rFonts w:hint="eastAsia" w:asciiTheme="minorEastAsia" w:hAnsiTheme="minorEastAsia" w:cstheme="minorEastAsia"/>
          <w:color w:val="333333"/>
          <w:szCs w:val="21"/>
          <w:shd w:val="clear" w:color="auto" w:fill="FFFFFF"/>
        </w:rPr>
        <w:t>合同签订后，采购人开具开工令之日起73个日历日内完成施工</w:t>
      </w:r>
    </w:p>
    <w:p w14:paraId="57D8E7E8">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工程内容：对“十一五”组团工厂烟感报警器加装及消防照明线路维修工程进行施工，内容包含烟感系统加装及应急疏散照明系统集中供电改造两部分，涉及车间建筑面积约为22680㎡（建筑面积约为1260㎡的生产车间24个），，其中3个车间有格栅式吊顶，安装设备需要拆除吊顶，安装完毕后复原（吊顶拆装费用包含在总价内，不再另行计算）。其余具体见公告附件施工设计图及工程量清单。</w:t>
      </w:r>
    </w:p>
    <w:p w14:paraId="19925FBF">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报价须知:本项目采用图纸总价包干方式，根据施工图纸、需求书、设备清单、使用材料说明及资料工程性质、工程特点，由成交供应商包工、包料、包机械、包质量、包安全、包工期、包风险、包文明施工、包整个项目的安装调试，包一次性验收通过，以合同价（即成交金额）（含税费、工程、运杂费等一切费用以及施工过程中不可预见的费用等）为结算的依据，不受市场材料价格的上下变动而调整。采购人在实施过程中根据本工程实际情况有权增减部分内容，成交供应商不能拒绝执行。签订合同后，如出现招标控制价漏项或施工图缺漏影响安全使用的必要组成部分，无论招标控制价和施工图中指出与否，成交供应商均需承担此部分内容费用，合同签订生效后不得增加任何费用。根据施工过程中采购人要求出现施工材料安装数量少于清单工程量的，按合同清单中对应的单价*减少工程量，在结算金额中予以扣减。</w:t>
      </w:r>
    </w:p>
    <w:p w14:paraId="22EDC6E7">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成交供应商</w:t>
      </w:r>
      <w:r>
        <w:rPr>
          <w:rFonts w:hint="eastAsia" w:ascii="宋体" w:hAnsi="宋体" w:eastAsia="宋体" w:cs="宋体"/>
          <w:szCs w:val="21"/>
        </w:rPr>
        <w:t>向</w:t>
      </w:r>
      <w:r>
        <w:rPr>
          <w:rFonts w:hint="eastAsia" w:ascii="宋体" w:hAnsi="宋体" w:eastAsia="宋体" w:cs="宋体"/>
          <w:szCs w:val="21"/>
          <w:lang w:val="en-US" w:eastAsia="zh-CN"/>
        </w:rPr>
        <w:t>采购人</w:t>
      </w:r>
      <w:r>
        <w:rPr>
          <w:rFonts w:hint="eastAsia" w:ascii="宋体" w:hAnsi="宋体" w:eastAsia="宋体" w:cs="宋体"/>
          <w:szCs w:val="21"/>
        </w:rPr>
        <w:t>提交项目负责人驻场承诺书和专职安全管理人员驻场承诺书</w:t>
      </w:r>
      <w:r>
        <w:rPr>
          <w:rFonts w:hint="eastAsia" w:ascii="宋体" w:hAnsi="宋体" w:eastAsia="宋体" w:cs="宋体"/>
          <w:szCs w:val="21"/>
          <w:lang w:eastAsia="zh-CN"/>
        </w:rPr>
        <w:t>。</w:t>
      </w:r>
    </w:p>
    <w:p w14:paraId="6782F2E0">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现场勘察：</w:t>
      </w:r>
    </w:p>
    <w:p w14:paraId="43A0C86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现场</w:t>
      </w:r>
      <w:bookmarkStart w:id="4" w:name="_Hlk184924050"/>
      <w:r>
        <w:rPr>
          <w:rFonts w:hint="eastAsia" w:ascii="宋体" w:hAnsi="宋体" w:eastAsia="宋体" w:cs="宋体"/>
          <w:szCs w:val="21"/>
        </w:rPr>
        <w:t>勘察</w:t>
      </w:r>
      <w:bookmarkEnd w:id="4"/>
      <w:r>
        <w:rPr>
          <w:rFonts w:hint="eastAsia" w:ascii="宋体" w:hAnsi="宋体" w:eastAsia="宋体" w:cs="宋体"/>
          <w:szCs w:val="21"/>
        </w:rPr>
        <w:t>地点：广东省广裕集团肇庆祥达实业有限公司。</w:t>
      </w:r>
    </w:p>
    <w:p w14:paraId="7A6FD04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勘察时间：202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24日14：30</w:t>
      </w:r>
      <w:r>
        <w:rPr>
          <w:rFonts w:hint="eastAsia" w:ascii="宋体" w:hAnsi="宋体" w:eastAsia="宋体" w:cs="宋体"/>
          <w:szCs w:val="21"/>
        </w:rPr>
        <w:t>，其他时间不再提供现场勘察</w:t>
      </w:r>
      <w:r>
        <w:rPr>
          <w:rFonts w:hint="eastAsia" w:ascii="宋体" w:hAnsi="宋体" w:eastAsia="宋体" w:cs="宋体"/>
          <w:szCs w:val="21"/>
          <w:lang w:eastAsia="zh-CN"/>
        </w:rPr>
        <w:t>，</w:t>
      </w:r>
      <w:r>
        <w:rPr>
          <w:rFonts w:hint="eastAsia" w:ascii="宋体" w:hAnsi="宋体" w:eastAsia="宋体" w:cs="宋体"/>
          <w:szCs w:val="21"/>
          <w:lang w:val="en-US" w:eastAsia="zh-CN"/>
        </w:rPr>
        <w:t>供应商进行现场勘察须提前联系勘察联系人进行提前预约，否则采购单位可拒绝供应商进入现场</w:t>
      </w:r>
      <w:r>
        <w:rPr>
          <w:rFonts w:hint="eastAsia" w:ascii="宋体" w:hAnsi="宋体" w:eastAsia="宋体" w:cs="宋体"/>
          <w:szCs w:val="21"/>
        </w:rPr>
        <w:t>。报名供应商根据自愿原则决定是否参与现场勘察，供应商如没有进行现场勘察的成交后由此造成的误差由成交供应商自行承担。采购人统一安排进行现场勘察，逾时报到视为放弃勘察资格，过时不候。</w:t>
      </w:r>
    </w:p>
    <w:p w14:paraId="727316D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联系人：李先生</w:t>
      </w:r>
    </w:p>
    <w:p w14:paraId="54B1571E">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联系方式：0758-3173778</w:t>
      </w:r>
    </w:p>
    <w:p w14:paraId="583C71A3">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是否需要项目总负责人：是</w:t>
      </w:r>
    </w:p>
    <w:p w14:paraId="223ECBBD">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rPr>
        <w:t>是否需要专职安全管理人员：是</w:t>
      </w:r>
    </w:p>
    <w:p w14:paraId="148E1D3D">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工作要求</w:t>
      </w:r>
    </w:p>
    <w:p w14:paraId="73026687">
      <w:pPr>
        <w:numPr>
          <w:ilvl w:val="0"/>
          <w:numId w:val="16"/>
        </w:numPr>
        <w:adjustRightInd w:val="0"/>
        <w:snapToGrid w:val="0"/>
        <w:spacing w:line="360" w:lineRule="auto"/>
        <w:rPr>
          <w:rFonts w:ascii="宋体" w:hAnsi="宋体" w:eastAsia="宋体" w:cs="宋体"/>
          <w:szCs w:val="21"/>
        </w:rPr>
      </w:pPr>
      <w:r>
        <w:rPr>
          <w:rFonts w:hint="eastAsia" w:ascii="宋体" w:hAnsi="宋体" w:eastAsia="宋体" w:cs="宋体"/>
          <w:szCs w:val="21"/>
        </w:rPr>
        <w:t>施工要求、条件</w:t>
      </w:r>
    </w:p>
    <w:p w14:paraId="376BBD57">
      <w:pPr>
        <w:numPr>
          <w:ilvl w:val="0"/>
          <w:numId w:val="17"/>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工程实施过程中，出现下列情形，经采购人确认，工期予以顺延：</w:t>
      </w:r>
    </w:p>
    <w:p w14:paraId="55B87650">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（1）不可抗力因素；</w:t>
      </w:r>
    </w:p>
    <w:p w14:paraId="23B855E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（2）工程量未增加但修改部分施工工艺和安装要求的。</w:t>
      </w:r>
    </w:p>
    <w:p w14:paraId="6C30D3B5">
      <w:pPr>
        <w:numPr>
          <w:ilvl w:val="0"/>
          <w:numId w:val="17"/>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采购人不提供临设及材料加工场地，临时设施及材料加工由采成交供应商自行解决，其费用由成交供应商自理。</w:t>
      </w:r>
    </w:p>
    <w:p w14:paraId="1FF8C898">
      <w:pPr>
        <w:numPr>
          <w:ilvl w:val="0"/>
          <w:numId w:val="17"/>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进场施工人员必须严格遵守相关规章制度。进入施工现场人员必须佩戴工作证，并自觉接受检查。</w:t>
      </w:r>
    </w:p>
    <w:p w14:paraId="60F224FC">
      <w:pPr>
        <w:numPr>
          <w:ilvl w:val="0"/>
          <w:numId w:val="17"/>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成交供应商应确保施工现场的清洁卫生，破坏路面、绿化、设施的应负责修复，建筑垃圾必须清理干净并运出我司。</w:t>
      </w:r>
    </w:p>
    <w:p w14:paraId="36CC2D25">
      <w:pPr>
        <w:numPr>
          <w:ilvl w:val="0"/>
          <w:numId w:val="17"/>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成交供应商在施工现场需对现有已安装完毕的设备或装饰装修进行整改时，成交供应商必须对其进行修复，修复费用已包含在总价中。</w:t>
      </w:r>
    </w:p>
    <w:p w14:paraId="72869C56">
      <w:pPr>
        <w:numPr>
          <w:ilvl w:val="0"/>
          <w:numId w:val="16"/>
        </w:numPr>
        <w:adjustRightInd w:val="0"/>
        <w:snapToGrid w:val="0"/>
        <w:spacing w:line="360" w:lineRule="auto"/>
        <w:rPr>
          <w:rFonts w:ascii="宋体" w:hAnsi="宋体" w:eastAsia="宋体" w:cs="宋体"/>
          <w:szCs w:val="21"/>
        </w:rPr>
      </w:pPr>
      <w:r>
        <w:rPr>
          <w:rFonts w:hint="eastAsia" w:ascii="宋体" w:hAnsi="宋体" w:eastAsia="宋体" w:cs="宋体"/>
          <w:szCs w:val="21"/>
        </w:rPr>
        <w:t>安全文明施工要求：成交供应商在施工期间应严格遵守《中华人民共和国安全生产法》、《建设工程安全生产管理条例》以及文明施工等规定，建立规章制度和防护措施。成交供应商必须负责其派出的为本工程服务人员的人身意外保险，施工期间所出现的一切安全事故均由成交供应商全权负责。成交供应商需确保不发生一般事故等级及以上的安全生产事故且死亡人数为零，保证施工场地清洁、扬尘及噪音管理符合环境卫生管理的有关规定。成交供应商需为所有施工人员购买工伤保险和意外险，保额不低于100万元/人。</w:t>
      </w:r>
    </w:p>
    <w:p w14:paraId="1F8635F5">
      <w:pPr>
        <w:numPr>
          <w:ilvl w:val="0"/>
          <w:numId w:val="16"/>
        </w:numPr>
        <w:adjustRightInd w:val="0"/>
        <w:snapToGrid w:val="0"/>
        <w:spacing w:line="360" w:lineRule="auto"/>
        <w:rPr>
          <w:rFonts w:ascii="宋体" w:hAnsi="宋体" w:eastAsia="宋体" w:cs="宋体"/>
          <w:szCs w:val="21"/>
        </w:rPr>
      </w:pPr>
      <w:r>
        <w:rPr>
          <w:rFonts w:hint="eastAsia" w:ascii="宋体" w:hAnsi="宋体" w:eastAsia="宋体" w:cs="宋体"/>
          <w:szCs w:val="21"/>
        </w:rPr>
        <w:t>成交供应商不许转包、分包。不许随意更换项目负责人，如确须更换，则事前须征得采购人同意。如有违反，一经发现取消中标资格，并赔偿由此造成的一切损失(包含质量安全事故、拖延工期、增加投资等损失)。在施工过程中，项目负责人如不到位，则在工程款中扣除2%作为处罚，造成损失的，按实际发生额赔偿。</w:t>
      </w:r>
    </w:p>
    <w:p w14:paraId="4ADE6FB8">
      <w:pPr>
        <w:numPr>
          <w:ilvl w:val="0"/>
          <w:numId w:val="16"/>
        </w:numPr>
        <w:adjustRightInd w:val="0"/>
        <w:snapToGrid w:val="0"/>
        <w:spacing w:line="360" w:lineRule="auto"/>
        <w:rPr>
          <w:rFonts w:ascii="宋体" w:hAnsi="宋体" w:eastAsia="宋体" w:cs="宋体"/>
          <w:szCs w:val="21"/>
        </w:rPr>
      </w:pPr>
      <w:r>
        <w:rPr>
          <w:rFonts w:hint="eastAsia" w:ascii="宋体" w:hAnsi="宋体" w:eastAsia="宋体" w:cs="宋体"/>
          <w:szCs w:val="21"/>
        </w:rPr>
        <w:t>在工程进行中，成交供应商要注意保护场内的各种管线和设施。若有任何损坏，须立即通知有关部门和采购人，并由损坏单位承担损失和修复费用。所有进场材料需提前 48 小时报验，未经确认不得使用。</w:t>
      </w:r>
    </w:p>
    <w:p w14:paraId="19BEB2AB">
      <w:pPr>
        <w:numPr>
          <w:ilvl w:val="0"/>
          <w:numId w:val="16"/>
        </w:numPr>
        <w:adjustRightInd w:val="0"/>
        <w:snapToGrid w:val="0"/>
        <w:spacing w:line="360" w:lineRule="auto"/>
        <w:rPr>
          <w:rFonts w:ascii="宋体" w:hAnsi="宋体" w:eastAsia="宋体" w:cs="宋体"/>
          <w:szCs w:val="21"/>
        </w:rPr>
      </w:pPr>
      <w:r>
        <w:rPr>
          <w:rFonts w:hint="eastAsia" w:ascii="宋体" w:hAnsi="宋体" w:eastAsia="宋体" w:cs="宋体"/>
          <w:szCs w:val="21"/>
        </w:rPr>
        <w:t>成交供应商在收到采购人提供的图纸后，有责任对图纸或其他资料进行复核，发现图纸存在差错、遗漏或缺陷的，应在其有关的单项工程开工前及时书面通知采购人，采购人应在收到成交供应商报送的通知后的合理时间内作出决定。</w:t>
      </w:r>
    </w:p>
    <w:p w14:paraId="6B14A449">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5D1E1AF6">
      <w:pPr>
        <w:numPr>
          <w:ilvl w:val="0"/>
          <w:numId w:val="18"/>
        </w:numPr>
        <w:adjustRightInd w:val="0"/>
        <w:snapToGrid w:val="0"/>
        <w:spacing w:line="360" w:lineRule="auto"/>
        <w:rPr>
          <w:rFonts w:ascii="宋体" w:hAnsi="宋体" w:eastAsia="宋体" w:cs="宋体"/>
          <w:szCs w:val="21"/>
        </w:rPr>
      </w:pPr>
      <w:r>
        <w:rPr>
          <w:rFonts w:hint="eastAsia" w:ascii="宋体" w:hAnsi="宋体" w:eastAsia="宋体" w:cs="宋体"/>
          <w:szCs w:val="21"/>
        </w:rPr>
        <w:t>项目款项支付方式：</w:t>
      </w:r>
    </w:p>
    <w:p w14:paraId="0B392D41">
      <w:pPr>
        <w:numPr>
          <w:ilvl w:val="0"/>
          <w:numId w:val="19"/>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绿色施工安全防护措施费：随进度款按进度支付。</w:t>
      </w:r>
    </w:p>
    <w:p w14:paraId="7A3F6F17">
      <w:pPr>
        <w:numPr>
          <w:ilvl w:val="0"/>
          <w:numId w:val="19"/>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工程款：</w:t>
      </w:r>
    </w:p>
    <w:p w14:paraId="06A378A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（1）第一期预付款：合同签定生效、成交供应商缴纳履约保证金后30个日历天内，经采购人确认具备施工条件后，成交供应商可按合同总价的30%作为工程预付款，向采购人申请办理支付。</w:t>
      </w:r>
    </w:p>
    <w:p w14:paraId="64E6673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第二期工程款：项目竣工并通过采购人的验收合格后，成交供应商把本项目工程的一切资料整理成册（一式三份）作竣工资料交给采购人存档（资料包括如有：深化后最终的设计、实施图纸）、完成办理项目结算审核并缴纳工程质量保证金后，可向采购人申请办理支付结算余款。</w:t>
      </w:r>
    </w:p>
    <w:p w14:paraId="6B46375A">
      <w:pPr>
        <w:numPr>
          <w:ilvl w:val="0"/>
          <w:numId w:val="18"/>
        </w:numPr>
        <w:adjustRightInd w:val="0"/>
        <w:snapToGrid w:val="0"/>
        <w:spacing w:line="360" w:lineRule="auto"/>
        <w:rPr>
          <w:rFonts w:ascii="宋体" w:hAnsi="宋体" w:eastAsia="宋体" w:cs="宋体"/>
          <w:szCs w:val="21"/>
        </w:rPr>
      </w:pPr>
      <w:r>
        <w:rPr>
          <w:rFonts w:hint="eastAsia" w:ascii="宋体" w:hAnsi="宋体" w:eastAsia="宋体" w:cs="宋体"/>
          <w:szCs w:val="21"/>
        </w:rPr>
        <w:t>履约保证金</w:t>
      </w:r>
    </w:p>
    <w:p w14:paraId="3DFBEAF0">
      <w:pPr>
        <w:numPr>
          <w:ilvl w:val="0"/>
          <w:numId w:val="20"/>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收取比例：金额为中标价款的5%；</w:t>
      </w:r>
    </w:p>
    <w:p w14:paraId="59E20A20">
      <w:pPr>
        <w:numPr>
          <w:ilvl w:val="0"/>
          <w:numId w:val="20"/>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退还履约保证金退还说明：在通过竣工验收后，成交供应商可向采购人申请无息退还履约保证金。</w:t>
      </w:r>
    </w:p>
    <w:p w14:paraId="32B7641D">
      <w:pPr>
        <w:numPr>
          <w:ilvl w:val="0"/>
          <w:numId w:val="20"/>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成交供应商应在合同签订后5个日历天内向采购人缴纳履约保证金，若成交供应商逾期7个工作日仍未缴纳履约保证金，采购人有权单方面终止合同并追究成交供应商的违约责任</w:t>
      </w:r>
    </w:p>
    <w:p w14:paraId="55A9B03E">
      <w:pPr>
        <w:numPr>
          <w:ilvl w:val="0"/>
          <w:numId w:val="18"/>
        </w:numPr>
        <w:adjustRightInd w:val="0"/>
        <w:snapToGrid w:val="0"/>
        <w:spacing w:line="360" w:lineRule="auto"/>
        <w:rPr>
          <w:rFonts w:ascii="宋体" w:hAnsi="宋体" w:eastAsia="宋体" w:cs="宋体"/>
          <w:szCs w:val="21"/>
        </w:rPr>
      </w:pPr>
      <w:r>
        <w:rPr>
          <w:rFonts w:hint="eastAsia" w:ascii="宋体" w:hAnsi="宋体" w:eastAsia="宋体" w:cs="宋体"/>
          <w:szCs w:val="21"/>
        </w:rPr>
        <w:t>工程质量保证金</w:t>
      </w:r>
    </w:p>
    <w:p w14:paraId="41180B32">
      <w:pPr>
        <w:numPr>
          <w:ilvl w:val="0"/>
          <w:numId w:val="21"/>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收取比例：金额为审定结算价款的3%</w:t>
      </w:r>
    </w:p>
    <w:p w14:paraId="70CCA5A0">
      <w:pPr>
        <w:numPr>
          <w:ilvl w:val="0"/>
          <w:numId w:val="21"/>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退还质量保证金退还说明：在质保期期满后，成交供应商可向采购人申请无息退还过程质量保证金。</w:t>
      </w:r>
    </w:p>
    <w:p w14:paraId="12E8A4F5">
      <w:pPr>
        <w:numPr>
          <w:ilvl w:val="0"/>
          <w:numId w:val="21"/>
        </w:num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成交供应商应在完成工程结算审核后5个日历天内向采购人缴纳工程质量保证金。</w:t>
      </w:r>
      <w:ins w:id="0" w:author="云采链" w:date="2025-06-12T11:03:00Z">
        <w:r>
          <w:rPr>
            <w:rFonts w:hint="eastAsia" w:ascii="宋体" w:hAnsi="宋体" w:eastAsia="宋体" w:cs="宋体"/>
            <w:szCs w:val="21"/>
          </w:rPr>
          <w:t>因成交供应商未足额缴纳工程质量保证金导致采购人无法按时结算工程款，所造成的损失由成交供应商自行承担。</w:t>
        </w:r>
      </w:ins>
    </w:p>
    <w:p w14:paraId="26C0B6CB">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工程项目验收、质量保证期限、质保期内售后服务要求：</w:t>
      </w:r>
    </w:p>
    <w:p w14:paraId="6B33E95B">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验收按投标文件中的各项技术指标、规格、性能进行验收。当项目性能无法达到使用要求时，采购人可拒绝验收，由此造成的损失全部由成交供应商承担。</w:t>
      </w:r>
    </w:p>
    <w:p w14:paraId="0B62F05E">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所有验收文件、测试报告、资料要提交给采购人以作留档备案。</w:t>
      </w:r>
    </w:p>
    <w:p w14:paraId="09B0E8D8">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交付验收标准依次顺序对照适用标准为：符合中华人民共和国国家安全质量标准、环保标准或行业标准；符合招标文件和响应承诺采购人认可的合理最佳配置、参数及各项要求；货物来源符合官方标准。</w:t>
      </w:r>
    </w:p>
    <w:p w14:paraId="5BB5DC71">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本项目的质量维修保修期从确认验收合格之日起计，两年的项目质量免费维修保养期（包含所有材料的费用及更换的人工费），若成交供应商承诺质保期大于两年的，按成交供应商承诺执行；</w:t>
      </w:r>
    </w:p>
    <w:p w14:paraId="25A6F678">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成交供应商应设有维修服务机构，在质保期内对采购人通过电话或书面形式提出的质量问题及维修要求应在2小时内响应，必要时派员上门排除故障，在 24 小时内免费更换有故障的部件或材料。</w:t>
      </w:r>
    </w:p>
    <w:p w14:paraId="0DFB012B">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所有保修服务方式均为成交供应商上门现场维修，由此产生的一切费用均由成交供应商承担；</w:t>
      </w:r>
    </w:p>
    <w:p w14:paraId="0CDAFC19">
      <w:pPr>
        <w:numPr>
          <w:ilvl w:val="0"/>
          <w:numId w:val="22"/>
        </w:numPr>
        <w:adjustRightInd w:val="0"/>
        <w:snapToGrid w:val="0"/>
        <w:spacing w:line="360" w:lineRule="auto"/>
        <w:rPr>
          <w:rFonts w:ascii="宋体" w:hAnsi="宋体" w:eastAsia="宋体" w:cs="宋体"/>
          <w:szCs w:val="21"/>
        </w:rPr>
      </w:pPr>
      <w:r>
        <w:rPr>
          <w:rFonts w:hint="eastAsia" w:ascii="宋体" w:hAnsi="宋体" w:eastAsia="宋体" w:cs="宋体"/>
          <w:szCs w:val="21"/>
        </w:rPr>
        <w:t>成交供应商如未能按照上述约定的质量保证开展售后服务，或维修后未能通过采购人验收的，采购人有权自行委托第三方进行维修，因维修而产生的所有费用由成交供应商承担，且采购人有权一次性没收全部质量保证金。</w:t>
      </w:r>
    </w:p>
    <w:p w14:paraId="48FAEDEE">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1E1D49C1">
      <w:pPr>
        <w:numPr>
          <w:ilvl w:val="0"/>
          <w:numId w:val="23"/>
        </w:numPr>
        <w:adjustRightInd w:val="0"/>
        <w:snapToGrid w:val="0"/>
        <w:spacing w:line="360" w:lineRule="auto"/>
        <w:rPr>
          <w:rFonts w:ascii="宋体" w:hAnsi="宋体" w:eastAsia="宋体" w:cs="宋体"/>
          <w:szCs w:val="21"/>
        </w:rPr>
      </w:pPr>
      <w:r>
        <w:rPr>
          <w:rFonts w:hint="eastAsia" w:ascii="宋体" w:hAnsi="宋体" w:eastAsia="宋体" w:cs="宋体"/>
          <w:szCs w:val="21"/>
        </w:rPr>
        <w:t>发生以下情形，经调查属实的，扣除成交供应商50%履约保证金：</w:t>
      </w:r>
    </w:p>
    <w:p w14:paraId="6C9134C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xml:space="preserve">1.供应材料品种、品牌、规格或质量等级与合同不符； </w:t>
      </w:r>
    </w:p>
    <w:p w14:paraId="432A6F5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2.材料出现质量问题，成交供应商不积极配合查找原因，不及时反馈处理结果；</w:t>
      </w:r>
    </w:p>
    <w:p w14:paraId="0EEC3BC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3.提供虚假检验报告等相关票证；</w:t>
      </w:r>
    </w:p>
    <w:p w14:paraId="084B1848">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4.成交供应商没有在合同规定时间内完成项目内容并通过验收交付使用。</w:t>
      </w:r>
    </w:p>
    <w:p w14:paraId="37F3F37B">
      <w:pPr>
        <w:numPr>
          <w:ilvl w:val="0"/>
          <w:numId w:val="23"/>
        </w:numPr>
        <w:adjustRightInd w:val="0"/>
        <w:snapToGrid w:val="0"/>
        <w:spacing w:line="360" w:lineRule="auto"/>
        <w:rPr>
          <w:rFonts w:ascii="宋体" w:hAnsi="宋体" w:eastAsia="宋体" w:cs="宋体"/>
          <w:szCs w:val="21"/>
        </w:rPr>
      </w:pPr>
      <w:r>
        <w:rPr>
          <w:rFonts w:hint="eastAsia" w:ascii="宋体" w:hAnsi="宋体" w:eastAsia="宋体" w:cs="宋体"/>
          <w:szCs w:val="21"/>
        </w:rPr>
        <w:t>如在合同执行期间因成交供应商违约导致履约保证金部分扣除，成交供应商需在五个工作日内将扣除的履约保证金补齐；如未按期补齐，采购人有权单方面解除合同并没收全部履约保证金。</w:t>
      </w:r>
    </w:p>
    <w:p w14:paraId="125C5F13">
      <w:pPr>
        <w:numPr>
          <w:ilvl w:val="0"/>
          <w:numId w:val="23"/>
        </w:numPr>
        <w:adjustRightInd w:val="0"/>
        <w:snapToGrid w:val="0"/>
        <w:spacing w:line="360" w:lineRule="auto"/>
        <w:rPr>
          <w:rFonts w:ascii="宋体" w:hAnsi="宋体" w:eastAsia="宋体" w:cs="宋体"/>
          <w:szCs w:val="21"/>
        </w:rPr>
      </w:pPr>
      <w:r>
        <w:rPr>
          <w:rFonts w:hint="eastAsia" w:ascii="宋体" w:hAnsi="宋体" w:eastAsia="宋体" w:cs="宋体"/>
          <w:szCs w:val="21"/>
        </w:rPr>
        <w:t>上述的施工总工期，如因成交供应商的原因导致工程不能按时完成，从延期的第1天起，每天罚款合同总价的千分之十。延期时间超过 10 天的，采购人有权单方终止合同、没收全部履约保证金并责令其立即退场，由此而造成的经济损失由成交供应商负责赔偿。工期为硬性工期（雨天、及可能出现的局部设计变更等均已包括在内）的，成交供应商必须采取一切措施保证按时完工。</w:t>
      </w:r>
    </w:p>
    <w:p w14:paraId="302076E3">
      <w:pPr>
        <w:numPr>
          <w:ilvl w:val="0"/>
          <w:numId w:val="23"/>
        </w:numPr>
        <w:adjustRightInd w:val="0"/>
        <w:snapToGrid w:val="0"/>
        <w:spacing w:line="360" w:lineRule="auto"/>
        <w:rPr>
          <w:rFonts w:ascii="宋体" w:hAnsi="宋体" w:eastAsia="宋体" w:cs="宋体"/>
          <w:szCs w:val="21"/>
        </w:rPr>
      </w:pPr>
      <w:r>
        <w:rPr>
          <w:rFonts w:hint="eastAsia" w:ascii="宋体" w:hAnsi="宋体" w:eastAsia="宋体" w:cs="宋体"/>
          <w:szCs w:val="21"/>
        </w:rPr>
        <w:t>合同约定的工程项目，成交供应商不得转包。否则，采购人有权单方面终止合同和没收全部履约保证金，并令其立即退场，由此而造成的经济损失由中标单位负责赔偿。</w:t>
      </w:r>
    </w:p>
    <w:p w14:paraId="49BD3B7F">
      <w:pPr>
        <w:numPr>
          <w:ilvl w:val="0"/>
          <w:numId w:val="23"/>
        </w:numPr>
        <w:adjustRightInd w:val="0"/>
        <w:snapToGrid w:val="0"/>
        <w:spacing w:line="360" w:lineRule="auto"/>
        <w:rPr>
          <w:rFonts w:ascii="宋体" w:hAnsi="宋体" w:eastAsia="宋体" w:cs="宋体"/>
          <w:szCs w:val="21"/>
        </w:rPr>
      </w:pPr>
      <w:r>
        <w:rPr>
          <w:rFonts w:hint="eastAsia" w:ascii="宋体" w:hAnsi="宋体" w:eastAsia="宋体" w:cs="宋体"/>
          <w:szCs w:val="21"/>
        </w:rPr>
        <w:t>合同期内，如成交供应商累计被扣履约保证金达2次（含2次），采购人有权单方面解除合同并没收全部履约保证金。</w:t>
      </w:r>
    </w:p>
    <w:p w14:paraId="1F0012F9">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709DB7FB">
      <w:pPr>
        <w:adjustRightInd w:val="0"/>
        <w:snapToGrid w:val="0"/>
        <w:spacing w:line="360" w:lineRule="auto"/>
        <w:ind w:firstLine="420" w:firstLineChars="200"/>
        <w:rPr>
          <w:rFonts w:ascii="宋体" w:hAnsi="宋体" w:eastAsia="宋体" w:cs="宋体"/>
          <w:szCs w:val="21"/>
        </w:rPr>
      </w:pPr>
      <w:ins w:id="1" w:author="云采链" w:date="2025-06-13T14:19:45Z">
        <w:r>
          <w:rPr>
            <w:rFonts w:hint="eastAsia" w:ascii="宋体" w:hAnsi="宋体" w:eastAsia="宋体" w:cs="宋体"/>
            <w:szCs w:val="21"/>
          </w:rPr>
          <w:t>若</w:t>
        </w:r>
      </w:ins>
      <w:ins w:id="2" w:author="云采链" w:date="2025-06-13T14:19:49Z">
        <w:r>
          <w:rPr>
            <w:rFonts w:hint="eastAsia" w:ascii="宋体" w:hAnsi="宋体" w:eastAsia="宋体" w:cs="宋体"/>
            <w:szCs w:val="21"/>
            <w:lang w:val="en-US" w:eastAsia="zh-CN"/>
          </w:rPr>
          <w:t>合同</w:t>
        </w:r>
      </w:ins>
      <w:ins w:id="3" w:author="云采链" w:date="2025-06-13T14:19:45Z">
        <w:r>
          <w:rPr>
            <w:rFonts w:hint="eastAsia" w:ascii="宋体" w:hAnsi="宋体" w:eastAsia="宋体" w:cs="宋体"/>
            <w:szCs w:val="21"/>
          </w:rPr>
          <w:t>双方产生争议</w:t>
        </w:r>
      </w:ins>
      <w:ins w:id="4" w:author="云采链" w:date="2025-06-13T14:19:46Z">
        <w:r>
          <w:rPr>
            <w:rFonts w:hint="eastAsia" w:ascii="宋体" w:hAnsi="宋体" w:eastAsia="宋体" w:cs="宋体"/>
            <w:szCs w:val="21"/>
            <w:lang w:eastAsia="zh-CN"/>
          </w:rPr>
          <w:t>，</w:t>
        </w:r>
      </w:ins>
      <w:r>
        <w:rPr>
          <w:rFonts w:hint="eastAsia" w:ascii="宋体" w:hAnsi="宋体" w:eastAsia="宋体" w:cs="宋体"/>
          <w:szCs w:val="21"/>
        </w:rPr>
        <w:t>可向采购人所在地具有管辖权的人民法院提起诉讼。</w:t>
      </w:r>
    </w:p>
    <w:p w14:paraId="4CD27484">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657CD5B0">
      <w:pPr>
        <w:numPr>
          <w:ilvl w:val="0"/>
          <w:numId w:val="24"/>
        </w:numPr>
        <w:adjustRightInd w:val="0"/>
        <w:snapToGrid w:val="0"/>
        <w:spacing w:line="360" w:lineRule="auto"/>
        <w:rPr>
          <w:rFonts w:ascii="宋体" w:hAnsi="宋体" w:eastAsia="宋体" w:cs="宋体"/>
          <w:szCs w:val="21"/>
        </w:rPr>
      </w:pPr>
      <w:r>
        <w:rPr>
          <w:rFonts w:hint="eastAsia" w:ascii="宋体" w:hAnsi="宋体" w:eastAsia="宋体" w:cs="宋体"/>
          <w:szCs w:val="21"/>
        </w:rPr>
        <w:t>不可抗力是指不可预见、不可避免、不可克服的客观情况。</w:t>
      </w:r>
    </w:p>
    <w:p w14:paraId="52DD5AD6">
      <w:pPr>
        <w:numPr>
          <w:ilvl w:val="0"/>
          <w:numId w:val="24"/>
        </w:numPr>
        <w:adjustRightInd w:val="0"/>
        <w:snapToGrid w:val="0"/>
        <w:spacing w:line="360" w:lineRule="auto"/>
        <w:rPr>
          <w:rFonts w:ascii="宋体" w:hAnsi="宋体" w:eastAsia="宋体" w:cs="宋体"/>
          <w:szCs w:val="21"/>
        </w:rPr>
      </w:pPr>
      <w:r>
        <w:rPr>
          <w:rFonts w:hint="eastAsia" w:ascii="宋体" w:hAnsi="宋体" w:eastAsia="宋体" w:cs="宋体"/>
          <w:szCs w:val="21"/>
        </w:rPr>
        <w:t>不可抗力事件发生后，成交供应商应迅速采取措施，24小时内形成书面报告发生不可抗力事故的情况、性质范围，并与甲方签署发生不可抗力事件的证明文件。</w:t>
      </w:r>
    </w:p>
    <w:p w14:paraId="7D655BA3">
      <w:pPr>
        <w:numPr>
          <w:ilvl w:val="0"/>
          <w:numId w:val="24"/>
        </w:numPr>
        <w:adjustRightInd w:val="0"/>
        <w:snapToGrid w:val="0"/>
        <w:spacing w:line="360" w:lineRule="auto"/>
        <w:rPr>
          <w:rFonts w:ascii="宋体" w:hAnsi="宋体" w:eastAsia="宋体" w:cs="宋体"/>
          <w:szCs w:val="21"/>
        </w:rPr>
      </w:pPr>
      <w:r>
        <w:rPr>
          <w:rFonts w:hint="eastAsia" w:ascii="宋体" w:hAnsi="宋体" w:eastAsia="宋体" w:cs="宋体"/>
          <w:szCs w:val="21"/>
        </w:rPr>
        <w:t>灾害持续发生采购人应每隔2天向甲方报告一次灾害情况，直到灾害结算。</w:t>
      </w:r>
    </w:p>
    <w:p w14:paraId="4CCBD655">
      <w:pPr>
        <w:numPr>
          <w:ilvl w:val="0"/>
          <w:numId w:val="24"/>
        </w:numPr>
        <w:adjustRightInd w:val="0"/>
        <w:snapToGrid w:val="0"/>
        <w:spacing w:line="360" w:lineRule="auto"/>
        <w:rPr>
          <w:rFonts w:ascii="宋体" w:hAnsi="宋体" w:eastAsia="宋体" w:cs="宋体"/>
          <w:szCs w:val="21"/>
        </w:rPr>
      </w:pPr>
      <w:r>
        <w:rPr>
          <w:rFonts w:hint="eastAsia" w:ascii="宋体" w:hAnsi="宋体" w:eastAsia="宋体" w:cs="宋体"/>
          <w:szCs w:val="21"/>
        </w:rPr>
        <w:t>不可抗力事件发生后，采购人和成交供应商应当积极寻求以合理的方式履行本合同。如不可抗力无法消除，致使合同目的无法实现的，双方均有权解除合同，且均不互相索赔。</w:t>
      </w:r>
    </w:p>
    <w:p w14:paraId="3DF812BD">
      <w:pPr>
        <w:pStyle w:val="11"/>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w:t>
      </w:r>
    </w:p>
    <w:p w14:paraId="0CA3C629">
      <w:pPr>
        <w:numPr>
          <w:ilvl w:val="0"/>
          <w:numId w:val="25"/>
        </w:numPr>
        <w:adjustRightInd w:val="0"/>
        <w:snapToGrid w:val="0"/>
        <w:spacing w:line="360" w:lineRule="auto"/>
        <w:rPr>
          <w:rFonts w:ascii="宋体" w:hAnsi="宋体" w:eastAsia="宋体" w:cs="宋体"/>
          <w:szCs w:val="21"/>
        </w:rPr>
      </w:pPr>
      <w:r>
        <w:rPr>
          <w:rFonts w:hint="eastAsia" w:ascii="宋体" w:hAnsi="宋体" w:eastAsia="宋体" w:cs="宋体"/>
          <w:szCs w:val="21"/>
        </w:rPr>
        <w:t>成交供应商应按有关规定采取严格的安全防护措施，否则，由于自身安全措施不力而造成所有安全事故的责任和因此而发生的费用均由成交供应商承担。</w:t>
      </w:r>
    </w:p>
    <w:p w14:paraId="3F69B473">
      <w:pPr>
        <w:numPr>
          <w:ilvl w:val="0"/>
          <w:numId w:val="25"/>
        </w:numPr>
        <w:adjustRightInd w:val="0"/>
        <w:snapToGrid w:val="0"/>
        <w:spacing w:line="360" w:lineRule="auto"/>
        <w:rPr>
          <w:rFonts w:ascii="宋体" w:hAnsi="宋体" w:eastAsia="宋体" w:cs="宋体"/>
          <w:szCs w:val="21"/>
        </w:rPr>
      </w:pPr>
      <w:r>
        <w:rPr>
          <w:rFonts w:hint="eastAsia" w:ascii="宋体" w:hAnsi="宋体" w:eastAsia="宋体" w:cs="宋体"/>
          <w:szCs w:val="21"/>
        </w:rPr>
        <w:t>成交供应商需签署保密承诺。</w:t>
      </w:r>
    </w:p>
    <w:p w14:paraId="06ACD12A">
      <w:pPr>
        <w:pStyle w:val="11"/>
        <w:numPr>
          <w:ilvl w:val="0"/>
          <w:numId w:val="26"/>
        </w:numPr>
        <w:tabs>
          <w:tab w:val="left" w:pos="425"/>
          <w:tab w:val="left" w:pos="540"/>
        </w:tabs>
        <w:adjustRightInd w:val="0"/>
        <w:snapToGrid w:val="0"/>
        <w:spacing w:line="360" w:lineRule="auto"/>
        <w:rPr>
          <w:rFonts w:cs="仿宋_GB2312" w:asciiTheme="minorEastAsia" w:hAnsiTheme="minorEastAsia"/>
          <w:b/>
          <w:bCs/>
          <w:color w:val="000000"/>
          <w:sz w:val="21"/>
        </w:rPr>
      </w:pPr>
      <w:r>
        <w:rPr>
          <w:rFonts w:cs="仿宋_GB2312" w:asciiTheme="minorEastAsia" w:hAnsiTheme="minorEastAsia"/>
          <w:color w:val="000000"/>
        </w:rPr>
        <w:br w:type="page"/>
      </w:r>
    </w:p>
    <w:p w14:paraId="1E87BC6A">
      <w:pPr>
        <w:snapToGrid w:val="0"/>
        <w:spacing w:line="360" w:lineRule="auto"/>
        <w:jc w:val="center"/>
        <w:outlineLvl w:val="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375D22EF">
      <w:pPr>
        <w:pStyle w:val="2"/>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92"/>
        <w:gridCol w:w="1036"/>
        <w:gridCol w:w="2995"/>
        <w:gridCol w:w="1731"/>
      </w:tblGrid>
      <w:tr w14:paraId="3857E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05" w:type="pct"/>
            <w:tcBorders>
              <w:top w:val="single" w:color="auto" w:sz="12" w:space="0"/>
              <w:bottom w:val="single" w:color="auto" w:sz="2" w:space="0"/>
            </w:tcBorders>
            <w:shd w:val="clear" w:color="auto" w:fill="EEECE1"/>
            <w:vAlign w:val="center"/>
          </w:tcPr>
          <w:p w14:paraId="18226885">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520" w:type="pct"/>
            <w:tcBorders>
              <w:top w:val="single" w:color="auto" w:sz="12" w:space="0"/>
              <w:bottom w:val="single" w:color="auto" w:sz="2" w:space="0"/>
            </w:tcBorders>
            <w:shd w:val="clear" w:color="auto" w:fill="EEECE1"/>
            <w:vAlign w:val="center"/>
          </w:tcPr>
          <w:p w14:paraId="76F78A49">
            <w:pPr>
              <w:spacing w:line="360" w:lineRule="auto"/>
              <w:jc w:val="center"/>
              <w:rPr>
                <w:rFonts w:ascii="宋体" w:hAnsi="宋体" w:eastAsia="宋体" w:cs="宋体"/>
                <w:b/>
                <w:szCs w:val="21"/>
              </w:rPr>
            </w:pPr>
            <w:r>
              <w:rPr>
                <w:rFonts w:hint="eastAsia" w:ascii="宋体" w:hAnsi="宋体" w:eastAsia="宋体" w:cs="宋体"/>
                <w:b/>
                <w:szCs w:val="21"/>
              </w:rPr>
              <w:t>数量</w:t>
            </w:r>
          </w:p>
        </w:tc>
        <w:tc>
          <w:tcPr>
            <w:tcW w:w="1504" w:type="pct"/>
            <w:tcBorders>
              <w:top w:val="single" w:color="auto" w:sz="12" w:space="0"/>
              <w:bottom w:val="single" w:color="auto" w:sz="2" w:space="0"/>
            </w:tcBorders>
            <w:shd w:val="clear" w:color="auto" w:fill="EEECE1"/>
            <w:vAlign w:val="center"/>
          </w:tcPr>
          <w:p w14:paraId="0C9B8E6E">
            <w:pPr>
              <w:jc w:val="center"/>
              <w:rPr>
                <w:rFonts w:ascii="宋体" w:hAnsi="宋体" w:eastAsia="宋体" w:cs="宋体"/>
                <w:b/>
                <w:szCs w:val="21"/>
              </w:rPr>
            </w:pPr>
            <w:r>
              <w:rPr>
                <w:rFonts w:hint="eastAsia" w:ascii="宋体" w:hAnsi="宋体" w:eastAsia="宋体" w:cs="宋体"/>
                <w:b/>
                <w:szCs w:val="21"/>
              </w:rPr>
              <w:t>总价报价</w:t>
            </w:r>
          </w:p>
        </w:tc>
        <w:tc>
          <w:tcPr>
            <w:tcW w:w="869" w:type="pct"/>
            <w:tcBorders>
              <w:top w:val="single" w:color="auto" w:sz="12" w:space="0"/>
              <w:bottom w:val="single" w:color="auto" w:sz="2" w:space="0"/>
            </w:tcBorders>
            <w:shd w:val="clear" w:color="auto" w:fill="EEECE1"/>
            <w:vAlign w:val="center"/>
          </w:tcPr>
          <w:p w14:paraId="67BE19DC">
            <w:pPr>
              <w:jc w:val="center"/>
              <w:rPr>
                <w:rFonts w:ascii="宋体" w:hAnsi="宋体" w:eastAsia="宋体" w:cs="宋体"/>
                <w:b/>
                <w:szCs w:val="21"/>
              </w:rPr>
            </w:pPr>
            <w:r>
              <w:rPr>
                <w:rFonts w:hint="eastAsia" w:ascii="宋体" w:hAnsi="宋体" w:eastAsia="宋体" w:cs="宋体"/>
                <w:b/>
                <w:szCs w:val="21"/>
              </w:rPr>
              <w:t>备注</w:t>
            </w:r>
          </w:p>
        </w:tc>
      </w:tr>
      <w:tr w14:paraId="061A9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105" w:type="pct"/>
            <w:tcBorders>
              <w:top w:val="single" w:color="auto" w:sz="2" w:space="0"/>
              <w:bottom w:val="single" w:color="auto" w:sz="2" w:space="0"/>
            </w:tcBorders>
            <w:vAlign w:val="center"/>
          </w:tcPr>
          <w:p w14:paraId="1841981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广东省广裕集团肇庆祥达实业有限公司“十一五”组团工厂烟感报警器加装及消防照明线路维修项目</w:t>
            </w:r>
          </w:p>
        </w:tc>
        <w:tc>
          <w:tcPr>
            <w:tcW w:w="520" w:type="pct"/>
            <w:tcBorders>
              <w:top w:val="single" w:color="auto" w:sz="2" w:space="0"/>
              <w:bottom w:val="single" w:color="auto" w:sz="2" w:space="0"/>
            </w:tcBorders>
            <w:vAlign w:val="center"/>
          </w:tcPr>
          <w:p w14:paraId="7E145602">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504" w:type="pct"/>
            <w:tcBorders>
              <w:top w:val="single" w:color="auto" w:sz="2" w:space="0"/>
              <w:bottom w:val="single" w:color="auto" w:sz="2" w:space="0"/>
            </w:tcBorders>
            <w:vAlign w:val="center"/>
          </w:tcPr>
          <w:p w14:paraId="2AB8D5DA">
            <w:pPr>
              <w:jc w:val="center"/>
              <w:rPr>
                <w:rFonts w:ascii="宋体" w:hAnsi="宋体" w:eastAsia="宋体" w:cs="宋体"/>
                <w:color w:val="000000" w:themeColor="text1"/>
                <w:szCs w:val="21"/>
                <w14:textFill>
                  <w14:solidFill>
                    <w14:schemeClr w14:val="tx1"/>
                  </w14:solidFill>
                </w14:textFill>
              </w:rPr>
            </w:pPr>
          </w:p>
        </w:tc>
        <w:tc>
          <w:tcPr>
            <w:tcW w:w="869" w:type="pct"/>
            <w:tcBorders>
              <w:top w:val="single" w:color="auto" w:sz="2" w:space="0"/>
              <w:bottom w:val="single" w:color="auto" w:sz="2" w:space="0"/>
            </w:tcBorders>
            <w:vAlign w:val="center"/>
          </w:tcPr>
          <w:p w14:paraId="76D91806">
            <w:pPr>
              <w:spacing w:line="360" w:lineRule="auto"/>
              <w:jc w:val="center"/>
              <w:rPr>
                <w:rFonts w:asciiTheme="minorEastAsia" w:hAnsiTheme="minorEastAsia" w:cstheme="minorEastAsia"/>
                <w:color w:val="333333"/>
                <w:szCs w:val="21"/>
                <w:shd w:val="clear" w:color="auto" w:fill="FFFFFF"/>
              </w:rPr>
            </w:pPr>
          </w:p>
        </w:tc>
      </w:tr>
    </w:tbl>
    <w:p w14:paraId="7CC7096B">
      <w:pPr>
        <w:spacing w:line="360" w:lineRule="auto"/>
        <w:rPr>
          <w:rFonts w:ascii="宋体" w:hAnsi="宋体" w:eastAsia="宋体" w:cs="宋体"/>
          <w:b/>
          <w:color w:val="000000" w:themeColor="text1"/>
          <w:spacing w:val="4"/>
          <w:szCs w:val="21"/>
          <w14:textFill>
            <w14:solidFill>
              <w14:schemeClr w14:val="tx1"/>
            </w14:solidFill>
          </w14:textFill>
        </w:rPr>
      </w:pPr>
    </w:p>
    <w:p w14:paraId="0D845882">
      <w:pPr>
        <w:spacing w:line="360" w:lineRule="auto"/>
        <w:rPr>
          <w:rFonts w:ascii="宋体" w:hAnsi="宋体" w:eastAsia="宋体" w:cs="宋体"/>
          <w:b/>
          <w:color w:val="000000" w:themeColor="text1"/>
          <w:spacing w:val="4"/>
          <w:szCs w:val="21"/>
          <w14:textFill>
            <w14:solidFill>
              <w14:schemeClr w14:val="tx1"/>
            </w14:solidFill>
          </w14:textFill>
        </w:rPr>
      </w:pPr>
    </w:p>
    <w:p w14:paraId="47CD5082">
      <w:pPr>
        <w:spacing w:line="360" w:lineRule="auto"/>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9F28D5B">
      <w:pPr>
        <w:pStyle w:val="19"/>
        <w:numPr>
          <w:ilvl w:val="0"/>
          <w:numId w:val="27"/>
        </w:numPr>
        <w:shd w:val="clear" w:color="auto" w:fill="FFFFFF"/>
        <w:spacing w:before="0" w:beforeAutospacing="0" w:after="0" w:afterAutospacing="0" w:line="360" w:lineRule="auto"/>
        <w:rPr>
          <w:b/>
          <w:bCs/>
          <w:color w:val="FF0000"/>
          <w:sz w:val="21"/>
          <w:szCs w:val="21"/>
          <w:u w:val="single"/>
        </w:rPr>
      </w:pPr>
      <w:r>
        <w:rPr>
          <w:rFonts w:hint="eastAsia"/>
          <w:b/>
          <w:bCs/>
          <w:color w:val="FF0000"/>
          <w:kern w:val="2"/>
          <w:sz w:val="21"/>
          <w:szCs w:val="21"/>
          <w:lang w:bidi="ar"/>
        </w:rPr>
        <w:t>此报价表为总报价表，供应商还需按照工程量清单报价表（详见附件）的格式填写并上传相应报价附件（清单（加盖公章PDF版））、清单（EXCEL版）），随报价表打包上传，否则将有可能影响成交结果，不推荐为成交候选人。报价时若供应商所提供的PDF版和清单（EXCEL版）有区别，代理机构和采购人将以PDF版本为准；</w:t>
      </w:r>
    </w:p>
    <w:p w14:paraId="5539760A">
      <w:pPr>
        <w:pStyle w:val="19"/>
        <w:numPr>
          <w:ilvl w:val="0"/>
          <w:numId w:val="27"/>
        </w:numPr>
        <w:shd w:val="clear" w:color="auto" w:fill="FFFFFF"/>
        <w:spacing w:before="0" w:beforeAutospacing="0" w:after="0" w:afterAutospacing="0" w:line="360" w:lineRule="auto"/>
        <w:rPr>
          <w:b/>
          <w:bCs/>
          <w:color w:val="000000" w:themeColor="text1"/>
          <w:sz w:val="21"/>
          <w:szCs w:val="21"/>
          <w14:textFill>
            <w14:solidFill>
              <w14:schemeClr w14:val="tx1"/>
            </w14:solidFill>
          </w14:textFill>
        </w:rPr>
      </w:pPr>
      <w:r>
        <w:rPr>
          <w:rFonts w:hint="eastAsia"/>
          <w:b/>
          <w:bCs/>
          <w:kern w:val="2"/>
          <w:sz w:val="21"/>
          <w:szCs w:val="21"/>
          <w:lang w:bidi="ar"/>
        </w:rPr>
        <w:t>供应商在按照工程量清单进行报价时不得改变(包括对工程量清单子目的子目编码、子目名称、子目特征描述、计量单位以及工程量的任何修改、增加或减少)建设单位提供的分部分项工程和单价措施项目清单和其他项目清单。即使按照图纸和采购范围的约定并不存在的子目，只要在建设单位提供的分部分项工程和单价措施量清单中已经列明，供应商都需要对其报价，并纳入响应总价的计算。已标价工程量清单中供应商没有填入单价或价格的子目，其费用视为已分摊在工程量清单中其他已标价的相关子目的单价或价格之中。</w:t>
      </w:r>
    </w:p>
    <w:p w14:paraId="57CE772B">
      <w:pPr>
        <w:pStyle w:val="19"/>
        <w:numPr>
          <w:ilvl w:val="0"/>
          <w:numId w:val="27"/>
        </w:numPr>
        <w:shd w:val="clear" w:color="auto" w:fill="FFFFFF"/>
        <w:spacing w:before="0" w:beforeAutospacing="0" w:after="0" w:afterAutospacing="0" w:line="360" w:lineRule="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供应商必须按报价表的格式填写，不得增加或删除表格内容。除金额或项目要求填写的内容外，不得擅自改动报价表内容，否则将有可能影响成交结果，不推荐为成交候选人；</w:t>
      </w:r>
    </w:p>
    <w:p w14:paraId="588FABAA">
      <w:pPr>
        <w:pStyle w:val="19"/>
        <w:numPr>
          <w:ilvl w:val="0"/>
          <w:numId w:val="2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329DC473">
      <w:pPr>
        <w:pStyle w:val="19"/>
        <w:numPr>
          <w:ilvl w:val="0"/>
          <w:numId w:val="2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69B2E3BD">
      <w:pPr>
        <w:pStyle w:val="19"/>
        <w:numPr>
          <w:ilvl w:val="0"/>
          <w:numId w:val="2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52589852">
      <w:pPr>
        <w:pStyle w:val="19"/>
        <w:numPr>
          <w:ilvl w:val="0"/>
          <w:numId w:val="2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总价报价的小数点后保留2位有效数。</w:t>
      </w:r>
    </w:p>
    <w:p w14:paraId="2D272CEA">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61E89027">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32618AB">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14:paraId="47A75A2E">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F216055">
      <w:pPr>
        <w:pStyle w:val="2"/>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4BA92B68">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77BA2701">
      <w:pPr>
        <w:spacing w:line="360" w:lineRule="auto"/>
        <w:rPr>
          <w:rFonts w:ascii="宋体" w:hAnsi="宋体" w:eastAsia="宋体" w:cs="宋体"/>
          <w:color w:val="000000" w:themeColor="text1"/>
          <w:lang w:val="zh-CN"/>
          <w14:textFill>
            <w14:solidFill>
              <w14:schemeClr w14:val="tx1"/>
            </w14:solidFill>
          </w14:textFill>
        </w:rPr>
      </w:pPr>
    </w:p>
    <w:p w14:paraId="66A222AE">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广东省广裕集团肇庆祥达实业有限公司“十一五”组团工厂烟感报警器加装及消防照明线路维修项目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1E5624FB">
      <w:pPr>
        <w:pStyle w:val="4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1D9FF818">
      <w:pPr>
        <w:pStyle w:val="4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0F963C13">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BA31543">
      <w:pPr>
        <w:pStyle w:val="31"/>
        <w:numPr>
          <w:ilvl w:val="0"/>
          <w:numId w:val="2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3B126398">
      <w:pPr>
        <w:pStyle w:val="31"/>
        <w:numPr>
          <w:ilvl w:val="0"/>
          <w:numId w:val="2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F08B2A3">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35FBCAB4">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E46C6C6">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7630B148">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170CBA5">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32F247BD">
      <w:pPr>
        <w:spacing w:line="360" w:lineRule="auto"/>
        <w:rPr>
          <w:rFonts w:ascii="宋体" w:hAnsi="宋体" w:eastAsia="宋体" w:cs="宋体"/>
          <w:color w:val="000000" w:themeColor="text1"/>
          <w14:textFill>
            <w14:solidFill>
              <w14:schemeClr w14:val="tx1"/>
            </w14:solidFill>
          </w14:textFill>
        </w:rPr>
      </w:pPr>
    </w:p>
    <w:p w14:paraId="068E4935">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77D3CA8">
      <w:pPr>
        <w:pStyle w:val="2"/>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33A56417">
      <w:pPr>
        <w:rPr>
          <w:rFonts w:ascii="宋体" w:hAnsi="宋体" w:eastAsia="宋体" w:cs="宋体"/>
          <w:b/>
          <w:color w:val="000000" w:themeColor="text1"/>
          <w:szCs w:val="24"/>
          <w14:textFill>
            <w14:solidFill>
              <w14:schemeClr w14:val="tx1"/>
            </w14:solidFill>
          </w14:textFill>
        </w:rPr>
      </w:pPr>
    </w:p>
    <w:p w14:paraId="652E11BC">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40400757">
      <w:pPr>
        <w:rPr>
          <w:rFonts w:ascii="宋体" w:hAnsi="宋体" w:eastAsia="宋体" w:cs="宋体"/>
          <w:b/>
          <w:color w:val="000000" w:themeColor="text1"/>
          <w:szCs w:val="24"/>
          <w14:textFill>
            <w14:solidFill>
              <w14:schemeClr w14:val="tx1"/>
            </w14:solidFill>
          </w14:textFill>
        </w:rPr>
      </w:pPr>
    </w:p>
    <w:p w14:paraId="44249923">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广东省广裕集团肇庆祥达实业有限公司“十一五”组团工厂烟感报警器加装及消防照明线路维修项目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23713424">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3F16817">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2386B0A8">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53A63945">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246DCCC4">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0235BEEB">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2CBEC476">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221618AA">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03E72BEE">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383136C2">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5B31B7BE">
      <w:pPr>
        <w:spacing w:line="360" w:lineRule="auto"/>
        <w:ind w:firstLine="420"/>
        <w:rPr>
          <w:rFonts w:ascii="宋体" w:hAnsi="宋体" w:eastAsia="宋体"/>
          <w:szCs w:val="21"/>
        </w:rPr>
      </w:pPr>
      <w:r>
        <w:rPr>
          <w:rFonts w:hint="eastAsia" w:ascii="宋体" w:hAnsi="宋体" w:eastAsia="宋体"/>
          <w:szCs w:val="21"/>
        </w:rPr>
        <w:t>特此声明！</w:t>
      </w:r>
    </w:p>
    <w:p w14:paraId="0930B354">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C2F9747">
      <w:pPr>
        <w:pStyle w:val="31"/>
        <w:numPr>
          <w:ilvl w:val="0"/>
          <w:numId w:val="2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63DB56C1">
      <w:pPr>
        <w:pStyle w:val="31"/>
        <w:numPr>
          <w:ilvl w:val="0"/>
          <w:numId w:val="2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8A47D27">
      <w:pPr>
        <w:pStyle w:val="31"/>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5583111">
      <w:pPr>
        <w:pStyle w:val="31"/>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5E1F6F0">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2AA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B3FE">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380FD"/>
    <w:multiLevelType w:val="singleLevel"/>
    <w:tmpl w:val="8C1380FD"/>
    <w:lvl w:ilvl="0" w:tentative="0">
      <w:start w:val="1"/>
      <w:numFmt w:val="decimal"/>
      <w:suff w:val="nothing"/>
      <w:lvlText w:val="%1．"/>
      <w:lvlJc w:val="left"/>
      <w:pPr>
        <w:ind w:left="0" w:firstLine="400"/>
      </w:pPr>
      <w:rPr>
        <w:rFonts w:hint="default"/>
      </w:r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AE698D76"/>
    <w:multiLevelType w:val="singleLevel"/>
    <w:tmpl w:val="AE698D76"/>
    <w:lvl w:ilvl="0" w:tentative="0">
      <w:start w:val="1"/>
      <w:numFmt w:val="chineseCounting"/>
      <w:suff w:val="nothing"/>
      <w:lvlText w:val="（%1）"/>
      <w:lvlJc w:val="left"/>
      <w:pPr>
        <w:ind w:left="0" w:firstLine="420"/>
      </w:pPr>
      <w:rPr>
        <w:rFonts w:hint="eastAsia"/>
      </w:rPr>
    </w:lvl>
  </w:abstractNum>
  <w:abstractNum w:abstractNumId="3">
    <w:nsid w:val="C0B96A11"/>
    <w:multiLevelType w:val="singleLevel"/>
    <w:tmpl w:val="C0B96A11"/>
    <w:lvl w:ilvl="0" w:tentative="0">
      <w:start w:val="1"/>
      <w:numFmt w:val="chineseCounting"/>
      <w:suff w:val="nothing"/>
      <w:lvlText w:val="（%1）"/>
      <w:lvlJc w:val="left"/>
      <w:pPr>
        <w:ind w:left="0" w:firstLine="420"/>
      </w:pPr>
      <w:rPr>
        <w:rFonts w:hint="eastAsia"/>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4E25012"/>
    <w:multiLevelType w:val="multilevel"/>
    <w:tmpl w:val="F4E25012"/>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FFF872A5"/>
    <w:multiLevelType w:val="singleLevel"/>
    <w:tmpl w:val="FFF872A5"/>
    <w:lvl w:ilvl="0" w:tentative="0">
      <w:start w:val="1"/>
      <w:numFmt w:val="chineseCounting"/>
      <w:suff w:val="nothing"/>
      <w:lvlText w:val="（%1）"/>
      <w:lvlJc w:val="left"/>
      <w:pPr>
        <w:ind w:left="0" w:firstLine="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1">
    <w:nsid w:val="0478203B"/>
    <w:multiLevelType w:val="multilevel"/>
    <w:tmpl w:val="0478203B"/>
    <w:lvl w:ilvl="0" w:tentative="0">
      <w:start w:val="1"/>
      <w:numFmt w:val="chineseCountingThousand"/>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3">
    <w:nsid w:val="0742A4F1"/>
    <w:multiLevelType w:val="singleLevel"/>
    <w:tmpl w:val="0742A4F1"/>
    <w:lvl w:ilvl="0" w:tentative="0">
      <w:start w:val="1"/>
      <w:numFmt w:val="decimal"/>
      <w:suff w:val="nothing"/>
      <w:lvlText w:val="%1．"/>
      <w:lvlJc w:val="left"/>
      <w:pPr>
        <w:ind w:left="0" w:firstLine="400"/>
      </w:pPr>
      <w:rPr>
        <w:rFonts w:hint="default"/>
      </w:rPr>
    </w:lvl>
  </w:abstractNum>
  <w:abstractNum w:abstractNumId="14">
    <w:nsid w:val="120694E9"/>
    <w:multiLevelType w:val="singleLevel"/>
    <w:tmpl w:val="120694E9"/>
    <w:lvl w:ilvl="0" w:tentative="0">
      <w:start w:val="1"/>
      <w:numFmt w:val="decimal"/>
      <w:suff w:val="nothing"/>
      <w:lvlText w:val="%1．"/>
      <w:lvlJc w:val="left"/>
      <w:pPr>
        <w:ind w:left="0" w:firstLine="400"/>
      </w:pPr>
      <w:rPr>
        <w:rFonts w:hint="default"/>
      </w:rPr>
    </w:lvl>
  </w:abstractNum>
  <w:abstractNum w:abstractNumId="15">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1B905B04"/>
    <w:multiLevelType w:val="singleLevel"/>
    <w:tmpl w:val="1B905B04"/>
    <w:lvl w:ilvl="0" w:tentative="0">
      <w:start w:val="1"/>
      <w:numFmt w:val="chineseCounting"/>
      <w:suff w:val="nothing"/>
      <w:lvlText w:val="（%1）"/>
      <w:lvlJc w:val="left"/>
      <w:pPr>
        <w:ind w:left="0" w:firstLine="420"/>
      </w:pPr>
      <w:rPr>
        <w:rFonts w:hint="eastAsia"/>
      </w:rPr>
    </w:lvl>
  </w:abstractNum>
  <w:abstractNum w:abstractNumId="17">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56F7B618"/>
    <w:multiLevelType w:val="singleLevel"/>
    <w:tmpl w:val="56F7B618"/>
    <w:lvl w:ilvl="0" w:tentative="0">
      <w:start w:val="1"/>
      <w:numFmt w:val="decimal"/>
      <w:suff w:val="nothing"/>
      <w:lvlText w:val="%1．"/>
      <w:lvlJc w:val="left"/>
      <w:pPr>
        <w:ind w:left="0" w:firstLine="400"/>
      </w:pPr>
      <w:rPr>
        <w:rFonts w:hint="default"/>
      </w:rPr>
    </w:lvl>
  </w:abstractNum>
  <w:abstractNum w:abstractNumId="23">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B4F396"/>
    <w:multiLevelType w:val="singleLevel"/>
    <w:tmpl w:val="67B4F396"/>
    <w:lvl w:ilvl="0" w:tentative="0">
      <w:start w:val="1"/>
      <w:numFmt w:val="chineseCounting"/>
      <w:suff w:val="nothing"/>
      <w:lvlText w:val="（%1）"/>
      <w:lvlJc w:val="left"/>
      <w:pPr>
        <w:ind w:left="0" w:firstLine="420"/>
      </w:pPr>
      <w:rPr>
        <w:rFonts w:hint="eastAsia"/>
      </w:rPr>
    </w:lvl>
  </w:abstractNum>
  <w:abstractNum w:abstractNumId="26">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E7CD379"/>
    <w:multiLevelType w:val="singleLevel"/>
    <w:tmpl w:val="6E7CD379"/>
    <w:lvl w:ilvl="0" w:tentative="0">
      <w:start w:val="1"/>
      <w:numFmt w:val="chineseCounting"/>
      <w:suff w:val="nothing"/>
      <w:lvlText w:val="（%1）"/>
      <w:lvlJc w:val="left"/>
      <w:pPr>
        <w:ind w:left="0" w:firstLine="420"/>
      </w:pPr>
      <w:rPr>
        <w:rFonts w:hint="eastAsia"/>
      </w:rPr>
    </w:lvl>
  </w:abstractNum>
  <w:abstractNum w:abstractNumId="28">
    <w:nsid w:val="7F0A5370"/>
    <w:multiLevelType w:val="singleLevel"/>
    <w:tmpl w:val="7F0A5370"/>
    <w:lvl w:ilvl="0" w:tentative="0">
      <w:start w:val="1"/>
      <w:numFmt w:val="chineseCounting"/>
      <w:suff w:val="nothing"/>
      <w:lvlText w:val="（%1）"/>
      <w:lvlJc w:val="left"/>
      <w:pPr>
        <w:ind w:left="0" w:firstLine="420"/>
      </w:pPr>
      <w:rPr>
        <w:rFonts w:hint="eastAsia"/>
      </w:rPr>
    </w:lvl>
  </w:abstractNum>
  <w:num w:numId="1">
    <w:abstractNumId w:val="9"/>
  </w:num>
  <w:num w:numId="2">
    <w:abstractNumId w:val="24"/>
  </w:num>
  <w:num w:numId="3">
    <w:abstractNumId w:val="6"/>
  </w:num>
  <w:num w:numId="4">
    <w:abstractNumId w:val="20"/>
  </w:num>
  <w:num w:numId="5">
    <w:abstractNumId w:val="4"/>
  </w:num>
  <w:num w:numId="6">
    <w:abstractNumId w:val="10"/>
  </w:num>
  <w:num w:numId="7">
    <w:abstractNumId w:val="15"/>
  </w:num>
  <w:num w:numId="8">
    <w:abstractNumId w:val="23"/>
  </w:num>
  <w:num w:numId="9">
    <w:abstractNumId w:val="17"/>
  </w:num>
  <w:num w:numId="10">
    <w:abstractNumId w:val="5"/>
  </w:num>
  <w:num w:numId="11">
    <w:abstractNumId w:val="1"/>
  </w:num>
  <w:num w:numId="12">
    <w:abstractNumId w:val="12"/>
  </w:num>
  <w:num w:numId="13">
    <w:abstractNumId w:val="18"/>
  </w:num>
  <w:num w:numId="14">
    <w:abstractNumId w:val="7"/>
  </w:num>
  <w:num w:numId="15">
    <w:abstractNumId w:val="28"/>
  </w:num>
  <w:num w:numId="16">
    <w:abstractNumId w:val="16"/>
  </w:num>
  <w:num w:numId="17">
    <w:abstractNumId w:val="13"/>
  </w:num>
  <w:num w:numId="18">
    <w:abstractNumId w:val="25"/>
  </w:num>
  <w:num w:numId="19">
    <w:abstractNumId w:val="22"/>
  </w:num>
  <w:num w:numId="20">
    <w:abstractNumId w:val="0"/>
  </w:num>
  <w:num w:numId="21">
    <w:abstractNumId w:val="14"/>
  </w:num>
  <w:num w:numId="22">
    <w:abstractNumId w:val="27"/>
  </w:num>
  <w:num w:numId="23">
    <w:abstractNumId w:val="2"/>
  </w:num>
  <w:num w:numId="24">
    <w:abstractNumId w:val="3"/>
  </w:num>
  <w:num w:numId="25">
    <w:abstractNumId w:val="8"/>
  </w:num>
  <w:num w:numId="26">
    <w:abstractNumId w:val="11"/>
  </w:num>
  <w:num w:numId="27">
    <w:abstractNumId w:val="26"/>
  </w:num>
  <w:num w:numId="28">
    <w:abstractNumId w:val="19"/>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N2NiMGZhNzBiM2Y1NmZkNjFjNmMzMmYwYmNhMTAifQ=="/>
  </w:docVars>
  <w:rsids>
    <w:rsidRoot w:val="00603670"/>
    <w:rsid w:val="00001575"/>
    <w:rsid w:val="000020F5"/>
    <w:rsid w:val="0000298A"/>
    <w:rsid w:val="00004AC4"/>
    <w:rsid w:val="00011A82"/>
    <w:rsid w:val="000163AB"/>
    <w:rsid w:val="0002391A"/>
    <w:rsid w:val="00025A4F"/>
    <w:rsid w:val="00026DD2"/>
    <w:rsid w:val="00027036"/>
    <w:rsid w:val="0003035B"/>
    <w:rsid w:val="00032618"/>
    <w:rsid w:val="000337DF"/>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66CA3"/>
    <w:rsid w:val="0007103E"/>
    <w:rsid w:val="00072D57"/>
    <w:rsid w:val="000747C1"/>
    <w:rsid w:val="000749D9"/>
    <w:rsid w:val="00075391"/>
    <w:rsid w:val="000765F3"/>
    <w:rsid w:val="00082CDE"/>
    <w:rsid w:val="00083BE6"/>
    <w:rsid w:val="00084AE8"/>
    <w:rsid w:val="00086BDC"/>
    <w:rsid w:val="00092192"/>
    <w:rsid w:val="00093652"/>
    <w:rsid w:val="00096436"/>
    <w:rsid w:val="000A1C3F"/>
    <w:rsid w:val="000A53F4"/>
    <w:rsid w:val="000A7A8E"/>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6F2"/>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ED9"/>
    <w:rsid w:val="00143DFC"/>
    <w:rsid w:val="00145AE8"/>
    <w:rsid w:val="0015291E"/>
    <w:rsid w:val="00152A8B"/>
    <w:rsid w:val="00153377"/>
    <w:rsid w:val="00153535"/>
    <w:rsid w:val="001559E7"/>
    <w:rsid w:val="0016171E"/>
    <w:rsid w:val="0017065E"/>
    <w:rsid w:val="00171258"/>
    <w:rsid w:val="001721EF"/>
    <w:rsid w:val="001747DE"/>
    <w:rsid w:val="00175ECB"/>
    <w:rsid w:val="001775AE"/>
    <w:rsid w:val="00177DD5"/>
    <w:rsid w:val="001821A2"/>
    <w:rsid w:val="00182BE9"/>
    <w:rsid w:val="001863E0"/>
    <w:rsid w:val="00192F15"/>
    <w:rsid w:val="0019385A"/>
    <w:rsid w:val="001938B3"/>
    <w:rsid w:val="00196B4B"/>
    <w:rsid w:val="001976BF"/>
    <w:rsid w:val="00197932"/>
    <w:rsid w:val="001A0DDF"/>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112C"/>
    <w:rsid w:val="001E48AC"/>
    <w:rsid w:val="001E5C33"/>
    <w:rsid w:val="001E7FCF"/>
    <w:rsid w:val="001F06FA"/>
    <w:rsid w:val="001F3F8C"/>
    <w:rsid w:val="001F659A"/>
    <w:rsid w:val="0020244C"/>
    <w:rsid w:val="002027A7"/>
    <w:rsid w:val="00203A34"/>
    <w:rsid w:val="00203F7F"/>
    <w:rsid w:val="002056C6"/>
    <w:rsid w:val="00205727"/>
    <w:rsid w:val="00211BE4"/>
    <w:rsid w:val="00215FE5"/>
    <w:rsid w:val="00220312"/>
    <w:rsid w:val="00220C4E"/>
    <w:rsid w:val="00220DEC"/>
    <w:rsid w:val="00225E58"/>
    <w:rsid w:val="00225EAF"/>
    <w:rsid w:val="00230242"/>
    <w:rsid w:val="00231F92"/>
    <w:rsid w:val="0023378C"/>
    <w:rsid w:val="00235E45"/>
    <w:rsid w:val="002379C7"/>
    <w:rsid w:val="00240B9C"/>
    <w:rsid w:val="00242936"/>
    <w:rsid w:val="0024390D"/>
    <w:rsid w:val="00247843"/>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2B3D"/>
    <w:rsid w:val="002A49E6"/>
    <w:rsid w:val="002A50F6"/>
    <w:rsid w:val="002A778B"/>
    <w:rsid w:val="002B0574"/>
    <w:rsid w:val="002B0D6C"/>
    <w:rsid w:val="002B2701"/>
    <w:rsid w:val="002B2992"/>
    <w:rsid w:val="002B3155"/>
    <w:rsid w:val="002B4DF8"/>
    <w:rsid w:val="002B581A"/>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22D67"/>
    <w:rsid w:val="00327C22"/>
    <w:rsid w:val="003326FA"/>
    <w:rsid w:val="00332AF3"/>
    <w:rsid w:val="0033696E"/>
    <w:rsid w:val="003369F2"/>
    <w:rsid w:val="00336F07"/>
    <w:rsid w:val="003378B7"/>
    <w:rsid w:val="00342E19"/>
    <w:rsid w:val="00353BC1"/>
    <w:rsid w:val="00355F34"/>
    <w:rsid w:val="00360E20"/>
    <w:rsid w:val="00361074"/>
    <w:rsid w:val="00362653"/>
    <w:rsid w:val="0036549C"/>
    <w:rsid w:val="00366797"/>
    <w:rsid w:val="003672F7"/>
    <w:rsid w:val="003818F2"/>
    <w:rsid w:val="00382261"/>
    <w:rsid w:val="00383905"/>
    <w:rsid w:val="00384761"/>
    <w:rsid w:val="003922FB"/>
    <w:rsid w:val="00392847"/>
    <w:rsid w:val="00392A80"/>
    <w:rsid w:val="00393D24"/>
    <w:rsid w:val="003940DD"/>
    <w:rsid w:val="00394537"/>
    <w:rsid w:val="00395A64"/>
    <w:rsid w:val="00395C9C"/>
    <w:rsid w:val="00396F62"/>
    <w:rsid w:val="003A0E3F"/>
    <w:rsid w:val="003A3DB1"/>
    <w:rsid w:val="003A4E61"/>
    <w:rsid w:val="003B0A20"/>
    <w:rsid w:val="003B2D68"/>
    <w:rsid w:val="003B400D"/>
    <w:rsid w:val="003B48C0"/>
    <w:rsid w:val="003B4A20"/>
    <w:rsid w:val="003B5D20"/>
    <w:rsid w:val="003B5F6C"/>
    <w:rsid w:val="003B6D12"/>
    <w:rsid w:val="003B75BC"/>
    <w:rsid w:val="003B76C7"/>
    <w:rsid w:val="003C1806"/>
    <w:rsid w:val="003C419C"/>
    <w:rsid w:val="003C55BE"/>
    <w:rsid w:val="003D15B6"/>
    <w:rsid w:val="003D2DE8"/>
    <w:rsid w:val="003D3C42"/>
    <w:rsid w:val="003D460D"/>
    <w:rsid w:val="003D669F"/>
    <w:rsid w:val="003D68BE"/>
    <w:rsid w:val="003E01E6"/>
    <w:rsid w:val="003E07B6"/>
    <w:rsid w:val="003E0CCA"/>
    <w:rsid w:val="003E273C"/>
    <w:rsid w:val="003F38D5"/>
    <w:rsid w:val="003F475D"/>
    <w:rsid w:val="003F5030"/>
    <w:rsid w:val="003F679A"/>
    <w:rsid w:val="003F71EC"/>
    <w:rsid w:val="003F7B6C"/>
    <w:rsid w:val="0040104D"/>
    <w:rsid w:val="00403AB2"/>
    <w:rsid w:val="004126CD"/>
    <w:rsid w:val="00412749"/>
    <w:rsid w:val="004135D0"/>
    <w:rsid w:val="00420AFB"/>
    <w:rsid w:val="004211A3"/>
    <w:rsid w:val="00423364"/>
    <w:rsid w:val="00425987"/>
    <w:rsid w:val="00425F66"/>
    <w:rsid w:val="00431BF0"/>
    <w:rsid w:val="00431DBE"/>
    <w:rsid w:val="00432DE8"/>
    <w:rsid w:val="004339F3"/>
    <w:rsid w:val="00433B9F"/>
    <w:rsid w:val="00437C88"/>
    <w:rsid w:val="00453557"/>
    <w:rsid w:val="00456ED5"/>
    <w:rsid w:val="0045760A"/>
    <w:rsid w:val="004610D7"/>
    <w:rsid w:val="004613B9"/>
    <w:rsid w:val="00464FC0"/>
    <w:rsid w:val="00467559"/>
    <w:rsid w:val="0047081D"/>
    <w:rsid w:val="00471356"/>
    <w:rsid w:val="004720E6"/>
    <w:rsid w:val="00473854"/>
    <w:rsid w:val="004738F6"/>
    <w:rsid w:val="004765F8"/>
    <w:rsid w:val="00476745"/>
    <w:rsid w:val="00476899"/>
    <w:rsid w:val="00491492"/>
    <w:rsid w:val="00492B35"/>
    <w:rsid w:val="00493336"/>
    <w:rsid w:val="00494623"/>
    <w:rsid w:val="004947D6"/>
    <w:rsid w:val="0049673B"/>
    <w:rsid w:val="00496883"/>
    <w:rsid w:val="00497014"/>
    <w:rsid w:val="00497F21"/>
    <w:rsid w:val="004A2763"/>
    <w:rsid w:val="004A2BFC"/>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4F72FF"/>
    <w:rsid w:val="005011CC"/>
    <w:rsid w:val="00501334"/>
    <w:rsid w:val="00501F2E"/>
    <w:rsid w:val="00507361"/>
    <w:rsid w:val="00510554"/>
    <w:rsid w:val="005141D7"/>
    <w:rsid w:val="00516292"/>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12F5"/>
    <w:rsid w:val="00551FCE"/>
    <w:rsid w:val="005521A5"/>
    <w:rsid w:val="005537EE"/>
    <w:rsid w:val="00555B34"/>
    <w:rsid w:val="00562E65"/>
    <w:rsid w:val="00565168"/>
    <w:rsid w:val="005656F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3711"/>
    <w:rsid w:val="005B517B"/>
    <w:rsid w:val="005C064C"/>
    <w:rsid w:val="005C3A40"/>
    <w:rsid w:val="005D0B0F"/>
    <w:rsid w:val="005D20E7"/>
    <w:rsid w:val="005D4A57"/>
    <w:rsid w:val="005D4E01"/>
    <w:rsid w:val="005D51FD"/>
    <w:rsid w:val="005D72B7"/>
    <w:rsid w:val="005D796C"/>
    <w:rsid w:val="005E2511"/>
    <w:rsid w:val="005E2C04"/>
    <w:rsid w:val="005E33E1"/>
    <w:rsid w:val="005E3EC3"/>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6532"/>
    <w:rsid w:val="00616AE3"/>
    <w:rsid w:val="00620F2C"/>
    <w:rsid w:val="0062190F"/>
    <w:rsid w:val="00621FC4"/>
    <w:rsid w:val="006225E9"/>
    <w:rsid w:val="00625BC4"/>
    <w:rsid w:val="00627D70"/>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6D2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6E19AA"/>
    <w:rsid w:val="00700C51"/>
    <w:rsid w:val="00703552"/>
    <w:rsid w:val="00704006"/>
    <w:rsid w:val="00704031"/>
    <w:rsid w:val="00704043"/>
    <w:rsid w:val="00704721"/>
    <w:rsid w:val="00704C21"/>
    <w:rsid w:val="00705163"/>
    <w:rsid w:val="007056A1"/>
    <w:rsid w:val="007059E9"/>
    <w:rsid w:val="0071097B"/>
    <w:rsid w:val="00712762"/>
    <w:rsid w:val="007128C2"/>
    <w:rsid w:val="00713BF5"/>
    <w:rsid w:val="00713E37"/>
    <w:rsid w:val="00714912"/>
    <w:rsid w:val="00715D44"/>
    <w:rsid w:val="00717FA5"/>
    <w:rsid w:val="00720646"/>
    <w:rsid w:val="007214B0"/>
    <w:rsid w:val="00721994"/>
    <w:rsid w:val="00724E13"/>
    <w:rsid w:val="00726EDF"/>
    <w:rsid w:val="00732D61"/>
    <w:rsid w:val="0073379E"/>
    <w:rsid w:val="007342B9"/>
    <w:rsid w:val="00737515"/>
    <w:rsid w:val="00741354"/>
    <w:rsid w:val="00742DA4"/>
    <w:rsid w:val="007440B0"/>
    <w:rsid w:val="007470DA"/>
    <w:rsid w:val="007508D1"/>
    <w:rsid w:val="00750EF9"/>
    <w:rsid w:val="007511D9"/>
    <w:rsid w:val="0075190E"/>
    <w:rsid w:val="0075235C"/>
    <w:rsid w:val="00752A2A"/>
    <w:rsid w:val="00753A86"/>
    <w:rsid w:val="00756575"/>
    <w:rsid w:val="00756D24"/>
    <w:rsid w:val="00757586"/>
    <w:rsid w:val="00761C9A"/>
    <w:rsid w:val="00762179"/>
    <w:rsid w:val="00762D01"/>
    <w:rsid w:val="00766BD6"/>
    <w:rsid w:val="007709C4"/>
    <w:rsid w:val="0077166C"/>
    <w:rsid w:val="0077194A"/>
    <w:rsid w:val="00772D94"/>
    <w:rsid w:val="00772ED2"/>
    <w:rsid w:val="00772FCF"/>
    <w:rsid w:val="007747A4"/>
    <w:rsid w:val="007775AA"/>
    <w:rsid w:val="00781170"/>
    <w:rsid w:val="00781957"/>
    <w:rsid w:val="00783B9B"/>
    <w:rsid w:val="0078547A"/>
    <w:rsid w:val="00786D28"/>
    <w:rsid w:val="00787D25"/>
    <w:rsid w:val="00793437"/>
    <w:rsid w:val="0079465B"/>
    <w:rsid w:val="007979A5"/>
    <w:rsid w:val="007A04E9"/>
    <w:rsid w:val="007A3317"/>
    <w:rsid w:val="007A4237"/>
    <w:rsid w:val="007B5567"/>
    <w:rsid w:val="007B645B"/>
    <w:rsid w:val="007B6F94"/>
    <w:rsid w:val="007C0CF1"/>
    <w:rsid w:val="007C3D49"/>
    <w:rsid w:val="007C5792"/>
    <w:rsid w:val="007D7980"/>
    <w:rsid w:val="007E12AF"/>
    <w:rsid w:val="007E26FA"/>
    <w:rsid w:val="007E3EDE"/>
    <w:rsid w:val="007F19BA"/>
    <w:rsid w:val="007F26F4"/>
    <w:rsid w:val="007F35AB"/>
    <w:rsid w:val="007F6B25"/>
    <w:rsid w:val="007F6B65"/>
    <w:rsid w:val="007F6FD6"/>
    <w:rsid w:val="0080065E"/>
    <w:rsid w:val="00802140"/>
    <w:rsid w:val="008034FC"/>
    <w:rsid w:val="00803518"/>
    <w:rsid w:val="0080602F"/>
    <w:rsid w:val="008116C0"/>
    <w:rsid w:val="00811E08"/>
    <w:rsid w:val="00812470"/>
    <w:rsid w:val="008124C1"/>
    <w:rsid w:val="00817DD8"/>
    <w:rsid w:val="00821A59"/>
    <w:rsid w:val="0082229E"/>
    <w:rsid w:val="00822940"/>
    <w:rsid w:val="00825FF0"/>
    <w:rsid w:val="00830919"/>
    <w:rsid w:val="00831C16"/>
    <w:rsid w:val="00833845"/>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5023"/>
    <w:rsid w:val="00875A19"/>
    <w:rsid w:val="00880B3C"/>
    <w:rsid w:val="00881257"/>
    <w:rsid w:val="00882269"/>
    <w:rsid w:val="00886007"/>
    <w:rsid w:val="0089578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418"/>
    <w:rsid w:val="008D0A5A"/>
    <w:rsid w:val="008D1A5C"/>
    <w:rsid w:val="008D2498"/>
    <w:rsid w:val="008D3E65"/>
    <w:rsid w:val="008D3EC0"/>
    <w:rsid w:val="008D522B"/>
    <w:rsid w:val="008E139E"/>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11"/>
    <w:rsid w:val="009227C3"/>
    <w:rsid w:val="0092421F"/>
    <w:rsid w:val="00925485"/>
    <w:rsid w:val="00932E40"/>
    <w:rsid w:val="00937F4D"/>
    <w:rsid w:val="00940CEB"/>
    <w:rsid w:val="00945388"/>
    <w:rsid w:val="00945FC8"/>
    <w:rsid w:val="0094675A"/>
    <w:rsid w:val="009500CB"/>
    <w:rsid w:val="00950D89"/>
    <w:rsid w:val="009541DD"/>
    <w:rsid w:val="00954DA4"/>
    <w:rsid w:val="00966193"/>
    <w:rsid w:val="009666D4"/>
    <w:rsid w:val="009667F6"/>
    <w:rsid w:val="00966E16"/>
    <w:rsid w:val="00977403"/>
    <w:rsid w:val="00981DB0"/>
    <w:rsid w:val="00981FCF"/>
    <w:rsid w:val="00982732"/>
    <w:rsid w:val="009877F1"/>
    <w:rsid w:val="00990253"/>
    <w:rsid w:val="00991F41"/>
    <w:rsid w:val="00995A44"/>
    <w:rsid w:val="00997A02"/>
    <w:rsid w:val="009A1A5F"/>
    <w:rsid w:val="009A21C0"/>
    <w:rsid w:val="009A38B4"/>
    <w:rsid w:val="009A4BF3"/>
    <w:rsid w:val="009B2D19"/>
    <w:rsid w:val="009B4D41"/>
    <w:rsid w:val="009B7D69"/>
    <w:rsid w:val="009C2257"/>
    <w:rsid w:val="009C2904"/>
    <w:rsid w:val="009C2D78"/>
    <w:rsid w:val="009C51EA"/>
    <w:rsid w:val="009C78DB"/>
    <w:rsid w:val="009D0859"/>
    <w:rsid w:val="009D31DD"/>
    <w:rsid w:val="009D4FC9"/>
    <w:rsid w:val="009E114C"/>
    <w:rsid w:val="009E2486"/>
    <w:rsid w:val="009E5075"/>
    <w:rsid w:val="009E5DDF"/>
    <w:rsid w:val="009E5F7B"/>
    <w:rsid w:val="009E6179"/>
    <w:rsid w:val="009F0430"/>
    <w:rsid w:val="009F22AA"/>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36975"/>
    <w:rsid w:val="00A444BF"/>
    <w:rsid w:val="00A45013"/>
    <w:rsid w:val="00A45A6D"/>
    <w:rsid w:val="00A464C4"/>
    <w:rsid w:val="00A47BDB"/>
    <w:rsid w:val="00A659A0"/>
    <w:rsid w:val="00A66627"/>
    <w:rsid w:val="00A66E18"/>
    <w:rsid w:val="00A6789E"/>
    <w:rsid w:val="00A726B0"/>
    <w:rsid w:val="00A75AF1"/>
    <w:rsid w:val="00A82740"/>
    <w:rsid w:val="00A86D9B"/>
    <w:rsid w:val="00A87BA8"/>
    <w:rsid w:val="00A965B7"/>
    <w:rsid w:val="00AA2296"/>
    <w:rsid w:val="00AA2719"/>
    <w:rsid w:val="00AA4A01"/>
    <w:rsid w:val="00AA5DF6"/>
    <w:rsid w:val="00AA6955"/>
    <w:rsid w:val="00AA7ED0"/>
    <w:rsid w:val="00AB0155"/>
    <w:rsid w:val="00AB3EAB"/>
    <w:rsid w:val="00AB56C3"/>
    <w:rsid w:val="00AB5D1C"/>
    <w:rsid w:val="00AB6105"/>
    <w:rsid w:val="00AC013D"/>
    <w:rsid w:val="00AC29B8"/>
    <w:rsid w:val="00AC2AF9"/>
    <w:rsid w:val="00AD08E8"/>
    <w:rsid w:val="00AD3C05"/>
    <w:rsid w:val="00AD6219"/>
    <w:rsid w:val="00AE270A"/>
    <w:rsid w:val="00AE2F48"/>
    <w:rsid w:val="00AE3ACD"/>
    <w:rsid w:val="00AF1D6C"/>
    <w:rsid w:val="00AF4372"/>
    <w:rsid w:val="00AF4EC0"/>
    <w:rsid w:val="00AF554C"/>
    <w:rsid w:val="00B001EF"/>
    <w:rsid w:val="00B0099A"/>
    <w:rsid w:val="00B0473A"/>
    <w:rsid w:val="00B04D6C"/>
    <w:rsid w:val="00B06AE0"/>
    <w:rsid w:val="00B10D30"/>
    <w:rsid w:val="00B12112"/>
    <w:rsid w:val="00B1235F"/>
    <w:rsid w:val="00B141DC"/>
    <w:rsid w:val="00B16927"/>
    <w:rsid w:val="00B20305"/>
    <w:rsid w:val="00B2176B"/>
    <w:rsid w:val="00B25260"/>
    <w:rsid w:val="00B32B99"/>
    <w:rsid w:val="00B3302E"/>
    <w:rsid w:val="00B408E8"/>
    <w:rsid w:val="00B438CE"/>
    <w:rsid w:val="00B43C18"/>
    <w:rsid w:val="00B45907"/>
    <w:rsid w:val="00B4687C"/>
    <w:rsid w:val="00B51124"/>
    <w:rsid w:val="00B535B6"/>
    <w:rsid w:val="00B5406D"/>
    <w:rsid w:val="00B617FE"/>
    <w:rsid w:val="00B6725F"/>
    <w:rsid w:val="00B677A5"/>
    <w:rsid w:val="00B82931"/>
    <w:rsid w:val="00B8446A"/>
    <w:rsid w:val="00B847DD"/>
    <w:rsid w:val="00B85FC9"/>
    <w:rsid w:val="00B86879"/>
    <w:rsid w:val="00B87A7E"/>
    <w:rsid w:val="00B93EFD"/>
    <w:rsid w:val="00B94232"/>
    <w:rsid w:val="00B9732A"/>
    <w:rsid w:val="00B97E78"/>
    <w:rsid w:val="00BA1245"/>
    <w:rsid w:val="00BA3877"/>
    <w:rsid w:val="00BA5022"/>
    <w:rsid w:val="00BA578C"/>
    <w:rsid w:val="00BA7B2C"/>
    <w:rsid w:val="00BB45E3"/>
    <w:rsid w:val="00BB4D08"/>
    <w:rsid w:val="00BB566D"/>
    <w:rsid w:val="00BB568F"/>
    <w:rsid w:val="00BB5881"/>
    <w:rsid w:val="00BB6105"/>
    <w:rsid w:val="00BB67EB"/>
    <w:rsid w:val="00BC17AC"/>
    <w:rsid w:val="00BC1A85"/>
    <w:rsid w:val="00BC2BB1"/>
    <w:rsid w:val="00BC4505"/>
    <w:rsid w:val="00BC697C"/>
    <w:rsid w:val="00BD2C02"/>
    <w:rsid w:val="00BD3301"/>
    <w:rsid w:val="00BD441B"/>
    <w:rsid w:val="00BD4CD9"/>
    <w:rsid w:val="00BD7D5C"/>
    <w:rsid w:val="00BE0B0B"/>
    <w:rsid w:val="00BE1F48"/>
    <w:rsid w:val="00BE5334"/>
    <w:rsid w:val="00BF04FE"/>
    <w:rsid w:val="00BF0853"/>
    <w:rsid w:val="00BF568B"/>
    <w:rsid w:val="00BF62FF"/>
    <w:rsid w:val="00BF66FD"/>
    <w:rsid w:val="00BF7E28"/>
    <w:rsid w:val="00C00098"/>
    <w:rsid w:val="00C00F04"/>
    <w:rsid w:val="00C02598"/>
    <w:rsid w:val="00C0560D"/>
    <w:rsid w:val="00C05846"/>
    <w:rsid w:val="00C05FC2"/>
    <w:rsid w:val="00C1006E"/>
    <w:rsid w:val="00C11F45"/>
    <w:rsid w:val="00C1424C"/>
    <w:rsid w:val="00C15D16"/>
    <w:rsid w:val="00C2026A"/>
    <w:rsid w:val="00C21B82"/>
    <w:rsid w:val="00C278CD"/>
    <w:rsid w:val="00C31252"/>
    <w:rsid w:val="00C343E7"/>
    <w:rsid w:val="00C34F24"/>
    <w:rsid w:val="00C368FE"/>
    <w:rsid w:val="00C4048F"/>
    <w:rsid w:val="00C40805"/>
    <w:rsid w:val="00C432B9"/>
    <w:rsid w:val="00C455DD"/>
    <w:rsid w:val="00C476C2"/>
    <w:rsid w:val="00C541C5"/>
    <w:rsid w:val="00C56A1C"/>
    <w:rsid w:val="00C57887"/>
    <w:rsid w:val="00C65789"/>
    <w:rsid w:val="00C6589C"/>
    <w:rsid w:val="00C71BEB"/>
    <w:rsid w:val="00C7237C"/>
    <w:rsid w:val="00C734A3"/>
    <w:rsid w:val="00C750A4"/>
    <w:rsid w:val="00C776A4"/>
    <w:rsid w:val="00C83E6E"/>
    <w:rsid w:val="00C8548B"/>
    <w:rsid w:val="00C90DA1"/>
    <w:rsid w:val="00C96754"/>
    <w:rsid w:val="00C97F20"/>
    <w:rsid w:val="00CA090A"/>
    <w:rsid w:val="00CA0CCB"/>
    <w:rsid w:val="00CA0FD7"/>
    <w:rsid w:val="00CA16E6"/>
    <w:rsid w:val="00CB6E6C"/>
    <w:rsid w:val="00CC144A"/>
    <w:rsid w:val="00CC17D4"/>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411"/>
    <w:rsid w:val="00D10E67"/>
    <w:rsid w:val="00D12AD6"/>
    <w:rsid w:val="00D16BC8"/>
    <w:rsid w:val="00D17205"/>
    <w:rsid w:val="00D2020D"/>
    <w:rsid w:val="00D221F4"/>
    <w:rsid w:val="00D24487"/>
    <w:rsid w:val="00D30631"/>
    <w:rsid w:val="00D30F45"/>
    <w:rsid w:val="00D32910"/>
    <w:rsid w:val="00D35554"/>
    <w:rsid w:val="00D3756F"/>
    <w:rsid w:val="00D37961"/>
    <w:rsid w:val="00D41ED3"/>
    <w:rsid w:val="00D4308A"/>
    <w:rsid w:val="00D467C0"/>
    <w:rsid w:val="00D52852"/>
    <w:rsid w:val="00D533FC"/>
    <w:rsid w:val="00D56FAE"/>
    <w:rsid w:val="00D61271"/>
    <w:rsid w:val="00D638E3"/>
    <w:rsid w:val="00D7179D"/>
    <w:rsid w:val="00D71805"/>
    <w:rsid w:val="00D72607"/>
    <w:rsid w:val="00D75A05"/>
    <w:rsid w:val="00D76EA0"/>
    <w:rsid w:val="00D802A7"/>
    <w:rsid w:val="00D81927"/>
    <w:rsid w:val="00D8243A"/>
    <w:rsid w:val="00D8277B"/>
    <w:rsid w:val="00D82EF0"/>
    <w:rsid w:val="00D834B2"/>
    <w:rsid w:val="00D87592"/>
    <w:rsid w:val="00D91FD6"/>
    <w:rsid w:val="00D9501D"/>
    <w:rsid w:val="00D953AB"/>
    <w:rsid w:val="00D95437"/>
    <w:rsid w:val="00D95FC8"/>
    <w:rsid w:val="00D96CBE"/>
    <w:rsid w:val="00DA5447"/>
    <w:rsid w:val="00DA677A"/>
    <w:rsid w:val="00DB0B46"/>
    <w:rsid w:val="00DB5622"/>
    <w:rsid w:val="00DB5EF9"/>
    <w:rsid w:val="00DB7920"/>
    <w:rsid w:val="00DC210E"/>
    <w:rsid w:val="00DD15BD"/>
    <w:rsid w:val="00DD1F0C"/>
    <w:rsid w:val="00DD2C2A"/>
    <w:rsid w:val="00DD3557"/>
    <w:rsid w:val="00DD4221"/>
    <w:rsid w:val="00DD4E92"/>
    <w:rsid w:val="00DD5CF2"/>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BB9"/>
    <w:rsid w:val="00E46F4E"/>
    <w:rsid w:val="00E527AA"/>
    <w:rsid w:val="00E52B0C"/>
    <w:rsid w:val="00E53646"/>
    <w:rsid w:val="00E548C7"/>
    <w:rsid w:val="00E5656D"/>
    <w:rsid w:val="00E572FC"/>
    <w:rsid w:val="00E63355"/>
    <w:rsid w:val="00E66F6B"/>
    <w:rsid w:val="00E67320"/>
    <w:rsid w:val="00E70313"/>
    <w:rsid w:val="00E70A80"/>
    <w:rsid w:val="00E737BB"/>
    <w:rsid w:val="00E819DB"/>
    <w:rsid w:val="00E81F84"/>
    <w:rsid w:val="00E82C2C"/>
    <w:rsid w:val="00E84F37"/>
    <w:rsid w:val="00E90AAC"/>
    <w:rsid w:val="00E90D76"/>
    <w:rsid w:val="00E91255"/>
    <w:rsid w:val="00E94445"/>
    <w:rsid w:val="00E96562"/>
    <w:rsid w:val="00EA08B8"/>
    <w:rsid w:val="00EA1D68"/>
    <w:rsid w:val="00EA6C46"/>
    <w:rsid w:val="00EB0F51"/>
    <w:rsid w:val="00EB3E5D"/>
    <w:rsid w:val="00EC6A4D"/>
    <w:rsid w:val="00EC6B71"/>
    <w:rsid w:val="00ED0357"/>
    <w:rsid w:val="00ED24E6"/>
    <w:rsid w:val="00ED260C"/>
    <w:rsid w:val="00ED362A"/>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0B1"/>
    <w:rsid w:val="00F83627"/>
    <w:rsid w:val="00F93A6A"/>
    <w:rsid w:val="00F950E8"/>
    <w:rsid w:val="00FA18E9"/>
    <w:rsid w:val="00FA298F"/>
    <w:rsid w:val="00FA2BB3"/>
    <w:rsid w:val="00FA5D03"/>
    <w:rsid w:val="00FA6232"/>
    <w:rsid w:val="00FB58C3"/>
    <w:rsid w:val="00FC04A0"/>
    <w:rsid w:val="00FC116F"/>
    <w:rsid w:val="00FC353C"/>
    <w:rsid w:val="00FD12C6"/>
    <w:rsid w:val="00FD28E2"/>
    <w:rsid w:val="00FD2EB8"/>
    <w:rsid w:val="00FD300A"/>
    <w:rsid w:val="00FD56B9"/>
    <w:rsid w:val="00FE03A7"/>
    <w:rsid w:val="00FE0869"/>
    <w:rsid w:val="00FE1170"/>
    <w:rsid w:val="00FE1C63"/>
    <w:rsid w:val="00FE3A2F"/>
    <w:rsid w:val="00FE422C"/>
    <w:rsid w:val="00FE61D2"/>
    <w:rsid w:val="00FE7E33"/>
    <w:rsid w:val="00FF04E2"/>
    <w:rsid w:val="00FF0ED7"/>
    <w:rsid w:val="00FF424F"/>
    <w:rsid w:val="00FF46E4"/>
    <w:rsid w:val="016966EF"/>
    <w:rsid w:val="016A6C79"/>
    <w:rsid w:val="01702465"/>
    <w:rsid w:val="02181129"/>
    <w:rsid w:val="02CE4282"/>
    <w:rsid w:val="02E42FCA"/>
    <w:rsid w:val="033112BB"/>
    <w:rsid w:val="03316E9F"/>
    <w:rsid w:val="04375C44"/>
    <w:rsid w:val="04BE065F"/>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742F24"/>
    <w:rsid w:val="0C5602B0"/>
    <w:rsid w:val="0C6A270B"/>
    <w:rsid w:val="0C72525B"/>
    <w:rsid w:val="0C96145B"/>
    <w:rsid w:val="0CBC3BE7"/>
    <w:rsid w:val="0CBE46E5"/>
    <w:rsid w:val="0D040750"/>
    <w:rsid w:val="0D5C07A9"/>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4233DA"/>
    <w:rsid w:val="11493F48"/>
    <w:rsid w:val="11551A52"/>
    <w:rsid w:val="115A3E79"/>
    <w:rsid w:val="11B60016"/>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2D398B"/>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A266F"/>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1F3061"/>
    <w:rsid w:val="284726EB"/>
    <w:rsid w:val="28805288"/>
    <w:rsid w:val="28C419ED"/>
    <w:rsid w:val="28DF3FCB"/>
    <w:rsid w:val="299E4FB5"/>
    <w:rsid w:val="29D04C89"/>
    <w:rsid w:val="2A531D5C"/>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03596"/>
    <w:rsid w:val="392803B0"/>
    <w:rsid w:val="39425EA4"/>
    <w:rsid w:val="39A45FA5"/>
    <w:rsid w:val="39FA04A7"/>
    <w:rsid w:val="3A23021F"/>
    <w:rsid w:val="3AC337DD"/>
    <w:rsid w:val="3B490A10"/>
    <w:rsid w:val="3B864C9E"/>
    <w:rsid w:val="3B9260FC"/>
    <w:rsid w:val="3C4A1D69"/>
    <w:rsid w:val="3C964B49"/>
    <w:rsid w:val="3D817CF7"/>
    <w:rsid w:val="3DB54D85"/>
    <w:rsid w:val="3E7616F0"/>
    <w:rsid w:val="3EE37DED"/>
    <w:rsid w:val="3F025588"/>
    <w:rsid w:val="3F5B3E28"/>
    <w:rsid w:val="400F65A6"/>
    <w:rsid w:val="40552625"/>
    <w:rsid w:val="40E165C9"/>
    <w:rsid w:val="40E67721"/>
    <w:rsid w:val="413435BC"/>
    <w:rsid w:val="41701D64"/>
    <w:rsid w:val="41AC5CCE"/>
    <w:rsid w:val="41CC7D33"/>
    <w:rsid w:val="41DA1B40"/>
    <w:rsid w:val="41F14923"/>
    <w:rsid w:val="41FC16B9"/>
    <w:rsid w:val="42B85710"/>
    <w:rsid w:val="42D070A6"/>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CC3066D"/>
    <w:rsid w:val="4CF86EEF"/>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4161D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EC72E99"/>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3122DF"/>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A3537"/>
    <w:rsid w:val="6E6F3C8C"/>
    <w:rsid w:val="6E9C7AFE"/>
    <w:rsid w:val="6EB94846"/>
    <w:rsid w:val="6ECC7CC8"/>
    <w:rsid w:val="6EE467D5"/>
    <w:rsid w:val="6EF24EBF"/>
    <w:rsid w:val="6FD809F9"/>
    <w:rsid w:val="703F6E9D"/>
    <w:rsid w:val="70F74EAF"/>
    <w:rsid w:val="710768CA"/>
    <w:rsid w:val="722A023A"/>
    <w:rsid w:val="72CE3338"/>
    <w:rsid w:val="72EE3A33"/>
    <w:rsid w:val="73BF0A52"/>
    <w:rsid w:val="73C53042"/>
    <w:rsid w:val="73C62871"/>
    <w:rsid w:val="73FF22EE"/>
    <w:rsid w:val="745D7266"/>
    <w:rsid w:val="748673CA"/>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 w:val="F97F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8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7"/>
    <w:unhideWhenUsed/>
    <w:qFormat/>
    <w:uiPriority w:val="99"/>
    <w:pPr>
      <w:jc w:val="left"/>
    </w:pPr>
    <w:rPr>
      <w:rFonts w:ascii="Times New Roman" w:hAnsi="Times New Roman" w:eastAsia="宋体" w:cs="Times New Roman"/>
      <w:szCs w:val="24"/>
    </w:rPr>
  </w:style>
  <w:style w:type="paragraph" w:styleId="8">
    <w:name w:val="Body Text"/>
    <w:basedOn w:val="1"/>
    <w:link w:val="92"/>
    <w:autoRedefine/>
    <w:semiHidden/>
    <w:unhideWhenUsed/>
    <w:qFormat/>
    <w:uiPriority w:val="99"/>
    <w:pPr>
      <w:spacing w:after="120"/>
    </w:pPr>
  </w:style>
  <w:style w:type="paragraph" w:styleId="9">
    <w:name w:val="Body Text Indent"/>
    <w:basedOn w:val="1"/>
    <w:next w:val="10"/>
    <w:link w:val="89"/>
    <w:semiHidden/>
    <w:unhideWhenUsed/>
    <w:qFormat/>
    <w:uiPriority w:val="99"/>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link w:val="61"/>
    <w:qFormat/>
    <w:uiPriority w:val="0"/>
    <w:rPr>
      <w:rFonts w:ascii="宋体" w:hAnsi="Courier New" w:eastAsia="宋体" w:cs="Times New Roman"/>
      <w:kern w:val="0"/>
      <w:sz w:val="20"/>
      <w:szCs w:val="21"/>
    </w:rPr>
  </w:style>
  <w:style w:type="paragraph" w:styleId="12">
    <w:name w:val="Balloon Text"/>
    <w:basedOn w:val="1"/>
    <w:link w:val="33"/>
    <w:semiHidden/>
    <w:unhideWhenUsed/>
    <w:qFormat/>
    <w:uiPriority w:val="99"/>
    <w:rPr>
      <w:sz w:val="18"/>
      <w:szCs w:val="18"/>
    </w:rPr>
  </w:style>
  <w:style w:type="paragraph" w:styleId="13">
    <w:name w:val="footer"/>
    <w:basedOn w:val="1"/>
    <w:link w:val="57"/>
    <w:unhideWhenUsed/>
    <w:qFormat/>
    <w:uiPriority w:val="0"/>
    <w:pPr>
      <w:tabs>
        <w:tab w:val="center" w:pos="4153"/>
        <w:tab w:val="right" w:pos="8306"/>
      </w:tabs>
      <w:snapToGrid w:val="0"/>
      <w:jc w:val="left"/>
    </w:pPr>
    <w:rPr>
      <w:sz w:val="18"/>
      <w:szCs w:val="18"/>
    </w:rPr>
  </w:style>
  <w:style w:type="paragraph" w:styleId="14">
    <w:name w:val="header"/>
    <w:basedOn w:val="1"/>
    <w:link w:val="10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4"/>
    <w:semiHidden/>
    <w:unhideWhenUsed/>
    <w:qFormat/>
    <w:uiPriority w:val="99"/>
    <w:pPr>
      <w:snapToGrid w:val="0"/>
      <w:jc w:val="left"/>
    </w:pPr>
    <w:rPr>
      <w:sz w:val="18"/>
    </w:rPr>
  </w:style>
  <w:style w:type="paragraph" w:styleId="17">
    <w:name w:val="Body Text Indent 3"/>
    <w:basedOn w:val="1"/>
    <w:link w:val="94"/>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8"/>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3"/>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4"/>
    <w:semiHidden/>
    <w:unhideWhenUsed/>
    <w:qFormat/>
    <w:uiPriority w:val="99"/>
    <w:rPr>
      <w:b/>
      <w:bCs/>
    </w:rPr>
  </w:style>
  <w:style w:type="paragraph" w:styleId="22">
    <w:name w:val="Body Text First Indent"/>
    <w:basedOn w:val="8"/>
    <w:link w:val="95"/>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8"/>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autoRedefine/>
    <w:qFormat/>
    <w:uiPriority w:val="22"/>
    <w:rPr>
      <w:b/>
      <w:bCs/>
    </w:rPr>
  </w:style>
  <w:style w:type="character" w:styleId="28">
    <w:name w:val="annotation reference"/>
    <w:basedOn w:val="26"/>
    <w:unhideWhenUsed/>
    <w:qFormat/>
    <w:uiPriority w:val="99"/>
    <w:rPr>
      <w:sz w:val="21"/>
      <w:szCs w:val="21"/>
    </w:rPr>
  </w:style>
  <w:style w:type="character" w:customStyle="1" w:styleId="29">
    <w:name w:val="页眉 字符"/>
    <w:basedOn w:val="26"/>
    <w:autoRedefine/>
    <w:qFormat/>
    <w:uiPriority w:val="99"/>
    <w:rPr>
      <w:sz w:val="18"/>
      <w:szCs w:val="18"/>
    </w:rPr>
  </w:style>
  <w:style w:type="character" w:customStyle="1" w:styleId="30">
    <w:name w:val="页脚 字符"/>
    <w:basedOn w:val="26"/>
    <w:autoRedefine/>
    <w:qFormat/>
    <w:uiPriority w:val="99"/>
    <w:rPr>
      <w:sz w:val="18"/>
      <w:szCs w:val="18"/>
    </w:rPr>
  </w:style>
  <w:style w:type="paragraph" w:styleId="31">
    <w:name w:val="List Paragraph"/>
    <w:basedOn w:val="1"/>
    <w:link w:val="39"/>
    <w:qFormat/>
    <w:uiPriority w:val="34"/>
    <w:pPr>
      <w:ind w:firstLine="420" w:firstLineChars="200"/>
    </w:pPr>
  </w:style>
  <w:style w:type="character" w:customStyle="1" w:styleId="32">
    <w:name w:val="批注文字 字符"/>
    <w:basedOn w:val="26"/>
    <w:qFormat/>
    <w:uiPriority w:val="99"/>
  </w:style>
  <w:style w:type="character" w:customStyle="1" w:styleId="33">
    <w:name w:val="批注框文本 字符"/>
    <w:basedOn w:val="26"/>
    <w:link w:val="12"/>
    <w:semiHidden/>
    <w:qFormat/>
    <w:uiPriority w:val="99"/>
    <w:rPr>
      <w:sz w:val="18"/>
      <w:szCs w:val="18"/>
    </w:rPr>
  </w:style>
  <w:style w:type="character" w:customStyle="1" w:styleId="34">
    <w:name w:val="批注主题 字符"/>
    <w:basedOn w:val="32"/>
    <w:link w:val="21"/>
    <w:semiHidden/>
    <w:qFormat/>
    <w:uiPriority w:val="99"/>
    <w:rPr>
      <w:b/>
      <w:bCs/>
    </w:rPr>
  </w:style>
  <w:style w:type="character" w:customStyle="1" w:styleId="35">
    <w:name w:val="标题 Char"/>
    <w:basedOn w:val="26"/>
    <w:qFormat/>
    <w:uiPriority w:val="0"/>
    <w:rPr>
      <w:rFonts w:eastAsia="宋体" w:asciiTheme="majorHAnsi" w:hAnsiTheme="majorHAnsi" w:cstheme="majorBidi"/>
      <w:b/>
      <w:bCs/>
      <w:sz w:val="32"/>
      <w:szCs w:val="32"/>
    </w:rPr>
  </w:style>
  <w:style w:type="character" w:customStyle="1" w:styleId="36">
    <w:name w:val="标题 2 字符"/>
    <w:basedOn w:val="26"/>
    <w:autoRedefine/>
    <w:qFormat/>
    <w:uiPriority w:val="0"/>
    <w:rPr>
      <w:rFonts w:ascii="Arial" w:hAnsi="Arial" w:eastAsia="黑体" w:cs="Times New Roman"/>
      <w:b/>
      <w:bCs/>
      <w:sz w:val="32"/>
      <w:szCs w:val="32"/>
    </w:rPr>
  </w:style>
  <w:style w:type="character" w:customStyle="1" w:styleId="37">
    <w:name w:val="纯文本 字符"/>
    <w:basedOn w:val="26"/>
    <w:qFormat/>
    <w:uiPriority w:val="0"/>
    <w:rPr>
      <w:rFonts w:ascii="宋体" w:hAnsi="Courier New" w:eastAsia="宋体" w:cs="Times New Roman"/>
      <w:kern w:val="0"/>
      <w:sz w:val="20"/>
      <w:szCs w:val="21"/>
    </w:rPr>
  </w:style>
  <w:style w:type="paragraph" w:customStyle="1" w:styleId="3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9">
    <w:name w:val="列表段落 字符4"/>
    <w:link w:val="31"/>
    <w:qFormat/>
    <w:uiPriority w:val="34"/>
  </w:style>
  <w:style w:type="paragraph" w:customStyle="1" w:styleId="40">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1">
    <w:name w:val="列出段落1"/>
    <w:basedOn w:val="1"/>
    <w:link w:val="42"/>
    <w:autoRedefine/>
    <w:qFormat/>
    <w:uiPriority w:val="99"/>
    <w:pPr>
      <w:ind w:firstLine="420" w:firstLineChars="200"/>
    </w:pPr>
    <w:rPr>
      <w:rFonts w:ascii="Times New Roman" w:hAnsi="Times New Roman" w:eastAsia="宋体" w:cs="Times New Roman"/>
      <w:szCs w:val="21"/>
    </w:rPr>
  </w:style>
  <w:style w:type="character" w:customStyle="1" w:styleId="42">
    <w:name w:val="List Paragraph Char"/>
    <w:link w:val="41"/>
    <w:qFormat/>
    <w:locked/>
    <w:uiPriority w:val="99"/>
    <w:rPr>
      <w:rFonts w:ascii="Times New Roman" w:hAnsi="Times New Roman" w:eastAsia="宋体" w:cs="Times New Roman"/>
      <w:szCs w:val="21"/>
    </w:rPr>
  </w:style>
  <w:style w:type="paragraph" w:customStyle="1" w:styleId="43">
    <w:name w:val="_Style 121"/>
    <w:basedOn w:val="1"/>
    <w:next w:val="31"/>
    <w:qFormat/>
    <w:uiPriority w:val="34"/>
    <w:pPr>
      <w:ind w:firstLine="420" w:firstLineChars="200"/>
    </w:pPr>
    <w:rPr>
      <w:rFonts w:ascii="Calibri" w:hAnsi="Calibri" w:eastAsia="宋体" w:cs="Times New Roman"/>
    </w:rPr>
  </w:style>
  <w:style w:type="paragraph" w:customStyle="1" w:styleId="44">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纯文本 Char1"/>
    <w:qFormat/>
    <w:uiPriority w:val="0"/>
    <w:rPr>
      <w:rFonts w:ascii="宋体" w:hAnsi="Courier New" w:eastAsia="宋体" w:cs="Times New Roman"/>
      <w:kern w:val="0"/>
      <w:sz w:val="20"/>
      <w:szCs w:val="21"/>
    </w:rPr>
  </w:style>
  <w:style w:type="character" w:customStyle="1" w:styleId="47">
    <w:name w:val="正文文本缩进 字符"/>
    <w:basedOn w:val="26"/>
    <w:qFormat/>
    <w:uiPriority w:val="0"/>
    <w:rPr>
      <w:kern w:val="2"/>
      <w:sz w:val="21"/>
      <w:szCs w:val="24"/>
    </w:rPr>
  </w:style>
  <w:style w:type="character" w:customStyle="1" w:styleId="48">
    <w:name w:val="正文文本首行缩进 2 字符"/>
    <w:basedOn w:val="47"/>
    <w:link w:val="23"/>
    <w:autoRedefine/>
    <w:qFormat/>
    <w:uiPriority w:val="0"/>
    <w:rPr>
      <w:kern w:val="2"/>
      <w:sz w:val="21"/>
      <w:szCs w:val="24"/>
    </w:rPr>
  </w:style>
  <w:style w:type="paragraph" w:customStyle="1" w:styleId="49">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50">
    <w:name w:val="列出段落 Char"/>
    <w:basedOn w:val="26"/>
    <w:autoRedefine/>
    <w:qFormat/>
    <w:uiPriority w:val="34"/>
    <w:rPr>
      <w:kern w:val="2"/>
      <w:sz w:val="21"/>
      <w:szCs w:val="22"/>
    </w:rPr>
  </w:style>
  <w:style w:type="character" w:customStyle="1" w:styleId="51">
    <w:name w:val="正文文本 字符"/>
    <w:basedOn w:val="26"/>
    <w:autoRedefine/>
    <w:qFormat/>
    <w:uiPriority w:val="0"/>
    <w:rPr>
      <w:rFonts w:hint="default" w:ascii="Calibri" w:hAnsi="Calibri" w:eastAsia="宋体" w:cs="Times New Roman"/>
      <w:kern w:val="2"/>
      <w:sz w:val="21"/>
      <w:szCs w:val="22"/>
    </w:rPr>
  </w:style>
  <w:style w:type="character" w:customStyle="1" w:styleId="52">
    <w:name w:val="纯文本 Char"/>
    <w:basedOn w:val="26"/>
    <w:qFormat/>
    <w:uiPriority w:val="0"/>
    <w:rPr>
      <w:rFonts w:hint="eastAsia" w:ascii="宋体" w:hAnsi="Courier New" w:eastAsia="宋体" w:cs="宋体"/>
      <w:szCs w:val="21"/>
    </w:rPr>
  </w:style>
  <w:style w:type="paragraph" w:customStyle="1" w:styleId="53">
    <w:name w:val="_Style 116"/>
    <w:basedOn w:val="1"/>
    <w:next w:val="31"/>
    <w:qFormat/>
    <w:uiPriority w:val="99"/>
    <w:pPr>
      <w:ind w:firstLine="420" w:firstLineChars="200"/>
    </w:pPr>
    <w:rPr>
      <w:kern w:val="0"/>
      <w:sz w:val="20"/>
      <w:szCs w:val="20"/>
    </w:rPr>
  </w:style>
  <w:style w:type="character" w:customStyle="1" w:styleId="54">
    <w:name w:val="普通(网站) 字符"/>
    <w:basedOn w:val="26"/>
    <w:qFormat/>
    <w:uiPriority w:val="0"/>
    <w:rPr>
      <w:rFonts w:hint="eastAsia" w:ascii="宋体" w:hAnsi="宋体" w:eastAsia="宋体" w:cs="宋体"/>
      <w:sz w:val="24"/>
      <w:szCs w:val="24"/>
    </w:rPr>
  </w:style>
  <w:style w:type="character" w:customStyle="1" w:styleId="55">
    <w:name w:val="批注文字 Char"/>
    <w:basedOn w:val="26"/>
    <w:qFormat/>
    <w:uiPriority w:val="99"/>
    <w:rPr>
      <w:kern w:val="2"/>
      <w:sz w:val="21"/>
      <w:szCs w:val="24"/>
    </w:rPr>
  </w:style>
  <w:style w:type="character" w:customStyle="1" w:styleId="56">
    <w:name w:val="标题 1 字符"/>
    <w:basedOn w:val="26"/>
    <w:link w:val="3"/>
    <w:autoRedefine/>
    <w:qFormat/>
    <w:uiPriority w:val="0"/>
    <w:rPr>
      <w:b/>
      <w:bCs/>
      <w:kern w:val="44"/>
      <w:sz w:val="44"/>
      <w:szCs w:val="44"/>
    </w:rPr>
  </w:style>
  <w:style w:type="character" w:customStyle="1" w:styleId="57">
    <w:name w:val="页脚 字符1"/>
    <w:basedOn w:val="26"/>
    <w:link w:val="13"/>
    <w:autoRedefine/>
    <w:qFormat/>
    <w:uiPriority w:val="0"/>
    <w:rPr>
      <w:kern w:val="2"/>
      <w:sz w:val="18"/>
      <w:szCs w:val="18"/>
    </w:rPr>
  </w:style>
  <w:style w:type="character" w:customStyle="1" w:styleId="58">
    <w:name w:val="页眉 字符1"/>
    <w:basedOn w:val="26"/>
    <w:autoRedefine/>
    <w:qFormat/>
    <w:uiPriority w:val="0"/>
    <w:rPr>
      <w:kern w:val="2"/>
      <w:sz w:val="18"/>
      <w:szCs w:val="18"/>
    </w:rPr>
  </w:style>
  <w:style w:type="character" w:customStyle="1" w:styleId="59">
    <w:name w:val="标题 2 字符1"/>
    <w:basedOn w:val="26"/>
    <w:qFormat/>
    <w:uiPriority w:val="0"/>
    <w:rPr>
      <w:rFonts w:hint="default" w:ascii="Cambria" w:hAnsi="Cambria" w:eastAsia="Cambria" w:cs="Cambria"/>
      <w:b/>
      <w:bCs/>
      <w:kern w:val="2"/>
      <w:sz w:val="32"/>
      <w:szCs w:val="32"/>
    </w:rPr>
  </w:style>
  <w:style w:type="character" w:customStyle="1" w:styleId="60">
    <w:name w:val="列出段落 Char1"/>
    <w:basedOn w:val="26"/>
    <w:qFormat/>
    <w:uiPriority w:val="99"/>
    <w:rPr>
      <w:rFonts w:hint="default" w:ascii="Calibri" w:hAnsi="Calibri" w:cs="Calibri"/>
      <w:kern w:val="2"/>
      <w:sz w:val="21"/>
      <w:szCs w:val="22"/>
    </w:rPr>
  </w:style>
  <w:style w:type="character" w:customStyle="1" w:styleId="61">
    <w:name w:val="纯文本 字符2"/>
    <w:basedOn w:val="26"/>
    <w:link w:val="11"/>
    <w:qFormat/>
    <w:uiPriority w:val="0"/>
    <w:rPr>
      <w:rFonts w:hint="eastAsia" w:ascii="宋体" w:hAnsi="Courier New" w:eastAsia="宋体" w:cs="宋体"/>
      <w:szCs w:val="21"/>
      <w:lang w:val="zh-CN"/>
    </w:rPr>
  </w:style>
  <w:style w:type="character" w:customStyle="1" w:styleId="62">
    <w:name w:val="标题 3 字符"/>
    <w:basedOn w:val="26"/>
    <w:link w:val="4"/>
    <w:qFormat/>
    <w:uiPriority w:val="0"/>
    <w:rPr>
      <w:b/>
      <w:bCs/>
      <w:kern w:val="2"/>
      <w:sz w:val="32"/>
      <w:szCs w:val="32"/>
    </w:rPr>
  </w:style>
  <w:style w:type="paragraph" w:customStyle="1" w:styleId="63">
    <w:name w:val="列表段落2"/>
    <w:basedOn w:val="1"/>
    <w:qFormat/>
    <w:uiPriority w:val="0"/>
    <w:pPr>
      <w:ind w:firstLine="420" w:firstLineChars="200"/>
    </w:pPr>
    <w:rPr>
      <w:rFonts w:ascii="Times New Roman" w:hAnsi="Times New Roman" w:eastAsia="宋体" w:cs="Times New Roman"/>
      <w:szCs w:val="24"/>
    </w:rPr>
  </w:style>
  <w:style w:type="character" w:customStyle="1" w:styleId="64">
    <w:name w:val="正文文本首行缩进 字符"/>
    <w:qFormat/>
    <w:uiPriority w:val="0"/>
    <w:rPr>
      <w:rFonts w:hint="default" w:ascii="Calibri" w:hAnsi="Calibri" w:eastAsia="宋体" w:cs="Times New Roman"/>
      <w:kern w:val="2"/>
      <w:sz w:val="21"/>
      <w:szCs w:val="22"/>
    </w:rPr>
  </w:style>
  <w:style w:type="paragraph" w:customStyle="1" w:styleId="65">
    <w:name w:val="p0"/>
    <w:basedOn w:val="1"/>
    <w:qFormat/>
    <w:uiPriority w:val="0"/>
    <w:pPr>
      <w:widowControl/>
    </w:pPr>
    <w:rPr>
      <w:rFonts w:ascii="Calibri" w:hAnsi="Calibri" w:eastAsia="宋体" w:cs="Times New Roman"/>
      <w:kern w:val="0"/>
      <w:szCs w:val="21"/>
    </w:rPr>
  </w:style>
  <w:style w:type="character" w:customStyle="1" w:styleId="66">
    <w:name w:val="font51"/>
    <w:basedOn w:val="26"/>
    <w:qFormat/>
    <w:uiPriority w:val="0"/>
    <w:rPr>
      <w:rFonts w:hint="eastAsia" w:ascii="宋体" w:hAnsi="宋体" w:eastAsia="宋体" w:cs="宋体"/>
      <w:color w:val="000000"/>
      <w:sz w:val="21"/>
      <w:szCs w:val="21"/>
      <w:u w:val="none"/>
    </w:rPr>
  </w:style>
  <w:style w:type="character" w:customStyle="1" w:styleId="67">
    <w:name w:val="列表段落 字符2"/>
    <w:basedOn w:val="26"/>
    <w:qFormat/>
    <w:uiPriority w:val="0"/>
  </w:style>
  <w:style w:type="character" w:customStyle="1" w:styleId="68">
    <w:name w:val="NormalCharacter"/>
    <w:basedOn w:val="26"/>
    <w:qFormat/>
    <w:uiPriority w:val="0"/>
  </w:style>
  <w:style w:type="character" w:customStyle="1" w:styleId="69">
    <w:name w:val="font31"/>
    <w:basedOn w:val="26"/>
    <w:qFormat/>
    <w:uiPriority w:val="0"/>
    <w:rPr>
      <w:rFonts w:hint="default" w:ascii="Times New Roman" w:hAnsi="Times New Roman" w:cs="Times New Roman"/>
      <w:color w:val="000000"/>
      <w:sz w:val="21"/>
      <w:szCs w:val="21"/>
      <w:u w:val="none"/>
    </w:rPr>
  </w:style>
  <w:style w:type="character" w:customStyle="1" w:styleId="70">
    <w:name w:val="font21"/>
    <w:basedOn w:val="26"/>
    <w:qFormat/>
    <w:uiPriority w:val="0"/>
    <w:rPr>
      <w:rFonts w:hint="eastAsia" w:ascii="宋体" w:hAnsi="宋体" w:eastAsia="宋体" w:cs="宋体"/>
      <w:color w:val="000000"/>
      <w:sz w:val="24"/>
      <w:szCs w:val="24"/>
      <w:u w:val="none"/>
    </w:rPr>
  </w:style>
  <w:style w:type="character" w:customStyle="1" w:styleId="71">
    <w:name w:val="font11"/>
    <w:basedOn w:val="26"/>
    <w:qFormat/>
    <w:uiPriority w:val="0"/>
    <w:rPr>
      <w:rFonts w:hint="eastAsia" w:ascii="宋体" w:hAnsi="宋体" w:eastAsia="宋体" w:cs="宋体"/>
      <w:color w:val="000000"/>
      <w:sz w:val="21"/>
      <w:szCs w:val="21"/>
      <w:u w:val="none"/>
    </w:rPr>
  </w:style>
  <w:style w:type="character" w:customStyle="1" w:styleId="72">
    <w:name w:val="纯文本 字符1"/>
    <w:basedOn w:val="26"/>
    <w:qFormat/>
    <w:uiPriority w:val="0"/>
    <w:rPr>
      <w:rFonts w:hint="eastAsia" w:ascii="宋体" w:hAnsi="Courier New" w:eastAsia="宋体" w:cs="宋体"/>
      <w:szCs w:val="21"/>
    </w:rPr>
  </w:style>
  <w:style w:type="character" w:customStyle="1" w:styleId="73">
    <w:name w:val="标题 字符"/>
    <w:basedOn w:val="26"/>
    <w:link w:val="20"/>
    <w:qFormat/>
    <w:uiPriority w:val="0"/>
    <w:rPr>
      <w:rFonts w:hint="default" w:ascii="Cambria" w:hAnsi="Cambria" w:eastAsia="Cambria" w:cs="Times New Roman"/>
      <w:b/>
      <w:bCs/>
      <w:kern w:val="2"/>
      <w:sz w:val="32"/>
      <w:szCs w:val="32"/>
    </w:rPr>
  </w:style>
  <w:style w:type="character" w:customStyle="1" w:styleId="74">
    <w:name w:val="脚注文本 字符"/>
    <w:basedOn w:val="26"/>
    <w:link w:val="16"/>
    <w:qFormat/>
    <w:uiPriority w:val="0"/>
    <w:rPr>
      <w:rFonts w:hint="eastAsia" w:ascii="宋体" w:hAnsi="宋体" w:eastAsia="宋体" w:cs="Times New Roman"/>
      <w:kern w:val="2"/>
      <w:sz w:val="24"/>
      <w:szCs w:val="18"/>
    </w:rPr>
  </w:style>
  <w:style w:type="character" w:customStyle="1" w:styleId="75">
    <w:name w:val="脚注文本 Char1"/>
    <w:basedOn w:val="26"/>
    <w:qFormat/>
    <w:uiPriority w:val="0"/>
    <w:rPr>
      <w:rFonts w:hint="default" w:ascii="Calibri" w:hAnsi="Calibri" w:eastAsia="宋体" w:cs="Times New Roman"/>
      <w:kern w:val="2"/>
      <w:sz w:val="18"/>
      <w:szCs w:val="18"/>
    </w:rPr>
  </w:style>
  <w:style w:type="character" w:customStyle="1" w:styleId="76">
    <w:name w:val="列表段落 字符1"/>
    <w:basedOn w:val="26"/>
    <w:qFormat/>
    <w:uiPriority w:val="0"/>
  </w:style>
  <w:style w:type="paragraph" w:customStyle="1" w:styleId="77">
    <w:name w:val="Table Paragraph"/>
    <w:basedOn w:val="1"/>
    <w:qFormat/>
    <w:uiPriority w:val="0"/>
    <w:rPr>
      <w:rFonts w:hint="eastAsia" w:ascii="宋体" w:hAnsi="宋体" w:eastAsia="宋体" w:cs="Times New Roman"/>
      <w:szCs w:val="24"/>
    </w:rPr>
  </w:style>
  <w:style w:type="character" w:customStyle="1" w:styleId="78">
    <w:name w:val="font41"/>
    <w:basedOn w:val="26"/>
    <w:qFormat/>
    <w:uiPriority w:val="0"/>
    <w:rPr>
      <w:rFonts w:hint="eastAsia" w:ascii="宋体" w:hAnsi="宋体" w:eastAsia="宋体" w:cs="宋体"/>
      <w:color w:val="FF0000"/>
      <w:sz w:val="24"/>
      <w:szCs w:val="24"/>
      <w:u w:val="none"/>
    </w:rPr>
  </w:style>
  <w:style w:type="character" w:customStyle="1" w:styleId="79">
    <w:name w:val="font91"/>
    <w:basedOn w:val="26"/>
    <w:qFormat/>
    <w:uiPriority w:val="0"/>
    <w:rPr>
      <w:rFonts w:hint="default" w:ascii="Times New Roman" w:hAnsi="Times New Roman" w:cs="Times New Roman"/>
      <w:color w:val="000000"/>
      <w:sz w:val="21"/>
      <w:szCs w:val="21"/>
      <w:u w:val="none"/>
    </w:rPr>
  </w:style>
  <w:style w:type="paragraph" w:customStyle="1" w:styleId="80">
    <w:name w:val="正文_0_0"/>
    <w:basedOn w:val="1"/>
    <w:qFormat/>
    <w:uiPriority w:val="0"/>
    <w:rPr>
      <w:rFonts w:ascii="Calibri" w:hAnsi="Calibri" w:eastAsia="宋体" w:cs="Times New Roman"/>
    </w:rPr>
  </w:style>
  <w:style w:type="character" w:customStyle="1" w:styleId="81">
    <w:name w:val="批注文字 字符1"/>
    <w:basedOn w:val="26"/>
    <w:qFormat/>
    <w:uiPriority w:val="0"/>
    <w:rPr>
      <w:szCs w:val="24"/>
    </w:rPr>
  </w:style>
  <w:style w:type="character" w:customStyle="1" w:styleId="82">
    <w:name w:val="列表段落 字符"/>
    <w:basedOn w:val="26"/>
    <w:qFormat/>
    <w:uiPriority w:val="0"/>
    <w:rPr>
      <w:rFonts w:hint="default" w:ascii="Calibri" w:hAnsi="Calibri" w:cs="Calibri"/>
      <w:kern w:val="2"/>
      <w:sz w:val="21"/>
      <w:szCs w:val="22"/>
    </w:rPr>
  </w:style>
  <w:style w:type="paragraph" w:customStyle="1" w:styleId="83">
    <w:name w:val="_Style 24"/>
    <w:basedOn w:val="1"/>
    <w:qFormat/>
    <w:uiPriority w:val="0"/>
    <w:pPr>
      <w:ind w:firstLine="420" w:firstLineChars="200"/>
    </w:pPr>
    <w:rPr>
      <w:rFonts w:ascii="Calibri" w:hAnsi="Calibri" w:eastAsia="宋体" w:cs="Times New Roman"/>
    </w:rPr>
  </w:style>
  <w:style w:type="character" w:customStyle="1" w:styleId="84">
    <w:name w:val="列表段落 字符3"/>
    <w:basedOn w:val="26"/>
    <w:qFormat/>
    <w:uiPriority w:val="0"/>
    <w:rPr>
      <w:rFonts w:hint="default" w:ascii="Calibri" w:hAnsi="Calibri" w:eastAsia="宋体" w:cs="Times New Roman"/>
      <w:kern w:val="2"/>
      <w:sz w:val="21"/>
      <w:szCs w:val="22"/>
    </w:rPr>
  </w:style>
  <w:style w:type="character" w:customStyle="1" w:styleId="85">
    <w:name w:val="列出段落 Char2"/>
    <w:basedOn w:val="26"/>
    <w:qFormat/>
    <w:uiPriority w:val="0"/>
    <w:rPr>
      <w:rFonts w:hint="default" w:ascii="Calibri" w:hAnsi="Calibri" w:eastAsia="宋体" w:cs="Times New Roman"/>
      <w:kern w:val="2"/>
      <w:sz w:val="21"/>
      <w:szCs w:val="22"/>
    </w:rPr>
  </w:style>
  <w:style w:type="character" w:customStyle="1" w:styleId="86">
    <w:name w:val="标题 2 字符2"/>
    <w:basedOn w:val="26"/>
    <w:link w:val="2"/>
    <w:qFormat/>
    <w:uiPriority w:val="0"/>
    <w:rPr>
      <w:rFonts w:hint="default" w:ascii="Arial" w:hAnsi="Arial" w:eastAsia="黑体" w:cs="Arial"/>
      <w:b/>
      <w:bCs/>
      <w:kern w:val="2"/>
      <w:sz w:val="32"/>
      <w:szCs w:val="32"/>
    </w:rPr>
  </w:style>
  <w:style w:type="character" w:customStyle="1" w:styleId="87">
    <w:name w:val="批注文字 字符2"/>
    <w:basedOn w:val="26"/>
    <w:link w:val="7"/>
    <w:qFormat/>
    <w:uiPriority w:val="99"/>
    <w:rPr>
      <w:kern w:val="2"/>
      <w:sz w:val="21"/>
      <w:szCs w:val="24"/>
    </w:rPr>
  </w:style>
  <w:style w:type="character" w:customStyle="1" w:styleId="88">
    <w:name w:val="普通(网站) 字符1"/>
    <w:basedOn w:val="26"/>
    <w:link w:val="19"/>
    <w:qFormat/>
    <w:uiPriority w:val="0"/>
    <w:rPr>
      <w:rFonts w:hint="eastAsia" w:ascii="宋体" w:hAnsi="宋体" w:eastAsia="宋体" w:cs="宋体"/>
      <w:sz w:val="24"/>
      <w:szCs w:val="24"/>
    </w:rPr>
  </w:style>
  <w:style w:type="character" w:customStyle="1" w:styleId="89">
    <w:name w:val="正文文本缩进 字符1"/>
    <w:basedOn w:val="26"/>
    <w:link w:val="9"/>
    <w:autoRedefine/>
    <w:qFormat/>
    <w:uiPriority w:val="0"/>
    <w:rPr>
      <w:kern w:val="2"/>
      <w:sz w:val="21"/>
      <w:szCs w:val="22"/>
    </w:rPr>
  </w:style>
  <w:style w:type="paragraph" w:customStyle="1" w:styleId="90">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1">
    <w:name w:val="_Style 5"/>
    <w:basedOn w:val="1"/>
    <w:next w:val="1"/>
    <w:qFormat/>
    <w:uiPriority w:val="0"/>
    <w:pPr>
      <w:ind w:firstLine="420" w:firstLineChars="200"/>
    </w:pPr>
    <w:rPr>
      <w:rFonts w:ascii="Times New Roman" w:hAnsi="Times New Roman" w:eastAsia="宋体" w:cs="Times New Roman"/>
    </w:rPr>
  </w:style>
  <w:style w:type="character" w:customStyle="1" w:styleId="92">
    <w:name w:val="正文文本 字符1"/>
    <w:basedOn w:val="26"/>
    <w:link w:val="8"/>
    <w:qFormat/>
    <w:uiPriority w:val="0"/>
    <w:rPr>
      <w:rFonts w:hint="default" w:ascii="Calibri" w:hAnsi="Calibri" w:eastAsia="宋体" w:cs="Times New Roman"/>
      <w:kern w:val="2"/>
      <w:sz w:val="21"/>
      <w:szCs w:val="22"/>
    </w:rPr>
  </w:style>
  <w:style w:type="paragraph" w:customStyle="1" w:styleId="93">
    <w:name w:val="列表段落1"/>
    <w:basedOn w:val="1"/>
    <w:qFormat/>
    <w:uiPriority w:val="0"/>
    <w:pPr>
      <w:ind w:firstLine="420" w:firstLineChars="200"/>
    </w:pPr>
    <w:rPr>
      <w:rFonts w:hint="eastAsia" w:ascii="等线" w:hAnsi="等线" w:eastAsia="等线" w:cs="Times New Roman"/>
    </w:rPr>
  </w:style>
  <w:style w:type="character" w:customStyle="1" w:styleId="94">
    <w:name w:val="正文文本缩进 3 字符"/>
    <w:basedOn w:val="26"/>
    <w:link w:val="17"/>
    <w:autoRedefine/>
    <w:qFormat/>
    <w:uiPriority w:val="0"/>
    <w:rPr>
      <w:rFonts w:hint="eastAsia" w:ascii="等线" w:hAnsi="等线" w:eastAsia="等线" w:cs="等线"/>
      <w:kern w:val="2"/>
      <w:sz w:val="16"/>
      <w:szCs w:val="16"/>
    </w:rPr>
  </w:style>
  <w:style w:type="character" w:customStyle="1" w:styleId="95">
    <w:name w:val="正文文本首行缩进 字符1"/>
    <w:link w:val="22"/>
    <w:qFormat/>
    <w:uiPriority w:val="0"/>
    <w:rPr>
      <w:rFonts w:hint="default" w:ascii="Calibri" w:hAnsi="Calibri" w:eastAsia="楷体_GB2312" w:cs="Calibri"/>
      <w:kern w:val="2"/>
      <w:sz w:val="32"/>
      <w:szCs w:val="22"/>
    </w:rPr>
  </w:style>
  <w:style w:type="character" w:customStyle="1" w:styleId="96">
    <w:name w:val="表格文字 Char"/>
    <w:basedOn w:val="26"/>
    <w:link w:val="97"/>
    <w:autoRedefine/>
    <w:qFormat/>
    <w:uiPriority w:val="0"/>
    <w:rPr>
      <w:bCs/>
      <w:spacing w:val="10"/>
      <w:sz w:val="24"/>
    </w:rPr>
  </w:style>
  <w:style w:type="paragraph" w:customStyle="1" w:styleId="97">
    <w:name w:val="表格文字"/>
    <w:basedOn w:val="1"/>
    <w:link w:val="9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8">
    <w:name w:val="_Style 3"/>
    <w:basedOn w:val="1"/>
    <w:autoRedefine/>
    <w:qFormat/>
    <w:uiPriority w:val="0"/>
    <w:rPr>
      <w:rFonts w:ascii="Times New Roman" w:hAnsi="Times New Roman" w:eastAsia="宋体" w:cs="Times New Roman"/>
    </w:rPr>
  </w:style>
  <w:style w:type="paragraph" w:customStyle="1" w:styleId="99">
    <w:name w:val="列表段落3"/>
    <w:basedOn w:val="1"/>
    <w:qFormat/>
    <w:uiPriority w:val="0"/>
    <w:pPr>
      <w:ind w:firstLine="420" w:firstLineChars="200"/>
    </w:pPr>
    <w:rPr>
      <w:rFonts w:ascii="Calibri" w:hAnsi="Calibri" w:eastAsia="宋体" w:cs="Times New Roman"/>
    </w:rPr>
  </w:style>
  <w:style w:type="character" w:customStyle="1" w:styleId="100">
    <w:name w:val="15"/>
    <w:basedOn w:val="26"/>
    <w:autoRedefine/>
    <w:qFormat/>
    <w:uiPriority w:val="0"/>
    <w:rPr>
      <w:rFonts w:hint="default" w:ascii="Times New Roman" w:hAnsi="Times New Roman" w:cs="Times New Roman"/>
      <w:b/>
      <w:bCs/>
    </w:rPr>
  </w:style>
  <w:style w:type="character" w:customStyle="1" w:styleId="101">
    <w:name w:val="正文首行缩进 2 Char1"/>
    <w:basedOn w:val="26"/>
    <w:qFormat/>
    <w:uiPriority w:val="0"/>
  </w:style>
  <w:style w:type="character" w:customStyle="1" w:styleId="102">
    <w:name w:val="页眉 字符2"/>
    <w:basedOn w:val="26"/>
    <w:link w:val="14"/>
    <w:autoRedefine/>
    <w:qFormat/>
    <w:uiPriority w:val="0"/>
    <w:rPr>
      <w:sz w:val="18"/>
      <w:szCs w:val="18"/>
    </w:rPr>
  </w:style>
  <w:style w:type="character" w:customStyle="1" w:styleId="103">
    <w:name w:val="页眉 Char1"/>
    <w:autoRedefine/>
    <w:qFormat/>
    <w:uiPriority w:val="99"/>
    <w:rPr>
      <w:sz w:val="18"/>
      <w:szCs w:val="18"/>
      <w:lang w:val="zh-CN" w:eastAsia="zh-CN"/>
    </w:rPr>
  </w:style>
  <w:style w:type="character" w:customStyle="1" w:styleId="104">
    <w:name w:val="标题 2 Char"/>
    <w:basedOn w:val="26"/>
    <w:autoRedefine/>
    <w:qFormat/>
    <w:uiPriority w:val="0"/>
    <w:rPr>
      <w:rFonts w:ascii="Arial" w:hAnsi="Arial" w:eastAsia="黑体" w:cs="Times New Roman"/>
      <w:b/>
      <w:bCs/>
      <w:sz w:val="32"/>
      <w:szCs w:val="32"/>
    </w:rPr>
  </w:style>
  <w:style w:type="paragraph" w:customStyle="1" w:styleId="105">
    <w:name w:val="正文1"/>
    <w:basedOn w:val="1"/>
    <w:autoRedefine/>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6">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7">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8">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9">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0">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1">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2">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6"/>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5">
    <w:name w:val="修订8"/>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7">
    <w:name w:val="修订10"/>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修订1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修订1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2">
    <w:name w:val="修订15"/>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3">
    <w:name w:val="修订16"/>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4">
    <w:name w:val="修订17"/>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13</Pages>
  <Words>3398</Words>
  <Characters>3449</Characters>
  <Lines>187</Lines>
  <Paragraphs>202</Paragraphs>
  <TotalTime>10</TotalTime>
  <ScaleCrop>false</ScaleCrop>
  <LinksUpToDate>false</LinksUpToDate>
  <CharactersWithSpaces>3452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2024-06-15T08:49:00Z</dcterms:created>
  <dc:creator>dreamsummit</dc:creator>
  <cp:lastModifiedBy>云采链</cp:lastModifiedBy>
  <cp:lastPrinted>2018-10-16T12:01:00Z</cp:lastPrinted>
  <dcterms:modified xsi:type="dcterms:W3CDTF">2025-06-20T03:07:33Z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48A2B37D831E4108A5A7CB8E54139D21_13</vt:lpwstr>
  </property>
  <property fmtid="{D5CDD505-2E9C-101B-9397-08002B2CF9AE}" pid="4" name="KSOTemplateDocerSaveRecord">
    <vt:lpwstr>eyJoZGlkIjoiOTUyZTMzMGFmZDU3N2E2OTgxMzI3ZWIyZWQ1MDI2NWYiLCJ1c2VySWQiOiI0MDkwNDAzNDUifQ==</vt:lpwstr>
  </property>
</Properties>
</file>