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A3C6A">
      <w:pPr>
        <w:snapToGrid w:val="0"/>
        <w:spacing w:before="156" w:beforeLines="50"/>
        <w:jc w:val="center"/>
        <w:rPr>
          <w:rFonts w:ascii="宋体" w:hAnsi="宋体"/>
          <w:b/>
          <w:color w:val="000000"/>
          <w:sz w:val="84"/>
          <w:szCs w:val="84"/>
        </w:rPr>
      </w:pPr>
      <w:bookmarkStart w:id="6" w:name="_GoBack"/>
      <w:bookmarkEnd w:id="6"/>
    </w:p>
    <w:p w14:paraId="40CC6D13">
      <w:pPr>
        <w:snapToGrid w:val="0"/>
        <w:spacing w:before="156" w:beforeLines="50"/>
        <w:jc w:val="center"/>
        <w:rPr>
          <w:rFonts w:ascii="宋体" w:hAnsi="宋体"/>
          <w:b/>
          <w:color w:val="000000"/>
          <w:sz w:val="84"/>
          <w:szCs w:val="84"/>
        </w:rPr>
      </w:pPr>
    </w:p>
    <w:p w14:paraId="7D813F13">
      <w:pPr>
        <w:snapToGrid w:val="0"/>
        <w:spacing w:before="156" w:beforeLines="50"/>
        <w:jc w:val="center"/>
        <w:rPr>
          <w:rFonts w:ascii="宋体" w:hAnsi="宋体"/>
          <w:b/>
          <w:bCs/>
          <w:color w:val="000000"/>
          <w:sz w:val="84"/>
          <w:szCs w:val="84"/>
        </w:rPr>
      </w:pPr>
      <w:r>
        <w:rPr>
          <w:rFonts w:hint="eastAsia" w:ascii="宋体" w:hAnsi="宋体"/>
          <w:b/>
          <w:color w:val="000000"/>
          <w:sz w:val="84"/>
          <w:szCs w:val="84"/>
        </w:rPr>
        <w:t>竞价文件</w:t>
      </w:r>
    </w:p>
    <w:p w14:paraId="625DBF8D">
      <w:pPr>
        <w:spacing w:line="360" w:lineRule="auto"/>
        <w:jc w:val="center"/>
        <w:rPr>
          <w:rFonts w:ascii="宋体" w:hAnsi="宋体"/>
          <w:b/>
          <w:bCs/>
          <w:color w:val="000000"/>
          <w:sz w:val="24"/>
          <w:szCs w:val="24"/>
        </w:rPr>
      </w:pPr>
    </w:p>
    <w:p w14:paraId="418A639B">
      <w:pPr>
        <w:spacing w:line="360" w:lineRule="auto"/>
        <w:rPr>
          <w:rFonts w:ascii="宋体" w:hAnsi="宋体"/>
          <w:color w:val="000000"/>
          <w:sz w:val="30"/>
          <w:szCs w:val="30"/>
        </w:rPr>
      </w:pPr>
    </w:p>
    <w:p w14:paraId="751C13E9">
      <w:pPr>
        <w:spacing w:line="360" w:lineRule="auto"/>
        <w:rPr>
          <w:rFonts w:ascii="宋体" w:hAnsi="宋体"/>
          <w:color w:val="000000"/>
          <w:sz w:val="30"/>
          <w:szCs w:val="30"/>
        </w:rPr>
      </w:pPr>
    </w:p>
    <w:p w14:paraId="5134D358">
      <w:pPr>
        <w:spacing w:line="360" w:lineRule="auto"/>
        <w:rPr>
          <w:rFonts w:ascii="宋体" w:hAnsi="宋体"/>
          <w:color w:val="000000"/>
          <w:sz w:val="30"/>
          <w:szCs w:val="30"/>
        </w:rPr>
      </w:pPr>
    </w:p>
    <w:p w14:paraId="729CC0FD">
      <w:pPr>
        <w:spacing w:line="360" w:lineRule="auto"/>
        <w:rPr>
          <w:rFonts w:ascii="宋体" w:hAnsi="宋体"/>
          <w:color w:val="000000"/>
          <w:sz w:val="30"/>
          <w:szCs w:val="30"/>
        </w:rPr>
      </w:pPr>
    </w:p>
    <w:p w14:paraId="02A4AAF1">
      <w:pPr>
        <w:spacing w:line="360" w:lineRule="auto"/>
        <w:jc w:val="left"/>
        <w:rPr>
          <w:rFonts w:ascii="宋体" w:hAnsi="宋体"/>
          <w:b/>
          <w:bCs/>
          <w:color w:val="000000"/>
          <w:sz w:val="28"/>
          <w:szCs w:val="32"/>
        </w:rPr>
      </w:pPr>
      <w:r>
        <w:rPr>
          <w:rFonts w:hint="eastAsia" w:ascii="宋体" w:hAnsi="宋体"/>
          <w:b/>
          <w:bCs/>
          <w:color w:val="000000"/>
          <w:sz w:val="28"/>
          <w:szCs w:val="32"/>
        </w:rPr>
        <w:t>采购方式：线上竞价</w:t>
      </w:r>
    </w:p>
    <w:p w14:paraId="023E8AF0">
      <w:pPr>
        <w:spacing w:line="360" w:lineRule="auto"/>
        <w:ind w:left="1405" w:hanging="1405" w:hangingChars="500"/>
        <w:jc w:val="left"/>
        <w:rPr>
          <w:rFonts w:ascii="宋体" w:hAnsi="宋体"/>
          <w:b/>
          <w:bCs/>
          <w:color w:val="000000"/>
          <w:sz w:val="28"/>
          <w:szCs w:val="32"/>
          <w:u w:val="single"/>
        </w:rPr>
      </w:pPr>
      <w:r>
        <w:rPr>
          <w:rFonts w:hint="eastAsia" w:ascii="宋体" w:hAnsi="宋体"/>
          <w:b/>
          <w:bCs/>
          <w:color w:val="000000"/>
          <w:sz w:val="28"/>
          <w:szCs w:val="32"/>
        </w:rPr>
        <w:t>项目名称：</w:t>
      </w:r>
      <w:r>
        <w:rPr>
          <w:rFonts w:hint="eastAsia" w:ascii="宋体" w:hAnsi="宋体"/>
          <w:b/>
          <w:bCs/>
          <w:sz w:val="28"/>
          <w:szCs w:val="32"/>
          <w:u w:val="single"/>
        </w:rPr>
        <w:t>广东省肇庆监狱防汛物资采购</w:t>
      </w:r>
    </w:p>
    <w:p w14:paraId="3464D32F">
      <w:pPr>
        <w:snapToGrid w:val="0"/>
        <w:spacing w:before="156" w:beforeLines="50" w:after="156" w:afterLines="50" w:line="360" w:lineRule="auto"/>
        <w:jc w:val="center"/>
        <w:rPr>
          <w:rFonts w:ascii="宋体" w:hAnsi="宋体"/>
          <w:color w:val="000000"/>
          <w:sz w:val="30"/>
          <w:szCs w:val="30"/>
        </w:rPr>
      </w:pPr>
    </w:p>
    <w:p w14:paraId="1B06932E">
      <w:pPr>
        <w:autoSpaceDE w:val="0"/>
        <w:autoSpaceDN w:val="0"/>
        <w:adjustRightInd w:val="0"/>
        <w:snapToGrid w:val="0"/>
        <w:spacing w:before="156" w:beforeLines="50" w:after="156" w:afterLines="50" w:line="360" w:lineRule="auto"/>
        <w:jc w:val="center"/>
        <w:rPr>
          <w:rFonts w:ascii="宋体" w:hAnsi="宋体"/>
          <w:color w:val="000000"/>
          <w:kern w:val="0"/>
          <w:sz w:val="30"/>
          <w:szCs w:val="30"/>
        </w:rPr>
      </w:pPr>
    </w:p>
    <w:p w14:paraId="66490721">
      <w:pPr>
        <w:autoSpaceDE w:val="0"/>
        <w:autoSpaceDN w:val="0"/>
        <w:adjustRightInd w:val="0"/>
        <w:snapToGrid w:val="0"/>
        <w:spacing w:before="156" w:beforeLines="50" w:after="156" w:afterLines="50" w:line="360" w:lineRule="auto"/>
        <w:jc w:val="left"/>
        <w:rPr>
          <w:rFonts w:ascii="宋体" w:hAnsi="宋体"/>
          <w:color w:val="000000"/>
          <w:kern w:val="0"/>
          <w:sz w:val="30"/>
          <w:szCs w:val="30"/>
        </w:rPr>
      </w:pPr>
    </w:p>
    <w:p w14:paraId="1AA35867">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广东省肇庆监狱</w:t>
      </w:r>
    </w:p>
    <w:p w14:paraId="078331FA">
      <w:pPr>
        <w:autoSpaceDE w:val="0"/>
        <w:autoSpaceDN w:val="0"/>
        <w:adjustRightInd w:val="0"/>
        <w:snapToGrid w:val="0"/>
        <w:spacing w:line="360" w:lineRule="auto"/>
        <w:ind w:left="420" w:firstLine="420"/>
        <w:jc w:val="center"/>
        <w:rPr>
          <w:rFonts w:ascii="宋体" w:hAnsi="宋体"/>
          <w:b/>
          <w:color w:val="000000"/>
          <w:sz w:val="28"/>
        </w:rPr>
      </w:pPr>
      <w:r>
        <w:rPr>
          <w:rFonts w:hint="eastAsia" w:ascii="宋体" w:hAnsi="宋体"/>
          <w:b/>
          <w:color w:val="000000"/>
          <w:sz w:val="28"/>
        </w:rPr>
        <w:t>采联国际招标采购集团有限公司</w:t>
      </w:r>
    </w:p>
    <w:p w14:paraId="4F20ED08">
      <w:pPr>
        <w:autoSpaceDE w:val="0"/>
        <w:autoSpaceDN w:val="0"/>
        <w:adjustRightInd w:val="0"/>
        <w:snapToGrid w:val="0"/>
        <w:spacing w:line="360" w:lineRule="auto"/>
        <w:ind w:left="420" w:firstLine="420"/>
        <w:jc w:val="center"/>
        <w:rPr>
          <w:rFonts w:ascii="宋体" w:hAnsi="宋体"/>
          <w:b/>
          <w:color w:val="000000"/>
          <w:sz w:val="28"/>
        </w:rPr>
      </w:pPr>
      <w:r>
        <w:rPr>
          <w:rFonts w:hint="eastAsia" w:ascii="宋体" w:hAnsi="宋体"/>
          <w:b/>
          <w:color w:val="000000"/>
          <w:sz w:val="28"/>
        </w:rPr>
        <w:t>二〇二五年五</w:t>
      </w:r>
      <w:r>
        <w:rPr>
          <w:rFonts w:hint="eastAsia" w:ascii="宋体" w:hAnsi="宋体"/>
          <w:b/>
          <w:sz w:val="28"/>
        </w:rPr>
        <w:t>月</w:t>
      </w:r>
    </w:p>
    <w:p w14:paraId="3D322200">
      <w:pPr>
        <w:widowControl/>
        <w:jc w:val="left"/>
        <w:rPr>
          <w:rFonts w:ascii="宋体" w:hAnsi="宋体"/>
          <w:color w:val="000000"/>
          <w:sz w:val="28"/>
        </w:rPr>
      </w:pPr>
      <w:r>
        <w:rPr>
          <w:rFonts w:hint="eastAsia" w:ascii="宋体" w:hAnsi="宋体"/>
          <w:color w:val="000000"/>
          <w:sz w:val="28"/>
        </w:rPr>
        <w:br w:type="page"/>
      </w:r>
    </w:p>
    <w:p w14:paraId="474F2886">
      <w:pPr>
        <w:pStyle w:val="21"/>
        <w:spacing w:before="0" w:after="0"/>
        <w:rPr>
          <w:rFonts w:ascii="宋体" w:hAnsi="宋体"/>
          <w:color w:val="000000"/>
        </w:rPr>
      </w:pPr>
      <w:r>
        <w:rPr>
          <w:rFonts w:hint="eastAsia" w:ascii="宋体" w:hAnsi="宋体"/>
          <w:color w:val="000000"/>
        </w:rPr>
        <w:t>第一章 竞价须知</w:t>
      </w:r>
    </w:p>
    <w:p w14:paraId="42D2844E">
      <w:pPr>
        <w:pStyle w:val="33"/>
        <w:numPr>
          <w:ilvl w:val="0"/>
          <w:numId w:val="3"/>
        </w:numPr>
        <w:spacing w:line="360" w:lineRule="auto"/>
        <w:ind w:firstLineChars="0"/>
        <w:rPr>
          <w:rFonts w:ascii="宋体" w:hAnsi="宋体"/>
          <w:color w:val="000000"/>
        </w:rPr>
      </w:pPr>
      <w:r>
        <w:rPr>
          <w:rFonts w:hint="eastAsia" w:ascii="宋体" w:hAnsi="宋体"/>
          <w:color w:val="000000"/>
          <w:szCs w:val="21"/>
        </w:rPr>
        <w:t>本项目通过云采链线上采购一体化平台（www.choicelink.cn）进行竞价，参与竞价的供应商必须登录平台进行注册，注册成功后方可参与项目竞价。</w:t>
      </w:r>
    </w:p>
    <w:p w14:paraId="212A8632">
      <w:pPr>
        <w:pStyle w:val="33"/>
        <w:numPr>
          <w:ilvl w:val="0"/>
          <w:numId w:val="3"/>
        </w:numPr>
        <w:spacing w:line="360" w:lineRule="auto"/>
        <w:ind w:firstLineChars="0"/>
        <w:rPr>
          <w:rFonts w:ascii="宋体" w:hAnsi="宋体"/>
          <w:color w:val="000000"/>
        </w:rPr>
      </w:pPr>
      <w:r>
        <w:rPr>
          <w:rFonts w:hint="eastAsia" w:ascii="宋体" w:hAnsi="宋体"/>
          <w:color w:val="000000"/>
        </w:rPr>
        <w:t>语言要求</w:t>
      </w:r>
    </w:p>
    <w:p w14:paraId="776AE82E">
      <w:pPr>
        <w:spacing w:line="360" w:lineRule="auto"/>
        <w:ind w:left="420" w:leftChars="200"/>
        <w:rPr>
          <w:rFonts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B5A1981">
      <w:pPr>
        <w:pStyle w:val="33"/>
        <w:numPr>
          <w:ilvl w:val="0"/>
          <w:numId w:val="3"/>
        </w:numPr>
        <w:spacing w:line="360" w:lineRule="auto"/>
        <w:ind w:firstLineChars="0"/>
        <w:rPr>
          <w:rFonts w:ascii="宋体" w:hAnsi="宋体"/>
          <w:b/>
          <w:bCs/>
          <w:color w:val="000000"/>
        </w:rPr>
      </w:pPr>
      <w:r>
        <w:rPr>
          <w:rFonts w:hint="eastAsia" w:ascii="宋体" w:hAnsi="宋体"/>
          <w:b/>
          <w:bCs/>
          <w:color w:val="000000"/>
          <w:szCs w:val="21"/>
        </w:rPr>
        <w:t>在云采链平台参与项目竞价后放弃成交资格超过三次（含三次）的供应商连同该供应商同一法人名下所有公司将被列入平台黑名单，永久不得参与平台的项目竞价。</w:t>
      </w:r>
    </w:p>
    <w:p w14:paraId="2A91602D">
      <w:pPr>
        <w:pStyle w:val="33"/>
        <w:numPr>
          <w:ilvl w:val="0"/>
          <w:numId w:val="3"/>
        </w:numPr>
        <w:spacing w:line="360" w:lineRule="auto"/>
        <w:ind w:firstLineChars="0"/>
        <w:rPr>
          <w:rFonts w:ascii="宋体" w:hAnsi="宋体"/>
          <w:color w:val="000000"/>
        </w:rPr>
      </w:pPr>
      <w:r>
        <w:rPr>
          <w:rFonts w:hint="eastAsia" w:ascii="宋体" w:hAnsi="宋体"/>
          <w:color w:val="000000"/>
        </w:rPr>
        <w:t>竞价须知</w:t>
      </w:r>
    </w:p>
    <w:p w14:paraId="262370EC">
      <w:pPr>
        <w:pStyle w:val="33"/>
        <w:numPr>
          <w:ilvl w:val="0"/>
          <w:numId w:val="4"/>
        </w:numPr>
        <w:spacing w:line="360" w:lineRule="auto"/>
        <w:ind w:left="420" w:hanging="420" w:firstLineChars="0"/>
        <w:rPr>
          <w:rFonts w:ascii="宋体" w:hAnsi="宋体"/>
          <w:b/>
          <w:color w:val="000000"/>
        </w:rPr>
      </w:pPr>
      <w:r>
        <w:rPr>
          <w:rStyle w:val="28"/>
          <w:rFonts w:hint="eastAsia" w:ascii="宋体" w:hAnsi="宋体"/>
          <w:bCs w:val="0"/>
          <w:color w:val="000000"/>
        </w:rPr>
        <w:t>竞价说明</w:t>
      </w:r>
    </w:p>
    <w:p w14:paraId="38AFC7A8">
      <w:pPr>
        <w:pStyle w:val="33"/>
        <w:numPr>
          <w:ilvl w:val="0"/>
          <w:numId w:val="5"/>
        </w:numPr>
        <w:tabs>
          <w:tab w:val="left" w:pos="851"/>
        </w:tabs>
        <w:spacing w:line="360" w:lineRule="auto"/>
        <w:ind w:left="760" w:hanging="340" w:firstLineChars="0"/>
        <w:rPr>
          <w:rFonts w:ascii="宋体" w:hAnsi="宋体"/>
          <w:color w:val="000000"/>
        </w:rPr>
      </w:pPr>
      <w:r>
        <w:rPr>
          <w:rFonts w:hint="eastAsia" w:ascii="宋体" w:hAnsi="宋体"/>
          <w:color w:val="000000"/>
          <w:szCs w:val="21"/>
        </w:rPr>
        <w:t>参与竞价的供应商应承担所有与准备和参加竞价有关的费用，不论竞价的结果如何，采购人和代理机构均无义务和责任承担这些费用。</w:t>
      </w:r>
    </w:p>
    <w:p w14:paraId="4A8B3B2B">
      <w:pPr>
        <w:pStyle w:val="33"/>
        <w:numPr>
          <w:ilvl w:val="0"/>
          <w:numId w:val="5"/>
        </w:numPr>
        <w:spacing w:line="360" w:lineRule="auto"/>
        <w:ind w:left="760" w:hanging="340" w:firstLineChars="0"/>
        <w:rPr>
          <w:rFonts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5A69B0DE">
      <w:pPr>
        <w:pStyle w:val="33"/>
        <w:numPr>
          <w:ilvl w:val="0"/>
          <w:numId w:val="5"/>
        </w:numPr>
        <w:spacing w:line="360" w:lineRule="auto"/>
        <w:ind w:left="760" w:hanging="340"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w:t>
      </w:r>
      <w:r>
        <w:rPr>
          <w:rFonts w:hint="eastAsia" w:ascii="宋体" w:hAnsi="宋体"/>
          <w:color w:val="000000"/>
        </w:rPr>
        <w:t>采购</w:t>
      </w:r>
      <w:r>
        <w:rPr>
          <w:rFonts w:hint="eastAsia" w:ascii="宋体" w:hAnsi="宋体"/>
          <w:color w:val="000000"/>
          <w:szCs w:val="21"/>
          <w:lang w:val="zh-CN"/>
        </w:rPr>
        <w:t>需求书的所有条款进行整体响应，</w:t>
      </w:r>
      <w:r>
        <w:rPr>
          <w:rFonts w:hint="eastAsia" w:ascii="宋体" w:hAnsi="宋体"/>
          <w:color w:val="000000"/>
        </w:rPr>
        <w:t>采购</w:t>
      </w:r>
      <w:r>
        <w:rPr>
          <w:rFonts w:hint="eastAsia" w:ascii="宋体" w:hAnsi="宋体"/>
          <w:color w:val="000000"/>
          <w:szCs w:val="21"/>
          <w:lang w:val="zh-CN"/>
        </w:rPr>
        <w:t>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14:paraId="23B32318">
      <w:pPr>
        <w:pStyle w:val="33"/>
        <w:numPr>
          <w:ilvl w:val="0"/>
          <w:numId w:val="5"/>
        </w:numPr>
        <w:spacing w:line="360" w:lineRule="auto"/>
        <w:ind w:left="760" w:hanging="340" w:firstLineChars="0"/>
        <w:rPr>
          <w:rFonts w:ascii="宋体" w:hAnsi="宋体"/>
          <w:color w:val="000000"/>
        </w:rPr>
      </w:pPr>
      <w:r>
        <w:rPr>
          <w:rFonts w:hint="eastAsia" w:ascii="宋体" w:hAnsi="宋体"/>
          <w:color w:val="000000"/>
          <w:szCs w:val="21"/>
        </w:rPr>
        <w:t>若成交供应商自身原因无法完成本项目，则采购人有权利保留追究责任。</w:t>
      </w:r>
    </w:p>
    <w:p w14:paraId="2A561F85">
      <w:pPr>
        <w:pStyle w:val="33"/>
        <w:numPr>
          <w:ilvl w:val="0"/>
          <w:numId w:val="5"/>
        </w:numPr>
        <w:spacing w:line="360" w:lineRule="auto"/>
        <w:ind w:left="760" w:hanging="340" w:firstLineChars="0"/>
        <w:rPr>
          <w:rFonts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14:paraId="4503F5F3">
      <w:pPr>
        <w:pStyle w:val="33"/>
        <w:numPr>
          <w:ilvl w:val="0"/>
          <w:numId w:val="5"/>
        </w:numPr>
        <w:spacing w:line="360" w:lineRule="auto"/>
        <w:ind w:left="760" w:hanging="340" w:firstLineChars="0"/>
        <w:rPr>
          <w:rFonts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14:paraId="43FF53CD">
      <w:pPr>
        <w:pStyle w:val="33"/>
        <w:numPr>
          <w:ilvl w:val="0"/>
          <w:numId w:val="5"/>
        </w:numPr>
        <w:spacing w:line="360" w:lineRule="auto"/>
        <w:ind w:left="760" w:hanging="340" w:firstLineChars="0"/>
        <w:rPr>
          <w:rFonts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14:paraId="353EC839">
      <w:pPr>
        <w:pStyle w:val="33"/>
        <w:numPr>
          <w:ilvl w:val="0"/>
          <w:numId w:val="5"/>
        </w:numPr>
        <w:spacing w:line="360" w:lineRule="auto"/>
        <w:ind w:left="760" w:hanging="340"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4940A00">
      <w:pPr>
        <w:pStyle w:val="33"/>
        <w:numPr>
          <w:ilvl w:val="0"/>
          <w:numId w:val="5"/>
        </w:numPr>
        <w:spacing w:line="360" w:lineRule="auto"/>
        <w:ind w:left="840" w:hanging="420" w:firstLineChars="0"/>
        <w:rPr>
          <w:rFonts w:ascii="宋体" w:hAnsi="宋体"/>
          <w:color w:val="000000"/>
        </w:rPr>
      </w:pPr>
      <w:r>
        <w:rPr>
          <w:rFonts w:hint="eastAsia" w:ascii="宋体" w:hAnsi="宋体"/>
          <w:color w:val="000000"/>
          <w:szCs w:val="21"/>
        </w:rPr>
        <w:t>参与竞价的供应商向我司咨询的有关项目事项，一切以竞价文件规定和竞价公告规定以及本公司的书面答复为准，其他一切形式均为个人意见，不代表本公司的意见。</w:t>
      </w:r>
    </w:p>
    <w:p w14:paraId="7E506CED">
      <w:pPr>
        <w:pStyle w:val="33"/>
        <w:numPr>
          <w:ilvl w:val="0"/>
          <w:numId w:val="5"/>
        </w:numPr>
        <w:spacing w:line="360" w:lineRule="auto"/>
        <w:ind w:left="840" w:hanging="420" w:firstLineChars="0"/>
        <w:rPr>
          <w:rFonts w:ascii="宋体" w:hAnsi="宋体"/>
          <w:color w:val="000000"/>
        </w:rPr>
      </w:pPr>
      <w:r>
        <w:rPr>
          <w:rFonts w:hint="eastAsia" w:ascii="宋体" w:hAnsi="宋体"/>
          <w:color w:val="000000"/>
          <w:szCs w:val="21"/>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6E6FB283">
      <w:pPr>
        <w:pStyle w:val="33"/>
        <w:numPr>
          <w:ilvl w:val="0"/>
          <w:numId w:val="5"/>
        </w:numPr>
        <w:spacing w:line="360" w:lineRule="auto"/>
        <w:ind w:left="840" w:hanging="420" w:firstLineChars="0"/>
        <w:rPr>
          <w:rFonts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14:paraId="4E203384">
      <w:pPr>
        <w:pStyle w:val="33"/>
        <w:numPr>
          <w:ilvl w:val="0"/>
          <w:numId w:val="5"/>
        </w:numPr>
        <w:spacing w:line="360" w:lineRule="auto"/>
        <w:ind w:left="840" w:hanging="420"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供应商认为竞价结果损害其权益的，应按照云采链平台相关指引在规定的时间内向采购人或代理机构提交书面质疑，不提交的视为无异议，逾期提交将不予受理。</w:t>
      </w:r>
    </w:p>
    <w:p w14:paraId="44652665">
      <w:pPr>
        <w:pStyle w:val="33"/>
        <w:numPr>
          <w:ilvl w:val="0"/>
          <w:numId w:val="5"/>
        </w:numPr>
        <w:spacing w:line="360" w:lineRule="auto"/>
        <w:ind w:left="840" w:hanging="420" w:firstLineChars="0"/>
        <w:rPr>
          <w:rFonts w:ascii="宋体" w:hAnsi="宋体"/>
          <w:color w:val="000000"/>
        </w:rPr>
      </w:pPr>
      <w:r>
        <w:rPr>
          <w:rFonts w:hint="eastAsia" w:ascii="宋体" w:hAnsi="宋体"/>
          <w:color w:val="000000"/>
          <w:szCs w:val="21"/>
        </w:rPr>
        <w:t>本竞价公告和竞价文件的解释权归“云采链</w:t>
      </w:r>
      <w:r>
        <w:rPr>
          <w:rFonts w:hint="eastAsia" w:ascii="宋体" w:hAnsi="宋体"/>
          <w:color w:val="000000"/>
        </w:rPr>
        <w:t>线上采购一体化平台</w:t>
      </w:r>
      <w:r>
        <w:rPr>
          <w:rFonts w:hint="eastAsia" w:ascii="宋体" w:hAnsi="宋体"/>
          <w:color w:val="000000"/>
          <w:szCs w:val="21"/>
        </w:rPr>
        <w:t>”所有。</w:t>
      </w:r>
    </w:p>
    <w:p w14:paraId="777EC98E">
      <w:pPr>
        <w:pStyle w:val="33"/>
        <w:numPr>
          <w:ilvl w:val="0"/>
          <w:numId w:val="4"/>
        </w:numPr>
        <w:spacing w:line="360" w:lineRule="auto"/>
        <w:ind w:left="420" w:hanging="420" w:firstLineChars="0"/>
        <w:rPr>
          <w:rFonts w:ascii="宋体" w:hAnsi="宋体"/>
          <w:color w:val="000000"/>
        </w:rPr>
      </w:pPr>
      <w:r>
        <w:rPr>
          <w:rFonts w:hint="eastAsia" w:ascii="宋体" w:hAnsi="宋体"/>
          <w:b/>
          <w:color w:val="000000"/>
        </w:rPr>
        <w:t>竞价文件的澄清或修改</w:t>
      </w:r>
    </w:p>
    <w:p w14:paraId="560736C2">
      <w:pPr>
        <w:pStyle w:val="33"/>
        <w:numPr>
          <w:ilvl w:val="0"/>
          <w:numId w:val="6"/>
        </w:numPr>
        <w:spacing w:line="360" w:lineRule="auto"/>
        <w:ind w:left="704" w:hanging="284"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14:paraId="6DCC9926">
      <w:pPr>
        <w:pStyle w:val="33"/>
        <w:numPr>
          <w:ilvl w:val="0"/>
          <w:numId w:val="6"/>
        </w:numPr>
        <w:spacing w:line="360" w:lineRule="auto"/>
        <w:ind w:left="704" w:hanging="284"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如报名截止时间少于一个工作日的，</w:t>
      </w:r>
      <w:r>
        <w:rPr>
          <w:rFonts w:hint="eastAsia" w:ascii="宋体" w:hAnsi="宋体"/>
          <w:color w:val="000000"/>
        </w:rPr>
        <w:t>采购人或者采购代理机构应当相应顺延报名的截止时间。</w:t>
      </w:r>
    </w:p>
    <w:p w14:paraId="5D1C3D7D">
      <w:pPr>
        <w:pStyle w:val="33"/>
        <w:numPr>
          <w:ilvl w:val="0"/>
          <w:numId w:val="6"/>
        </w:numPr>
        <w:spacing w:line="360" w:lineRule="auto"/>
        <w:ind w:left="704" w:hanging="284"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14:paraId="1F6FD9D3">
      <w:pPr>
        <w:pStyle w:val="33"/>
        <w:numPr>
          <w:ilvl w:val="0"/>
          <w:numId w:val="4"/>
        </w:numPr>
        <w:spacing w:line="360" w:lineRule="auto"/>
        <w:ind w:left="420" w:hanging="420" w:firstLineChars="0"/>
        <w:rPr>
          <w:rStyle w:val="28"/>
          <w:rFonts w:ascii="宋体" w:hAnsi="宋体"/>
          <w:bCs w:val="0"/>
        </w:rPr>
      </w:pPr>
      <w:r>
        <w:rPr>
          <w:rStyle w:val="28"/>
          <w:rFonts w:hint="eastAsia" w:ascii="宋体" w:hAnsi="宋体"/>
          <w:bCs w:val="0"/>
        </w:rPr>
        <w:t>报名要求</w:t>
      </w:r>
      <w:r>
        <w:rPr>
          <w:rStyle w:val="28"/>
          <w:rFonts w:hint="eastAsia" w:ascii="宋体" w:hAnsi="宋体"/>
          <w:b w:val="0"/>
        </w:rPr>
        <w:t>（参与竞价的供应商资质要求: 报名时需要提供以下</w:t>
      </w:r>
      <w:r>
        <w:rPr>
          <w:rStyle w:val="28"/>
          <w:rFonts w:hint="eastAsia" w:ascii="宋体" w:hAnsi="宋体"/>
          <w:bCs w:val="0"/>
          <w:u w:val="single"/>
        </w:rPr>
        <w:t>盖章</w:t>
      </w:r>
      <w:r>
        <w:rPr>
          <w:rStyle w:val="28"/>
          <w:rFonts w:hint="eastAsia" w:ascii="宋体" w:hAnsi="宋体"/>
          <w:b w:val="0"/>
        </w:rPr>
        <w:t>资料，并对上传的报名文件资料承担责任）</w:t>
      </w:r>
    </w:p>
    <w:p w14:paraId="21043F55">
      <w:pPr>
        <w:pStyle w:val="33"/>
        <w:widowControl/>
        <w:numPr>
          <w:ilvl w:val="0"/>
          <w:numId w:val="7"/>
        </w:numPr>
        <w:spacing w:line="360" w:lineRule="auto"/>
        <w:ind w:left="760" w:hanging="312" w:firstLineChars="0"/>
        <w:jc w:val="left"/>
        <w:rPr>
          <w:rFonts w:ascii="宋体" w:hAnsi="宋体"/>
          <w:color w:val="000000"/>
          <w:kern w:val="0"/>
          <w:szCs w:val="20"/>
        </w:rPr>
      </w:pPr>
      <w:r>
        <w:rPr>
          <w:rFonts w:hint="eastAsia" w:ascii="宋体" w:hAnsi="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AFE64E3">
      <w:pPr>
        <w:pStyle w:val="33"/>
        <w:widowControl/>
        <w:numPr>
          <w:ilvl w:val="0"/>
          <w:numId w:val="7"/>
        </w:numPr>
        <w:spacing w:line="360" w:lineRule="auto"/>
        <w:ind w:left="840" w:hanging="312" w:firstLineChars="0"/>
        <w:jc w:val="left"/>
        <w:rPr>
          <w:rFonts w:ascii="宋体" w:hAnsi="宋体"/>
          <w:color w:val="000000"/>
          <w:kern w:val="0"/>
          <w:szCs w:val="20"/>
        </w:rPr>
      </w:pPr>
      <w:r>
        <w:rPr>
          <w:rFonts w:hint="eastAsia" w:ascii="宋体" w:hAnsi="宋体"/>
          <w:color w:val="000000"/>
          <w:kern w:val="0"/>
          <w:szCs w:val="20"/>
        </w:rPr>
        <w:t>供应商须是：具有良好的商业信誉和健全的财务会计制度；有依法缴纳税收和社会保障资金的良好记录；具有履行合同所必需的设备和专业技术能力；参加采购活动前3年内在经营活动中没有重大违法记录的书面声明；具备法律、行政法规规定的其他条件；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4C713D78">
      <w:pPr>
        <w:pStyle w:val="33"/>
        <w:widowControl/>
        <w:numPr>
          <w:ilvl w:val="0"/>
          <w:numId w:val="7"/>
        </w:numPr>
        <w:spacing w:line="360" w:lineRule="auto"/>
        <w:ind w:left="840" w:hanging="312" w:firstLineChars="0"/>
        <w:jc w:val="left"/>
        <w:rPr>
          <w:rFonts w:ascii="宋体" w:hAnsi="宋体"/>
          <w:color w:val="000000"/>
          <w:kern w:val="0"/>
          <w:szCs w:val="20"/>
        </w:rPr>
      </w:pPr>
      <w:r>
        <w:rPr>
          <w:rFonts w:hint="eastAsia" w:ascii="宋体" w:hAnsi="宋体"/>
          <w:color w:val="000000"/>
          <w:kern w:val="0"/>
          <w:szCs w:val="21"/>
        </w:rPr>
        <w:t>供应商完全响应本项目</w:t>
      </w:r>
      <w:r>
        <w:rPr>
          <w:rFonts w:hint="eastAsia" w:ascii="宋体" w:hAnsi="宋体"/>
          <w:color w:val="000000"/>
        </w:rPr>
        <w:t>采购</w:t>
      </w:r>
      <w:r>
        <w:rPr>
          <w:rFonts w:hint="eastAsia" w:ascii="宋体" w:hAnsi="宋体"/>
          <w:color w:val="000000"/>
          <w:kern w:val="0"/>
          <w:szCs w:val="21"/>
        </w:rPr>
        <w:t>需求的条款、内容及要求的，提供</w:t>
      </w:r>
      <w:r>
        <w:rPr>
          <w:rFonts w:hint="eastAsia" w:ascii="宋体" w:hAnsi="宋体"/>
          <w:color w:val="000000"/>
        </w:rPr>
        <w:t>采购</w:t>
      </w:r>
      <w:r>
        <w:rPr>
          <w:rFonts w:hint="eastAsia" w:ascii="宋体" w:hAnsi="宋体"/>
          <w:color w:val="000000"/>
          <w:kern w:val="0"/>
          <w:szCs w:val="21"/>
        </w:rPr>
        <w:t>需求书响应声明函，格式详见附件；</w:t>
      </w:r>
    </w:p>
    <w:p w14:paraId="2F4FF8BD">
      <w:pPr>
        <w:pStyle w:val="33"/>
        <w:numPr>
          <w:ilvl w:val="0"/>
          <w:numId w:val="4"/>
        </w:numPr>
        <w:spacing w:line="360" w:lineRule="auto"/>
        <w:ind w:left="420" w:hanging="420" w:firstLineChars="0"/>
        <w:rPr>
          <w:rStyle w:val="28"/>
          <w:rFonts w:ascii="宋体" w:hAnsi="宋体"/>
          <w:bCs w:val="0"/>
          <w:color w:val="000000"/>
        </w:rPr>
      </w:pPr>
      <w:r>
        <w:rPr>
          <w:rStyle w:val="28"/>
          <w:rFonts w:hint="eastAsia" w:ascii="宋体" w:hAnsi="宋体"/>
          <w:bCs w:val="0"/>
          <w:color w:val="000000"/>
        </w:rPr>
        <w:t>报价要求</w:t>
      </w:r>
      <w:r>
        <w:rPr>
          <w:rStyle w:val="28"/>
          <w:rFonts w:hint="eastAsia" w:ascii="宋体" w:hAnsi="宋体"/>
          <w:color w:val="000000"/>
          <w:szCs w:val="21"/>
        </w:rPr>
        <w:t>（</w:t>
      </w:r>
      <w:r>
        <w:rPr>
          <w:rStyle w:val="28"/>
          <w:rFonts w:hint="eastAsia" w:ascii="宋体" w:hAnsi="宋体"/>
          <w:b w:val="0"/>
          <w:color w:val="000000"/>
          <w:szCs w:val="21"/>
        </w:rPr>
        <w:t>报价时需要提供以下</w:t>
      </w:r>
      <w:r>
        <w:rPr>
          <w:rStyle w:val="28"/>
          <w:rFonts w:hint="eastAsia" w:ascii="宋体" w:hAnsi="宋体"/>
          <w:color w:val="000000"/>
          <w:szCs w:val="21"/>
          <w:u w:val="double"/>
        </w:rPr>
        <w:t>盖章</w:t>
      </w:r>
      <w:r>
        <w:rPr>
          <w:rStyle w:val="28"/>
          <w:rFonts w:hint="eastAsia" w:ascii="宋体" w:hAnsi="宋体"/>
          <w:b w:val="0"/>
          <w:color w:val="000000"/>
          <w:szCs w:val="21"/>
        </w:rPr>
        <w:t>资料，</w:t>
      </w:r>
      <w:r>
        <w:rPr>
          <w:rFonts w:hint="eastAsia" w:ascii="宋体" w:hAnsi="宋体"/>
          <w:color w:val="000000"/>
          <w:szCs w:val="21"/>
        </w:rPr>
        <w:t>并对上传的竞价文件资料承担责任</w:t>
      </w:r>
      <w:r>
        <w:rPr>
          <w:rStyle w:val="28"/>
          <w:rFonts w:hint="eastAsia" w:ascii="宋体" w:hAnsi="宋体"/>
          <w:color w:val="000000"/>
          <w:szCs w:val="21"/>
        </w:rPr>
        <w:t>）</w:t>
      </w:r>
    </w:p>
    <w:p w14:paraId="2A0643D4">
      <w:pPr>
        <w:pStyle w:val="33"/>
        <w:numPr>
          <w:ilvl w:val="0"/>
          <w:numId w:val="8"/>
        </w:numPr>
        <w:spacing w:line="360" w:lineRule="auto"/>
        <w:ind w:left="732" w:hanging="312" w:firstLineChars="0"/>
        <w:rPr>
          <w:rFonts w:ascii="宋体" w:hAnsi="宋体"/>
          <w:szCs w:val="21"/>
        </w:rPr>
      </w:pPr>
      <w:r>
        <w:rPr>
          <w:rFonts w:hint="eastAsia" w:ascii="宋体" w:hAnsi="宋体"/>
          <w:color w:val="000000"/>
          <w:szCs w:val="21"/>
        </w:rPr>
        <w:t>通过报名供应商应根据本公告要求，在规定的竞价时间内对采购项目进行报价，同时按本公告要求完整、真实、准确地填写并上传相应报价附件</w:t>
      </w:r>
      <w:r>
        <w:rPr>
          <w:rFonts w:hint="eastAsia" w:ascii="宋体" w:hAnsi="宋体"/>
          <w:b/>
          <w:bCs/>
          <w:color w:val="000000"/>
          <w:szCs w:val="21"/>
        </w:rPr>
        <w:t>（</w:t>
      </w:r>
      <w:r>
        <w:rPr>
          <w:rFonts w:hint="eastAsia" w:ascii="宋体" w:hAnsi="宋体"/>
          <w:b/>
          <w:szCs w:val="21"/>
        </w:rPr>
        <w:t>上传</w:t>
      </w:r>
      <w:r>
        <w:rPr>
          <w:rFonts w:hint="eastAsia" w:ascii="宋体" w:hAnsi="宋体"/>
          <w:b/>
          <w:bCs/>
          <w:szCs w:val="21"/>
          <w:shd w:val="clear" w:color="auto" w:fill="FFFFFF"/>
        </w:rPr>
        <w:t>报价表）。</w:t>
      </w:r>
    </w:p>
    <w:p w14:paraId="4D64D556">
      <w:pPr>
        <w:pStyle w:val="33"/>
        <w:numPr>
          <w:ilvl w:val="0"/>
          <w:numId w:val="8"/>
        </w:numPr>
        <w:spacing w:line="360" w:lineRule="auto"/>
        <w:ind w:left="732" w:hanging="312" w:firstLineChars="0"/>
        <w:rPr>
          <w:rFonts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0591C5C">
      <w:pPr>
        <w:pStyle w:val="33"/>
        <w:numPr>
          <w:ilvl w:val="0"/>
          <w:numId w:val="4"/>
        </w:numPr>
        <w:spacing w:line="360" w:lineRule="auto"/>
        <w:ind w:left="420" w:hanging="420" w:firstLineChars="0"/>
        <w:rPr>
          <w:rStyle w:val="28"/>
          <w:rFonts w:ascii="宋体" w:hAnsi="宋体"/>
          <w:bCs w:val="0"/>
          <w:color w:val="000000"/>
        </w:rPr>
      </w:pPr>
      <w:r>
        <w:rPr>
          <w:rStyle w:val="28"/>
          <w:rFonts w:hint="eastAsia" w:ascii="宋体" w:hAnsi="宋体"/>
          <w:bCs w:val="0"/>
          <w:color w:val="000000"/>
        </w:rPr>
        <w:t>确定成交候选人</w:t>
      </w:r>
    </w:p>
    <w:p w14:paraId="65A1C046">
      <w:pPr>
        <w:pStyle w:val="33"/>
        <w:numPr>
          <w:ilvl w:val="0"/>
          <w:numId w:val="9"/>
        </w:numPr>
        <w:spacing w:line="360" w:lineRule="auto"/>
        <w:ind w:left="732" w:hanging="312" w:firstLineChars="0"/>
        <w:rPr>
          <w:rFonts w:ascii="宋体" w:hAnsi="宋体"/>
          <w:bCs/>
          <w:color w:val="000000"/>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bCs/>
          <w:color w:val="000000"/>
        </w:rPr>
        <w:t>。</w:t>
      </w:r>
    </w:p>
    <w:p w14:paraId="095A28E1">
      <w:pPr>
        <w:pStyle w:val="33"/>
        <w:numPr>
          <w:ilvl w:val="0"/>
          <w:numId w:val="4"/>
        </w:numPr>
        <w:spacing w:line="360" w:lineRule="auto"/>
        <w:ind w:left="420" w:hanging="420" w:firstLineChars="0"/>
        <w:rPr>
          <w:rFonts w:ascii="宋体" w:hAnsi="宋体"/>
          <w:b/>
          <w:color w:val="000000"/>
          <w:szCs w:val="21"/>
        </w:rPr>
      </w:pPr>
      <w:r>
        <w:rPr>
          <w:rFonts w:hint="eastAsia" w:ascii="宋体" w:hAnsi="宋体"/>
          <w:b/>
          <w:color w:val="000000"/>
          <w:szCs w:val="21"/>
        </w:rPr>
        <w:t>无效报价</w:t>
      </w:r>
    </w:p>
    <w:p w14:paraId="62DF0558">
      <w:pPr>
        <w:pStyle w:val="33"/>
        <w:numPr>
          <w:ilvl w:val="0"/>
          <w:numId w:val="10"/>
        </w:numPr>
        <w:spacing w:line="360" w:lineRule="auto"/>
        <w:ind w:left="732" w:hanging="312" w:firstLineChars="0"/>
        <w:rPr>
          <w:rFonts w:ascii="宋体" w:hAnsi="宋体"/>
          <w:color w:val="000000"/>
          <w:szCs w:val="21"/>
        </w:rPr>
      </w:pPr>
      <w:r>
        <w:rPr>
          <w:rFonts w:hint="eastAsia" w:ascii="宋体" w:hAnsi="宋体"/>
          <w:color w:val="000000"/>
          <w:szCs w:val="21"/>
        </w:rPr>
        <w:t>下浮率报价没有大于或等于100%，也没有为负数，且是固定唯一值的，否则为无效报价。</w:t>
      </w:r>
    </w:p>
    <w:p w14:paraId="20DCF75C">
      <w:pPr>
        <w:pStyle w:val="33"/>
        <w:numPr>
          <w:ilvl w:val="0"/>
          <w:numId w:val="10"/>
        </w:numPr>
        <w:spacing w:line="360" w:lineRule="auto"/>
        <w:ind w:left="732" w:hanging="312"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14:paraId="580A3799">
      <w:pPr>
        <w:pStyle w:val="33"/>
        <w:numPr>
          <w:ilvl w:val="0"/>
          <w:numId w:val="10"/>
        </w:numPr>
        <w:spacing w:line="360" w:lineRule="auto"/>
        <w:ind w:left="732" w:hanging="312"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14:paraId="1B03C4BF">
      <w:pPr>
        <w:pStyle w:val="33"/>
        <w:numPr>
          <w:ilvl w:val="0"/>
          <w:numId w:val="10"/>
        </w:numPr>
        <w:spacing w:line="360" w:lineRule="auto"/>
        <w:ind w:left="732" w:hanging="312" w:firstLineChars="0"/>
        <w:rPr>
          <w:rFonts w:ascii="宋体" w:hAnsi="宋体"/>
          <w:color w:val="000000"/>
          <w:szCs w:val="21"/>
        </w:rPr>
      </w:pPr>
      <w:r>
        <w:rPr>
          <w:rFonts w:hint="eastAsia" w:ascii="宋体" w:hAnsi="宋体"/>
          <w:color w:val="000000"/>
          <w:u w:val="double"/>
        </w:rPr>
        <w:t>报价表以及有报价供应商落款的报价文件必须加盖报价供应商公章，否则视为无效报价。</w:t>
      </w:r>
    </w:p>
    <w:p w14:paraId="7A9F96E5">
      <w:pPr>
        <w:pStyle w:val="20"/>
        <w:numPr>
          <w:ilvl w:val="0"/>
          <w:numId w:val="10"/>
        </w:numPr>
        <w:shd w:val="clear" w:color="auto" w:fill="FFFFFF"/>
        <w:spacing w:before="0" w:beforeAutospacing="0" w:after="0" w:afterAutospacing="0" w:line="360" w:lineRule="auto"/>
        <w:ind w:left="732" w:hanging="312"/>
        <w:rPr>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76CC248">
      <w:pPr>
        <w:pStyle w:val="20"/>
        <w:numPr>
          <w:ilvl w:val="0"/>
          <w:numId w:val="10"/>
        </w:numPr>
        <w:shd w:val="clear" w:color="auto" w:fill="FFFFFF"/>
        <w:spacing w:before="0" w:beforeAutospacing="0" w:after="0" w:afterAutospacing="0" w:line="360" w:lineRule="auto"/>
        <w:ind w:left="840" w:hanging="420"/>
        <w:rPr>
          <w:b/>
          <w:bCs/>
          <w:color w:val="000000"/>
          <w:sz w:val="21"/>
          <w:szCs w:val="21"/>
          <w:u w:val="double"/>
        </w:rPr>
      </w:pPr>
      <w:r>
        <w:rPr>
          <w:rFonts w:hint="eastAsia"/>
          <w:b/>
          <w:bCs/>
          <w:color w:val="000000"/>
          <w:sz w:val="21"/>
          <w:szCs w:val="21"/>
          <w:u w:val="double"/>
        </w:rPr>
        <w:t>按有关法律、法规、规章属于报价无效的。</w:t>
      </w:r>
    </w:p>
    <w:p w14:paraId="02661E00">
      <w:pPr>
        <w:pStyle w:val="20"/>
        <w:numPr>
          <w:ilvl w:val="0"/>
          <w:numId w:val="10"/>
        </w:numPr>
        <w:shd w:val="clear" w:color="auto" w:fill="FFFFFF"/>
        <w:spacing w:before="0" w:beforeAutospacing="0" w:after="0" w:afterAutospacing="0" w:line="360" w:lineRule="auto"/>
        <w:ind w:left="840" w:hanging="420"/>
        <w:rPr>
          <w:color w:val="000000"/>
          <w:sz w:val="21"/>
          <w:szCs w:val="21"/>
        </w:rPr>
      </w:pPr>
      <w:r>
        <w:rPr>
          <w:rFonts w:hint="eastAsia"/>
          <w:b/>
          <w:color w:val="000000"/>
          <w:sz w:val="21"/>
          <w:szCs w:val="21"/>
        </w:rPr>
        <w:t>有下列情形之一的，视为串通竞价，其报价无效：</w:t>
      </w:r>
    </w:p>
    <w:p w14:paraId="22999150">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14:paraId="78685D17">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14:paraId="56C82095">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14:paraId="5696DD41">
      <w:pPr>
        <w:pStyle w:val="33"/>
        <w:widowControl/>
        <w:numPr>
          <w:ilvl w:val="0"/>
          <w:numId w:val="11"/>
        </w:numPr>
        <w:spacing w:line="360" w:lineRule="auto"/>
        <w:ind w:left="1418" w:hanging="567" w:firstLineChars="0"/>
        <w:jc w:val="left"/>
        <w:rPr>
          <w:rFonts w:ascii="宋体" w:hAnsi="宋体"/>
          <w:b/>
          <w:bCs/>
          <w:color w:val="000000"/>
          <w:szCs w:val="21"/>
          <w:u w:val="double"/>
        </w:rPr>
      </w:pPr>
      <w:r>
        <w:rPr>
          <w:rFonts w:hint="eastAsia" w:ascii="宋体" w:hAnsi="宋体"/>
          <w:b/>
          <w:bCs/>
          <w:color w:val="000000"/>
          <w:szCs w:val="21"/>
          <w:u w:val="double"/>
        </w:rPr>
        <w:t>不同供应商使用同一IP地址参与竞价；</w:t>
      </w:r>
    </w:p>
    <w:p w14:paraId="74B2DA61">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14:paraId="0C70BE4B">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不同供应商的响应文件异常一致(格式相同，字体一样，表格颜色相同等)或者报价呈规律性差异；</w:t>
      </w:r>
    </w:p>
    <w:p w14:paraId="5C40EAE2">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不同供应商的响应文件相互混淆；</w:t>
      </w:r>
    </w:p>
    <w:p w14:paraId="417FBD50">
      <w:pPr>
        <w:pStyle w:val="33"/>
        <w:widowControl/>
        <w:numPr>
          <w:ilvl w:val="0"/>
          <w:numId w:val="11"/>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不同供应商的平台保障金从同一单位或者个人的账户转出（如有）。</w:t>
      </w:r>
    </w:p>
    <w:p w14:paraId="5C8E7E67">
      <w:pPr>
        <w:pStyle w:val="33"/>
        <w:numPr>
          <w:ilvl w:val="0"/>
          <w:numId w:val="4"/>
        </w:numPr>
        <w:spacing w:line="360" w:lineRule="auto"/>
        <w:ind w:left="420" w:hanging="420" w:firstLineChars="0"/>
        <w:rPr>
          <w:rFonts w:ascii="宋体" w:hAnsi="宋体"/>
          <w:color w:val="000000"/>
          <w:szCs w:val="21"/>
        </w:rPr>
      </w:pPr>
      <w:r>
        <w:rPr>
          <w:rFonts w:hint="eastAsia" w:ascii="宋体" w:hAnsi="宋体"/>
          <w:b/>
          <w:color w:val="000000"/>
          <w:szCs w:val="21"/>
        </w:rPr>
        <w:t>竞价活动失败</w:t>
      </w:r>
    </w:p>
    <w:p w14:paraId="6194152D">
      <w:pPr>
        <w:pStyle w:val="33"/>
        <w:numPr>
          <w:ilvl w:val="0"/>
          <w:numId w:val="12"/>
        </w:numPr>
        <w:spacing w:line="360" w:lineRule="auto"/>
        <w:ind w:left="840" w:leftChars="200" w:hanging="420" w:firstLineChars="0"/>
        <w:rPr>
          <w:rFonts w:ascii="宋体" w:hAnsi="宋体"/>
          <w:color w:val="000000"/>
        </w:rPr>
      </w:pPr>
      <w:r>
        <w:rPr>
          <w:rFonts w:hint="eastAsia" w:ascii="宋体" w:hAnsi="宋体"/>
          <w:color w:val="000000"/>
          <w:szCs w:val="21"/>
        </w:rPr>
        <w:t>出现下列情况的，本项目竞价活动失败：</w:t>
      </w:r>
    </w:p>
    <w:p w14:paraId="08FD3E6F">
      <w:pPr>
        <w:pStyle w:val="33"/>
        <w:numPr>
          <w:ilvl w:val="0"/>
          <w:numId w:val="13"/>
        </w:numPr>
        <w:spacing w:line="360" w:lineRule="auto"/>
        <w:ind w:left="1260" w:leftChars="600" w:firstLineChars="0"/>
        <w:rPr>
          <w:rFonts w:ascii="宋体" w:hAnsi="宋体"/>
          <w:color w:val="000000"/>
        </w:rPr>
      </w:pPr>
      <w:r>
        <w:rPr>
          <w:rFonts w:hint="eastAsia" w:ascii="宋体" w:hAnsi="宋体"/>
          <w:color w:val="000000"/>
        </w:rPr>
        <w:t>有效报名供应商不足3家；</w:t>
      </w:r>
    </w:p>
    <w:p w14:paraId="7650EF0E">
      <w:pPr>
        <w:pStyle w:val="33"/>
        <w:numPr>
          <w:ilvl w:val="0"/>
          <w:numId w:val="13"/>
        </w:numPr>
        <w:spacing w:line="360" w:lineRule="auto"/>
        <w:ind w:left="1260" w:leftChars="600" w:firstLineChars="0"/>
        <w:rPr>
          <w:rFonts w:ascii="宋体" w:hAnsi="宋体"/>
          <w:color w:val="000000"/>
          <w:szCs w:val="21"/>
        </w:rPr>
      </w:pPr>
      <w:r>
        <w:rPr>
          <w:rFonts w:hint="eastAsia" w:ascii="宋体" w:hAnsi="宋体"/>
          <w:color w:val="000000"/>
        </w:rPr>
        <w:t>有效报价供应商不足3家。</w:t>
      </w:r>
    </w:p>
    <w:p w14:paraId="19EFD7E9">
      <w:pPr>
        <w:pStyle w:val="33"/>
        <w:spacing w:line="360" w:lineRule="auto"/>
        <w:ind w:left="840" w:leftChars="200" w:hanging="420" w:firstLineChars="0"/>
        <w:rPr>
          <w:rFonts w:ascii="宋体" w:hAnsi="宋体"/>
          <w:szCs w:val="21"/>
        </w:rPr>
      </w:pPr>
      <w:r>
        <w:rPr>
          <w:rFonts w:hint="eastAsia" w:ascii="宋体" w:hAnsi="宋体"/>
          <w:szCs w:val="21"/>
        </w:rPr>
        <w:t>2.出现影响采购公正的违法、违规行为的。</w:t>
      </w:r>
    </w:p>
    <w:p w14:paraId="213AC7CF">
      <w:pPr>
        <w:pStyle w:val="33"/>
        <w:spacing w:line="360" w:lineRule="auto"/>
        <w:ind w:left="840" w:leftChars="200" w:hanging="420" w:firstLineChars="0"/>
        <w:rPr>
          <w:rFonts w:ascii="宋体" w:hAnsi="宋体"/>
          <w:szCs w:val="21"/>
        </w:rPr>
      </w:pPr>
      <w:r>
        <w:rPr>
          <w:rFonts w:hint="eastAsia" w:ascii="宋体" w:hAnsi="宋体"/>
          <w:szCs w:val="21"/>
        </w:rPr>
        <w:t>3.因重大变故，采购任务取消的。</w:t>
      </w:r>
    </w:p>
    <w:p w14:paraId="67101295">
      <w:pPr>
        <w:pStyle w:val="33"/>
        <w:numPr>
          <w:ilvl w:val="0"/>
          <w:numId w:val="4"/>
        </w:numPr>
        <w:spacing w:line="360" w:lineRule="auto"/>
        <w:ind w:left="420" w:hanging="420" w:firstLineChars="0"/>
        <w:rPr>
          <w:rFonts w:ascii="宋体" w:hAnsi="宋体"/>
          <w:b/>
          <w:szCs w:val="21"/>
        </w:rPr>
      </w:pPr>
      <w:r>
        <w:rPr>
          <w:rFonts w:hint="eastAsia" w:ascii="宋体" w:hAnsi="宋体"/>
          <w:b/>
          <w:szCs w:val="21"/>
        </w:rPr>
        <w:t>使用费</w:t>
      </w:r>
    </w:p>
    <w:p w14:paraId="6EA5DBC8">
      <w:pPr>
        <w:pStyle w:val="33"/>
        <w:spacing w:line="360" w:lineRule="auto"/>
        <w:ind w:left="647" w:leftChars="200" w:hanging="227" w:firstLineChars="0"/>
        <w:rPr>
          <w:rFonts w:ascii="宋体" w:hAnsi="宋体"/>
          <w:szCs w:val="21"/>
        </w:rPr>
      </w:pPr>
      <w:r>
        <w:rPr>
          <w:rFonts w:hint="eastAsia" w:ascii="宋体" w:hAnsi="宋体"/>
          <w:szCs w:val="21"/>
        </w:rPr>
        <w:t>1.成交供应商须向平台服务商云采链线上采购一体化平台缴纳平台使用费，金额为成交金额的1.2%（四舍五入取整数）。</w:t>
      </w:r>
    </w:p>
    <w:p w14:paraId="6BED78F2">
      <w:pPr>
        <w:pStyle w:val="33"/>
        <w:spacing w:line="360" w:lineRule="auto"/>
        <w:ind w:left="647" w:leftChars="200" w:hanging="227" w:firstLineChars="0"/>
        <w:rPr>
          <w:rFonts w:ascii="宋体" w:hAnsi="宋体"/>
          <w:szCs w:val="21"/>
        </w:rPr>
      </w:pPr>
      <w:r>
        <w:rPr>
          <w:rFonts w:hint="eastAsia" w:ascii="宋体" w:hAnsi="宋体"/>
          <w:szCs w:val="21"/>
        </w:rPr>
        <w:t>2.成交供应商无正当理由放弃成交资格的必须按竞价公告等相关规定缴纳相应的平台使用费。</w:t>
      </w:r>
    </w:p>
    <w:p w14:paraId="1045CE55">
      <w:pPr>
        <w:pStyle w:val="33"/>
        <w:spacing w:line="360" w:lineRule="auto"/>
        <w:ind w:left="647" w:leftChars="200" w:hanging="227" w:firstLineChars="0"/>
        <w:rPr>
          <w:rFonts w:ascii="宋体" w:hAnsi="宋体"/>
          <w:szCs w:val="21"/>
        </w:rPr>
      </w:pPr>
      <w:r>
        <w:rPr>
          <w:rFonts w:hint="eastAsia" w:ascii="宋体" w:hAnsi="宋体"/>
          <w:szCs w:val="21"/>
        </w:rPr>
        <w:t>3.如确实因不可抗力放弃成交资格的，应在不可抗力发生后三个工作日内予以通知采购代理机构并提供相关的证明；如逾期，采购代理机构不予退还平台使用费。</w:t>
      </w:r>
    </w:p>
    <w:p w14:paraId="61095471">
      <w:pPr>
        <w:pStyle w:val="33"/>
        <w:numPr>
          <w:ilvl w:val="0"/>
          <w:numId w:val="3"/>
        </w:numPr>
        <w:spacing w:line="360" w:lineRule="auto"/>
        <w:ind w:firstLineChars="0"/>
        <w:rPr>
          <w:rFonts w:ascii="宋体" w:hAnsi="宋体"/>
          <w:b/>
          <w:color w:val="000000"/>
        </w:rPr>
      </w:pPr>
      <w:r>
        <w:rPr>
          <w:rFonts w:hint="eastAsia" w:ascii="宋体" w:hAnsi="宋体"/>
          <w:b/>
          <w:color w:val="000000"/>
        </w:rPr>
        <w:t>联系方式</w:t>
      </w:r>
    </w:p>
    <w:p w14:paraId="3DF94A6B">
      <w:pPr>
        <w:pStyle w:val="33"/>
        <w:spacing w:line="360" w:lineRule="auto"/>
        <w:ind w:left="420" w:firstLine="0" w:firstLineChars="0"/>
        <w:rPr>
          <w:rFonts w:ascii="宋体" w:hAnsi="宋体"/>
          <w:b/>
          <w:color w:val="000000"/>
        </w:rPr>
      </w:pPr>
      <w:r>
        <w:rPr>
          <w:rFonts w:hint="eastAsia" w:ascii="宋体" w:hAnsi="宋体"/>
        </w:rPr>
        <w:t>1、采购人联系人及联系方式：</w:t>
      </w:r>
      <w:r>
        <w:rPr>
          <w:rFonts w:hint="eastAsia" w:ascii="宋体" w:hAnsi="宋体"/>
        </w:rPr>
        <w:br w:type="textWrapping"/>
      </w:r>
      <w:r>
        <w:rPr>
          <w:rFonts w:hint="eastAsia" w:ascii="宋体" w:hAnsi="宋体"/>
        </w:rPr>
        <w:t>广东省肇庆监狱业务咨询部门电话 0758-3173863。</w:t>
      </w:r>
      <w:r>
        <w:rPr>
          <w:rFonts w:hint="eastAsia" w:ascii="宋体" w:hAnsi="宋体"/>
        </w:rPr>
        <w:br w:type="textWrapping"/>
      </w:r>
      <w:r>
        <w:rPr>
          <w:rFonts w:hint="eastAsia" w:ascii="宋体" w:hAnsi="宋体"/>
        </w:rPr>
        <w:t>2、纪检监督部门：</w:t>
      </w:r>
      <w:r>
        <w:rPr>
          <w:rFonts w:hint="eastAsia" w:ascii="宋体" w:hAnsi="宋体"/>
        </w:rPr>
        <w:br w:type="textWrapping"/>
      </w:r>
      <w:r>
        <w:rPr>
          <w:rFonts w:hint="eastAsia" w:ascii="宋体" w:hAnsi="宋体"/>
        </w:rPr>
        <w:t>广东省肇庆监狱纪检监督部门电话 0758—3173809。</w:t>
      </w:r>
    </w:p>
    <w:p w14:paraId="1FA8BCC5">
      <w:pPr>
        <w:pStyle w:val="33"/>
        <w:widowControl/>
        <w:spacing w:line="360" w:lineRule="auto"/>
        <w:ind w:left="420" w:firstLine="0" w:firstLineChars="0"/>
        <w:jc w:val="left"/>
        <w:rPr>
          <w:rFonts w:ascii="宋体" w:hAnsi="宋体"/>
          <w:color w:val="000000"/>
        </w:rPr>
      </w:pPr>
      <w:r>
        <w:rPr>
          <w:rFonts w:hint="eastAsia" w:ascii="宋体" w:hAnsi="宋体"/>
          <w:color w:val="000000"/>
        </w:rPr>
        <w:t>3、扫码关注微信公众号“云采链互联服务平台”，即可在线咨询相关事项。</w:t>
      </w:r>
    </w:p>
    <w:p w14:paraId="275E9980">
      <w:pPr>
        <w:pStyle w:val="33"/>
        <w:widowControl/>
        <w:spacing w:line="360" w:lineRule="auto"/>
        <w:ind w:left="420" w:firstLine="0" w:firstLineChars="0"/>
        <w:jc w:val="center"/>
        <w:rPr>
          <w:rFonts w:ascii="宋体" w:hAnsi="宋体"/>
          <w:color w:val="000000"/>
        </w:rPr>
      </w:pPr>
      <w:r>
        <w:rPr>
          <w:rFonts w:hint="eastAsia" w:ascii="宋体" w:hAnsi="宋体"/>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6" cstate="print"/>
                    <a:srcRect/>
                    <a:stretch>
                      <a:fillRect/>
                    </a:stretch>
                  </pic:blipFill>
                  <pic:spPr>
                    <a:xfrm>
                      <a:off x="0" y="0"/>
                      <a:ext cx="1390650" cy="1390650"/>
                    </a:xfrm>
                    <a:prstGeom prst="rect">
                      <a:avLst/>
                    </a:prstGeom>
                    <a:ln>
                      <a:noFill/>
                    </a:ln>
                  </pic:spPr>
                </pic:pic>
              </a:graphicData>
            </a:graphic>
          </wp:inline>
        </w:drawing>
      </w:r>
    </w:p>
    <w:p w14:paraId="7333855C">
      <w:pPr>
        <w:rPr>
          <w:rFonts w:ascii="宋体" w:hAnsi="宋体"/>
          <w:color w:val="000000"/>
        </w:rPr>
      </w:pPr>
      <w:r>
        <w:rPr>
          <w:rFonts w:hint="eastAsia" w:ascii="宋体" w:hAnsi="宋体"/>
          <w:color w:val="000000"/>
        </w:rPr>
        <w:br w:type="page"/>
      </w:r>
    </w:p>
    <w:p w14:paraId="1A900DAA">
      <w:pPr>
        <w:snapToGrid w:val="0"/>
        <w:spacing w:line="360" w:lineRule="auto"/>
        <w:jc w:val="center"/>
        <w:outlineLvl w:val="0"/>
        <w:rPr>
          <w:rFonts w:ascii="宋体" w:hAnsi="宋体"/>
          <w:color w:val="000000"/>
          <w:sz w:val="32"/>
          <w:szCs w:val="32"/>
        </w:rPr>
      </w:pPr>
      <w:r>
        <w:rPr>
          <w:rFonts w:hint="eastAsia" w:ascii="宋体" w:hAnsi="宋体"/>
          <w:b/>
          <w:bCs/>
          <w:color w:val="000000"/>
          <w:sz w:val="32"/>
          <w:szCs w:val="32"/>
        </w:rPr>
        <w:t>第二章 采购需求书</w:t>
      </w:r>
    </w:p>
    <w:p w14:paraId="2368F452">
      <w:pPr>
        <w:snapToGrid w:val="0"/>
        <w:spacing w:line="360" w:lineRule="auto"/>
        <w:ind w:left="517" w:hanging="517" w:hangingChars="245"/>
        <w:rPr>
          <w:rFonts w:ascii="宋体" w:hAnsi="宋体"/>
          <w:b/>
          <w:bCs/>
          <w:color w:val="000000"/>
          <w:szCs w:val="21"/>
        </w:rPr>
      </w:pPr>
      <w:r>
        <w:rPr>
          <w:rFonts w:hint="eastAsia" w:ascii="宋体" w:hAnsi="宋体"/>
          <w:b/>
          <w:bCs/>
          <w:color w:val="000000"/>
          <w:szCs w:val="21"/>
        </w:rPr>
        <w:t>说明：</w:t>
      </w:r>
    </w:p>
    <w:p w14:paraId="0C71C529">
      <w:pPr>
        <w:numPr>
          <w:ilvl w:val="0"/>
          <w:numId w:val="14"/>
        </w:numPr>
        <w:snapToGrid w:val="0"/>
        <w:spacing w:line="360" w:lineRule="auto"/>
        <w:rPr>
          <w:rFonts w:ascii="宋体" w:hAnsi="宋体"/>
          <w:b/>
          <w:bCs/>
          <w:color w:val="000000"/>
          <w:szCs w:val="21"/>
        </w:rPr>
      </w:pPr>
      <w:r>
        <w:rPr>
          <w:rFonts w:hint="eastAsia" w:ascii="宋体" w:hAnsi="宋体"/>
          <w:b/>
          <w:bCs/>
          <w:color w:val="000000"/>
          <w:szCs w:val="21"/>
        </w:rPr>
        <w:t xml:space="preserve">响应供应商须对本项目进行整体响应，任何只对其中一部分进行的响应都被视为无效响应。 </w:t>
      </w:r>
    </w:p>
    <w:p w14:paraId="03A5616F">
      <w:pPr>
        <w:pStyle w:val="11"/>
        <w:numPr>
          <w:ilvl w:val="0"/>
          <w:numId w:val="15"/>
        </w:numPr>
        <w:tabs>
          <w:tab w:val="left" w:pos="540"/>
        </w:tabs>
        <w:adjustRightInd w:val="0"/>
        <w:snapToGrid w:val="0"/>
        <w:spacing w:line="360" w:lineRule="auto"/>
        <w:ind w:left="422" w:hanging="422"/>
        <w:rPr>
          <w:rFonts w:hAnsi="宋体" w:cs="宋体"/>
          <w:b/>
          <w:bCs/>
          <w:color w:val="000000"/>
          <w:sz w:val="21"/>
        </w:rPr>
      </w:pPr>
      <w:bookmarkStart w:id="0" w:name="_Hlk173482876"/>
      <w:r>
        <w:rPr>
          <w:rFonts w:hint="eastAsia" w:hAnsi="宋体" w:cs="宋体"/>
          <w:b/>
          <w:bCs/>
          <w:color w:val="000000"/>
          <w:sz w:val="21"/>
        </w:rPr>
        <w:t>项目一览表</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930"/>
        <w:gridCol w:w="4008"/>
        <w:gridCol w:w="2233"/>
      </w:tblGrid>
      <w:tr w14:paraId="6860F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98" w:type="pct"/>
            <w:tcBorders>
              <w:top w:val="single" w:color="auto" w:sz="12" w:space="0"/>
              <w:bottom w:val="single" w:color="auto" w:sz="2" w:space="0"/>
            </w:tcBorders>
            <w:shd w:val="clear" w:color="auto" w:fill="EEECE1"/>
            <w:vAlign w:val="center"/>
          </w:tcPr>
          <w:p w14:paraId="7A9780E4">
            <w:pPr>
              <w:spacing w:line="360" w:lineRule="auto"/>
              <w:jc w:val="center"/>
              <w:rPr>
                <w:rFonts w:ascii="宋体" w:hAnsi="宋体"/>
                <w:b/>
                <w:color w:val="000000"/>
                <w:szCs w:val="21"/>
              </w:rPr>
            </w:pPr>
            <w:r>
              <w:rPr>
                <w:rFonts w:hint="eastAsia" w:ascii="宋体" w:hAnsi="宋体"/>
                <w:b/>
                <w:color w:val="000000"/>
                <w:szCs w:val="21"/>
              </w:rPr>
              <w:t>采购内容</w:t>
            </w:r>
          </w:p>
        </w:tc>
        <w:tc>
          <w:tcPr>
            <w:tcW w:w="467" w:type="pct"/>
            <w:tcBorders>
              <w:top w:val="single" w:color="auto" w:sz="12" w:space="0"/>
              <w:bottom w:val="single" w:color="auto" w:sz="2" w:space="0"/>
            </w:tcBorders>
            <w:shd w:val="clear" w:color="auto" w:fill="EEECE1"/>
            <w:vAlign w:val="center"/>
          </w:tcPr>
          <w:p w14:paraId="2138930E">
            <w:pPr>
              <w:spacing w:line="360" w:lineRule="auto"/>
              <w:jc w:val="center"/>
              <w:rPr>
                <w:rFonts w:ascii="宋体" w:hAnsi="宋体"/>
                <w:b/>
                <w:szCs w:val="21"/>
              </w:rPr>
            </w:pPr>
            <w:r>
              <w:rPr>
                <w:rFonts w:hint="eastAsia" w:ascii="宋体" w:hAnsi="宋体"/>
                <w:b/>
                <w:szCs w:val="21"/>
              </w:rPr>
              <w:t>数量</w:t>
            </w:r>
          </w:p>
        </w:tc>
        <w:tc>
          <w:tcPr>
            <w:tcW w:w="2012" w:type="pct"/>
            <w:tcBorders>
              <w:top w:val="single" w:color="auto" w:sz="12" w:space="0"/>
              <w:bottom w:val="single" w:color="auto" w:sz="2" w:space="0"/>
            </w:tcBorders>
            <w:shd w:val="clear" w:color="auto" w:fill="EEECE1"/>
            <w:vAlign w:val="center"/>
          </w:tcPr>
          <w:p w14:paraId="126E4D0A">
            <w:pPr>
              <w:spacing w:line="360" w:lineRule="auto"/>
              <w:jc w:val="center"/>
              <w:rPr>
                <w:rFonts w:ascii="宋体" w:hAnsi="宋体"/>
                <w:b/>
                <w:szCs w:val="21"/>
              </w:rPr>
            </w:pPr>
            <w:r>
              <w:rPr>
                <w:rFonts w:hint="eastAsia" w:ascii="宋体" w:hAnsi="宋体"/>
                <w:b/>
                <w:szCs w:val="21"/>
              </w:rPr>
              <w:t>交货期限</w:t>
            </w:r>
          </w:p>
        </w:tc>
        <w:tc>
          <w:tcPr>
            <w:tcW w:w="1121" w:type="pct"/>
            <w:tcBorders>
              <w:top w:val="single" w:color="auto" w:sz="12" w:space="0"/>
              <w:bottom w:val="single" w:color="auto" w:sz="2" w:space="0"/>
            </w:tcBorders>
            <w:shd w:val="clear" w:color="auto" w:fill="EEECE1"/>
            <w:vAlign w:val="center"/>
          </w:tcPr>
          <w:p w14:paraId="2C8E4104">
            <w:pPr>
              <w:spacing w:line="360" w:lineRule="auto"/>
              <w:jc w:val="center"/>
              <w:rPr>
                <w:rFonts w:ascii="宋体" w:hAnsi="宋体"/>
                <w:b/>
                <w:szCs w:val="21"/>
              </w:rPr>
            </w:pPr>
            <w:r>
              <w:rPr>
                <w:rFonts w:hint="eastAsia" w:ascii="宋体" w:hAnsi="宋体"/>
                <w:b/>
                <w:szCs w:val="21"/>
              </w:rPr>
              <w:t>最高限价</w:t>
            </w:r>
          </w:p>
        </w:tc>
      </w:tr>
      <w:tr w14:paraId="6E8C9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98" w:type="pct"/>
            <w:tcBorders>
              <w:top w:val="single" w:color="auto" w:sz="2" w:space="0"/>
              <w:bottom w:val="single" w:color="auto" w:sz="2" w:space="0"/>
            </w:tcBorders>
            <w:vAlign w:val="center"/>
          </w:tcPr>
          <w:p w14:paraId="6BA7425A">
            <w:pPr>
              <w:spacing w:line="360" w:lineRule="auto"/>
              <w:jc w:val="center"/>
              <w:rPr>
                <w:rFonts w:ascii="宋体" w:hAnsi="宋体"/>
                <w:color w:val="000000"/>
                <w:szCs w:val="21"/>
              </w:rPr>
            </w:pPr>
            <w:r>
              <w:rPr>
                <w:rFonts w:hint="eastAsia" w:ascii="宋体" w:hAnsi="宋体"/>
                <w:color w:val="000000"/>
                <w:szCs w:val="21"/>
              </w:rPr>
              <w:t>广东省肇庆监狱防汛物资采购</w:t>
            </w:r>
          </w:p>
        </w:tc>
        <w:tc>
          <w:tcPr>
            <w:tcW w:w="467" w:type="pct"/>
            <w:tcBorders>
              <w:top w:val="single" w:color="auto" w:sz="2" w:space="0"/>
              <w:bottom w:val="single" w:color="auto" w:sz="2" w:space="0"/>
            </w:tcBorders>
            <w:vAlign w:val="center"/>
          </w:tcPr>
          <w:p w14:paraId="0AA960B9">
            <w:pPr>
              <w:keepNext/>
              <w:adjustRightInd w:val="0"/>
              <w:spacing w:line="360" w:lineRule="auto"/>
              <w:jc w:val="center"/>
              <w:textAlignment w:val="center"/>
              <w:rPr>
                <w:rFonts w:ascii="宋体" w:hAnsi="宋体"/>
                <w:szCs w:val="21"/>
              </w:rPr>
            </w:pPr>
            <w:r>
              <w:rPr>
                <w:rFonts w:hint="eastAsia" w:ascii="宋体" w:hAnsi="宋体"/>
                <w:szCs w:val="21"/>
              </w:rPr>
              <w:t>1项</w:t>
            </w:r>
          </w:p>
        </w:tc>
        <w:tc>
          <w:tcPr>
            <w:tcW w:w="2012" w:type="pct"/>
            <w:tcBorders>
              <w:top w:val="single" w:color="auto" w:sz="2" w:space="0"/>
              <w:bottom w:val="single" w:color="auto" w:sz="2" w:space="0"/>
            </w:tcBorders>
            <w:vAlign w:val="center"/>
          </w:tcPr>
          <w:p w14:paraId="1EF04D96">
            <w:pPr>
              <w:pStyle w:val="11"/>
              <w:tabs>
                <w:tab w:val="left" w:pos="540"/>
              </w:tabs>
              <w:adjustRightInd w:val="0"/>
              <w:snapToGrid w:val="0"/>
              <w:spacing w:before="156" w:beforeLines="50" w:line="360" w:lineRule="auto"/>
              <w:jc w:val="center"/>
              <w:rPr>
                <w:rFonts w:hAnsi="宋体"/>
                <w:sz w:val="21"/>
              </w:rPr>
            </w:pPr>
            <w:r>
              <w:rPr>
                <w:rFonts w:hint="eastAsia" w:hAnsi="宋体"/>
                <w:sz w:val="21"/>
              </w:rPr>
              <w:t>完成合同签订后，成交供应商必须在15个工作日内安排专人到采购人指定地点完成本项目</w:t>
            </w:r>
          </w:p>
        </w:tc>
        <w:tc>
          <w:tcPr>
            <w:tcW w:w="1121" w:type="pct"/>
            <w:tcBorders>
              <w:top w:val="single" w:color="auto" w:sz="2" w:space="0"/>
              <w:bottom w:val="single" w:color="auto" w:sz="2" w:space="0"/>
            </w:tcBorders>
            <w:vAlign w:val="center"/>
          </w:tcPr>
          <w:p w14:paraId="7F7CB72F">
            <w:pPr>
              <w:pStyle w:val="11"/>
              <w:tabs>
                <w:tab w:val="left" w:pos="540"/>
              </w:tabs>
              <w:adjustRightInd w:val="0"/>
              <w:snapToGrid w:val="0"/>
              <w:spacing w:line="360" w:lineRule="auto"/>
              <w:jc w:val="center"/>
              <w:rPr>
                <w:rFonts w:hAnsi="宋体"/>
                <w:sz w:val="21"/>
              </w:rPr>
            </w:pPr>
            <w:r>
              <w:rPr>
                <w:rFonts w:hint="eastAsia" w:hAnsi="宋体"/>
                <w:sz w:val="21"/>
              </w:rPr>
              <w:t>人民币</w:t>
            </w:r>
            <w:r>
              <w:rPr>
                <w:rFonts w:hint="eastAsia" w:hAnsi="宋体" w:cs="宋体"/>
                <w:color w:val="000000"/>
                <w:sz w:val="21"/>
                <w:u w:val="single"/>
              </w:rPr>
              <w:t>121,818</w:t>
            </w:r>
            <w:r>
              <w:rPr>
                <w:rFonts w:hint="eastAsia" w:hAnsi="宋体"/>
                <w:sz w:val="21"/>
              </w:rPr>
              <w:t>元</w:t>
            </w:r>
          </w:p>
        </w:tc>
      </w:tr>
    </w:tbl>
    <w:p w14:paraId="22134C01">
      <w:pPr>
        <w:pStyle w:val="11"/>
        <w:numPr>
          <w:ilvl w:val="0"/>
          <w:numId w:val="15"/>
        </w:numPr>
        <w:tabs>
          <w:tab w:val="left" w:pos="540"/>
        </w:tabs>
        <w:adjustRightInd w:val="0"/>
        <w:snapToGrid w:val="0"/>
        <w:spacing w:line="360" w:lineRule="auto"/>
        <w:ind w:left="422" w:hanging="422"/>
        <w:rPr>
          <w:rFonts w:hAnsi="宋体" w:cs="宋体"/>
          <w:b/>
          <w:bCs/>
          <w:color w:val="000000"/>
          <w:sz w:val="21"/>
        </w:rPr>
      </w:pPr>
      <w:r>
        <w:rPr>
          <w:rFonts w:hint="eastAsia" w:hAnsi="宋体" w:cs="宋体"/>
          <w:b/>
          <w:bCs/>
          <w:color w:val="000000"/>
          <w:sz w:val="21"/>
        </w:rPr>
        <w:t>项目概况</w:t>
      </w:r>
    </w:p>
    <w:p w14:paraId="59578DAA">
      <w:pPr>
        <w:pStyle w:val="11"/>
        <w:numPr>
          <w:ilvl w:val="0"/>
          <w:numId w:val="16"/>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本项目是广东省肇庆监狱防汛物资采购，需要按采购人需求提供清单内全部货物，并一次性配送至采购人指定位置，不接受快递方式零散配送。</w:t>
      </w:r>
    </w:p>
    <w:p w14:paraId="0EE2A1A8">
      <w:pPr>
        <w:pStyle w:val="11"/>
        <w:numPr>
          <w:ilvl w:val="0"/>
          <w:numId w:val="16"/>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本项目所需货物为清单内全部货物，采购最高限价121,818元。</w:t>
      </w:r>
    </w:p>
    <w:p w14:paraId="276056EA">
      <w:pPr>
        <w:pStyle w:val="11"/>
        <w:numPr>
          <w:ilvl w:val="0"/>
          <w:numId w:val="16"/>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本项目采购内容详见十四、附件：防汛物资采购价格清单，结算单价为：单价最高限价*（1-成交下浮率），报价包含运输、安装等相关费用。</w:t>
      </w:r>
    </w:p>
    <w:p w14:paraId="35F32148">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供应形式及交货时间</w:t>
      </w:r>
    </w:p>
    <w:p w14:paraId="4B508B91">
      <w:pPr>
        <w:pStyle w:val="11"/>
        <w:numPr>
          <w:ilvl w:val="0"/>
          <w:numId w:val="17"/>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完成合同签订后，成交供应商必须在</w:t>
      </w:r>
      <w:r>
        <w:rPr>
          <w:rFonts w:hint="eastAsia" w:hAnsi="宋体" w:cs="宋体"/>
          <w:color w:val="000000"/>
          <w:sz w:val="21"/>
          <w:u w:val="single"/>
        </w:rPr>
        <w:t>15</w:t>
      </w:r>
      <w:r>
        <w:rPr>
          <w:rFonts w:hint="eastAsia" w:hAnsi="宋体" w:cs="宋体"/>
          <w:color w:val="000000"/>
          <w:sz w:val="21"/>
        </w:rPr>
        <w:t>个工作日内安排专人到采购人指定地点完成本项目。</w:t>
      </w:r>
    </w:p>
    <w:p w14:paraId="6C070D4B">
      <w:pPr>
        <w:pStyle w:val="11"/>
        <w:numPr>
          <w:ilvl w:val="0"/>
          <w:numId w:val="17"/>
        </w:numPr>
        <w:tabs>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配送时间：按照采购人工作时间安排进行配送，送货期间服从采购人现场管理要求。</w:t>
      </w:r>
    </w:p>
    <w:p w14:paraId="6595EB5B">
      <w:pPr>
        <w:pStyle w:val="11"/>
        <w:numPr>
          <w:ilvl w:val="0"/>
          <w:numId w:val="15"/>
        </w:numPr>
        <w:tabs>
          <w:tab w:val="left" w:pos="540"/>
        </w:tabs>
        <w:adjustRightInd w:val="0"/>
        <w:snapToGrid w:val="0"/>
        <w:spacing w:line="360" w:lineRule="auto"/>
        <w:rPr>
          <w:rFonts w:hAnsi="宋体" w:cs="宋体"/>
          <w:b/>
          <w:bCs/>
          <w:color w:val="000000"/>
          <w:sz w:val="21"/>
        </w:rPr>
      </w:pPr>
      <w:bookmarkStart w:id="1" w:name="_Toc526932024"/>
      <w:bookmarkStart w:id="2" w:name="_Toc527703762"/>
      <w:r>
        <w:rPr>
          <w:rFonts w:hint="eastAsia" w:hAnsi="宋体" w:cs="宋体"/>
          <w:b/>
          <w:bCs/>
          <w:color w:val="000000"/>
          <w:sz w:val="21"/>
        </w:rPr>
        <w:t>商务要求</w:t>
      </w:r>
    </w:p>
    <w:p w14:paraId="4372FEAA">
      <w:pPr>
        <w:pStyle w:val="8"/>
        <w:numPr>
          <w:ilvl w:val="0"/>
          <w:numId w:val="18"/>
        </w:numPr>
        <w:spacing w:after="0" w:line="360" w:lineRule="auto"/>
        <w:ind w:firstLine="420" w:firstLineChars="200"/>
        <w:jc w:val="left"/>
        <w:rPr>
          <w:rFonts w:ascii="宋体" w:hAnsi="宋体"/>
          <w:color w:val="000000"/>
          <w:szCs w:val="21"/>
        </w:rPr>
      </w:pPr>
      <w:r>
        <w:rPr>
          <w:rFonts w:hint="eastAsia" w:ascii="宋体" w:hAnsi="宋体"/>
          <w:color w:val="000000"/>
          <w:szCs w:val="21"/>
        </w:rPr>
        <w:t>包装和运输</w:t>
      </w:r>
    </w:p>
    <w:p w14:paraId="2DA09C39">
      <w:pPr>
        <w:pStyle w:val="8"/>
        <w:numPr>
          <w:ilvl w:val="0"/>
          <w:numId w:val="19"/>
        </w:numPr>
        <w:spacing w:after="0" w:line="360" w:lineRule="auto"/>
        <w:ind w:firstLine="420" w:firstLineChars="200"/>
        <w:jc w:val="left"/>
        <w:rPr>
          <w:rFonts w:ascii="宋体" w:hAnsi="宋体"/>
          <w:color w:val="000000"/>
          <w:szCs w:val="21"/>
        </w:rPr>
      </w:pPr>
      <w:r>
        <w:rPr>
          <w:rFonts w:hint="eastAsia" w:ascii="宋体" w:hAnsi="宋体"/>
          <w:color w:val="000000"/>
          <w:szCs w:val="21"/>
        </w:rPr>
        <w:t>成交供应商应提供运至交付地点所需要的包装，包装应符合经济、牢固、美观的要求，采取防潮、防晒、防锈、防振及防止其它损坏的必要措施，以防止货物在运转中损坏或变质。</w:t>
      </w:r>
    </w:p>
    <w:p w14:paraId="0595EFBB">
      <w:pPr>
        <w:pStyle w:val="8"/>
        <w:numPr>
          <w:ilvl w:val="0"/>
          <w:numId w:val="19"/>
        </w:numPr>
        <w:spacing w:after="0" w:line="360" w:lineRule="auto"/>
        <w:ind w:firstLine="420" w:firstLineChars="200"/>
        <w:jc w:val="left"/>
        <w:rPr>
          <w:rFonts w:ascii="宋体" w:hAnsi="宋体"/>
          <w:color w:val="000000"/>
          <w:szCs w:val="21"/>
        </w:rPr>
      </w:pPr>
      <w:r>
        <w:rPr>
          <w:rFonts w:hint="eastAsia" w:ascii="宋体" w:hAnsi="宋体"/>
          <w:color w:val="000000"/>
          <w:szCs w:val="21"/>
        </w:rPr>
        <w:t>包装必须要符合相关法律、法规的要求，包括与环境、职业健康和安全有关的法律、法规标准。</w:t>
      </w:r>
    </w:p>
    <w:p w14:paraId="641A952D">
      <w:pPr>
        <w:pStyle w:val="8"/>
        <w:numPr>
          <w:ilvl w:val="0"/>
          <w:numId w:val="19"/>
        </w:numPr>
        <w:spacing w:after="0" w:line="360" w:lineRule="auto"/>
        <w:ind w:firstLine="420" w:firstLineChars="200"/>
        <w:jc w:val="left"/>
        <w:rPr>
          <w:rFonts w:ascii="宋体" w:hAnsi="宋体"/>
          <w:color w:val="000000"/>
          <w:szCs w:val="21"/>
        </w:rPr>
      </w:pPr>
      <w:r>
        <w:rPr>
          <w:rFonts w:hint="eastAsia" w:ascii="宋体" w:hAnsi="宋体"/>
          <w:color w:val="000000"/>
          <w:szCs w:val="21"/>
        </w:rPr>
        <w:t>运输包装应根据产品的特点及国家相关标准标注有相应的运输标志。</w:t>
      </w:r>
    </w:p>
    <w:p w14:paraId="6AD9BAAF">
      <w:pPr>
        <w:pStyle w:val="8"/>
        <w:numPr>
          <w:ilvl w:val="0"/>
          <w:numId w:val="18"/>
        </w:numPr>
        <w:spacing w:after="0" w:line="360" w:lineRule="auto"/>
        <w:ind w:firstLine="420" w:firstLineChars="200"/>
        <w:jc w:val="left"/>
        <w:rPr>
          <w:rFonts w:ascii="宋体" w:hAnsi="宋体"/>
          <w:color w:val="000000"/>
          <w:szCs w:val="21"/>
        </w:rPr>
      </w:pPr>
      <w:r>
        <w:rPr>
          <w:rFonts w:hint="eastAsia" w:ascii="宋体" w:hAnsi="宋体"/>
          <w:color w:val="000000"/>
          <w:szCs w:val="21"/>
        </w:rPr>
        <w:t>售后服务</w:t>
      </w:r>
    </w:p>
    <w:p w14:paraId="3DDBB586">
      <w:pPr>
        <w:numPr>
          <w:ilvl w:val="0"/>
          <w:numId w:val="20"/>
        </w:numPr>
        <w:snapToGrid w:val="0"/>
        <w:spacing w:line="360" w:lineRule="auto"/>
        <w:ind w:firstLine="420" w:firstLineChars="200"/>
        <w:rPr>
          <w:rFonts w:ascii="宋体" w:hAnsi="宋体"/>
          <w:szCs w:val="21"/>
        </w:rPr>
      </w:pPr>
      <w:r>
        <w:rPr>
          <w:rFonts w:hint="eastAsia" w:ascii="宋体" w:hAnsi="宋体"/>
          <w:szCs w:val="21"/>
        </w:rPr>
        <w:t>质保期</w:t>
      </w:r>
    </w:p>
    <w:p w14:paraId="14B4760D">
      <w:pPr>
        <w:numPr>
          <w:ilvl w:val="0"/>
          <w:numId w:val="21"/>
        </w:numPr>
        <w:autoSpaceDE w:val="0"/>
        <w:autoSpaceDN w:val="0"/>
        <w:adjustRightInd w:val="0"/>
        <w:snapToGrid w:val="0"/>
        <w:spacing w:line="360" w:lineRule="auto"/>
        <w:ind w:firstLine="420" w:firstLineChars="200"/>
        <w:textAlignment w:val="baseline"/>
        <w:rPr>
          <w:rFonts w:ascii="宋体" w:hAnsi="宋体" w:cs="仿宋_GB2312"/>
          <w:szCs w:val="21"/>
        </w:rPr>
      </w:pPr>
      <w:r>
        <w:rPr>
          <w:rFonts w:hint="eastAsia" w:ascii="宋体" w:hAnsi="宋体" w:cs="仿宋_GB2312"/>
          <w:szCs w:val="21"/>
        </w:rPr>
        <w:t>质保期协助质量保修范围：由于材料、工艺等问题而导致的产品功能失效、性能下降等缺陷(属于自然力或战争等不可抗拒力、人为因素等造成的除外)。</w:t>
      </w:r>
    </w:p>
    <w:p w14:paraId="6A2180F9">
      <w:pPr>
        <w:numPr>
          <w:ilvl w:val="0"/>
          <w:numId w:val="21"/>
        </w:numPr>
        <w:autoSpaceDE w:val="0"/>
        <w:autoSpaceDN w:val="0"/>
        <w:adjustRightInd w:val="0"/>
        <w:snapToGrid w:val="0"/>
        <w:spacing w:line="360" w:lineRule="auto"/>
        <w:ind w:firstLine="420" w:firstLineChars="200"/>
        <w:textAlignment w:val="baseline"/>
        <w:rPr>
          <w:rFonts w:ascii="宋体" w:hAnsi="宋体" w:cs="仿宋_GB2312"/>
          <w:szCs w:val="21"/>
        </w:rPr>
      </w:pPr>
      <w:r>
        <w:rPr>
          <w:rFonts w:hint="eastAsia" w:ascii="宋体" w:hAnsi="宋体" w:cs="仿宋_GB2312"/>
          <w:szCs w:val="21"/>
        </w:rPr>
        <w:t>质保期为1年，质保期自货物最终验收合格之日起算，</w:t>
      </w:r>
      <w:r>
        <w:rPr>
          <w:rFonts w:hint="eastAsia" w:ascii="宋体" w:hAnsi="宋体" w:cs="仿宋_GB2312"/>
          <w:b/>
          <w:bCs/>
          <w:szCs w:val="21"/>
        </w:rPr>
        <w:t>质保期内成交供应商协助联系对所供货物生产厂家实行包修、包换、包退、包维护保养</w:t>
      </w:r>
      <w:r>
        <w:rPr>
          <w:rFonts w:hint="eastAsia" w:ascii="宋体" w:hAnsi="宋体" w:cs="仿宋_GB2312"/>
          <w:szCs w:val="21"/>
        </w:rPr>
        <w:t>。</w:t>
      </w:r>
    </w:p>
    <w:p w14:paraId="225DCFC3">
      <w:pPr>
        <w:numPr>
          <w:ilvl w:val="0"/>
          <w:numId w:val="21"/>
        </w:numPr>
        <w:snapToGrid w:val="0"/>
        <w:spacing w:line="360" w:lineRule="auto"/>
        <w:ind w:firstLine="420" w:firstLineChars="200"/>
        <w:rPr>
          <w:rFonts w:ascii="宋体" w:hAnsi="宋体"/>
          <w:szCs w:val="21"/>
        </w:rPr>
      </w:pPr>
      <w:r>
        <w:rPr>
          <w:rFonts w:hint="eastAsia" w:ascii="宋体" w:hAnsi="宋体"/>
          <w:szCs w:val="21"/>
        </w:rPr>
        <w:t>对采购人的服务通知，成交供应商在接报后</w:t>
      </w:r>
      <w:r>
        <w:rPr>
          <w:rFonts w:hint="eastAsia" w:ascii="宋体" w:hAnsi="宋体"/>
          <w:szCs w:val="21"/>
          <w:u w:val="single"/>
        </w:rPr>
        <w:t>1小时内</w:t>
      </w:r>
      <w:r>
        <w:rPr>
          <w:rFonts w:hint="eastAsia" w:ascii="宋体" w:hAnsi="宋体"/>
          <w:szCs w:val="21"/>
        </w:rPr>
        <w:t>响应，</w:t>
      </w:r>
      <w:r>
        <w:rPr>
          <w:rFonts w:hint="eastAsia" w:ascii="宋体" w:hAnsi="宋体"/>
          <w:szCs w:val="21"/>
          <w:u w:val="single"/>
        </w:rPr>
        <w:t>4小时内</w:t>
      </w:r>
      <w:r>
        <w:rPr>
          <w:rFonts w:hint="eastAsia" w:ascii="宋体" w:hAnsi="宋体"/>
          <w:szCs w:val="21"/>
        </w:rPr>
        <w:t>到达现场，</w:t>
      </w:r>
      <w:r>
        <w:rPr>
          <w:rFonts w:hint="eastAsia" w:ascii="宋体" w:hAnsi="宋体"/>
          <w:szCs w:val="21"/>
          <w:u w:val="single"/>
        </w:rPr>
        <w:t>48小时内</w:t>
      </w:r>
      <w:r>
        <w:rPr>
          <w:rFonts w:hint="eastAsia" w:ascii="宋体" w:hAnsi="宋体"/>
          <w:szCs w:val="21"/>
        </w:rPr>
        <w:t>处理完毕。若在</w:t>
      </w:r>
      <w:r>
        <w:rPr>
          <w:rFonts w:hint="eastAsia" w:ascii="宋体" w:hAnsi="宋体"/>
          <w:szCs w:val="21"/>
          <w:u w:val="single"/>
        </w:rPr>
        <w:t>48小时</w:t>
      </w:r>
      <w:r>
        <w:rPr>
          <w:rFonts w:hint="eastAsia" w:ascii="宋体" w:hAnsi="宋体"/>
          <w:szCs w:val="21"/>
        </w:rPr>
        <w:t>内仍未能有效解决，成交供应商须免费提供同档次的货物予采购人临时使用，临时使用期不得超过</w:t>
      </w:r>
      <w:r>
        <w:rPr>
          <w:rFonts w:hint="eastAsia" w:ascii="宋体" w:hAnsi="宋体"/>
          <w:szCs w:val="21"/>
          <w:u w:val="single"/>
        </w:rPr>
        <w:t>7个日历日</w:t>
      </w:r>
      <w:r>
        <w:rPr>
          <w:rFonts w:hint="eastAsia" w:ascii="宋体" w:hAnsi="宋体"/>
          <w:szCs w:val="21"/>
        </w:rPr>
        <w:t>。如成交供应商未在规定时间内响应或处理完毕，采购人有权自行采购同档次的货物应急解决，因此产生的费用应由成交供应商全额承担，并且采购人有权要求成交供应商按处理天数每天支付合同金额的1‰作为违约金。</w:t>
      </w:r>
    </w:p>
    <w:p w14:paraId="03F8369F">
      <w:pPr>
        <w:numPr>
          <w:ilvl w:val="0"/>
          <w:numId w:val="20"/>
        </w:numPr>
        <w:snapToGrid w:val="0"/>
        <w:spacing w:line="360" w:lineRule="auto"/>
        <w:ind w:firstLine="420" w:firstLineChars="200"/>
        <w:rPr>
          <w:rFonts w:ascii="宋体" w:hAnsi="宋体"/>
          <w:szCs w:val="21"/>
        </w:rPr>
      </w:pPr>
      <w:r>
        <w:rPr>
          <w:rFonts w:hint="eastAsia" w:ascii="宋体" w:hAnsi="宋体"/>
          <w:szCs w:val="21"/>
        </w:rPr>
        <w:t>安装与调试</w:t>
      </w:r>
    </w:p>
    <w:p w14:paraId="64542FE0">
      <w:pPr>
        <w:numPr>
          <w:ilvl w:val="0"/>
          <w:numId w:val="22"/>
        </w:numPr>
        <w:adjustRightInd w:val="0"/>
        <w:snapToGrid w:val="0"/>
        <w:spacing w:line="360" w:lineRule="auto"/>
        <w:ind w:firstLine="420" w:firstLineChars="200"/>
        <w:textAlignment w:val="baseline"/>
        <w:rPr>
          <w:rFonts w:ascii="宋体" w:hAnsi="宋体"/>
          <w:szCs w:val="21"/>
        </w:rPr>
      </w:pPr>
      <w:r>
        <w:rPr>
          <w:rFonts w:ascii="宋体" w:hAnsi="宋体"/>
          <w:szCs w:val="21"/>
        </w:rPr>
        <w:t>合同货物安装</w:t>
      </w:r>
    </w:p>
    <w:p w14:paraId="0CBD9479">
      <w:pPr>
        <w:snapToGrid w:val="0"/>
        <w:spacing w:line="360" w:lineRule="auto"/>
        <w:ind w:firstLine="420" w:firstLineChars="200"/>
        <w:rPr>
          <w:rFonts w:ascii="宋体" w:hAnsi="宋体"/>
          <w:szCs w:val="21"/>
        </w:rPr>
      </w:pPr>
      <w:r>
        <w:rPr>
          <w:rFonts w:hint="eastAsia" w:ascii="宋体" w:hAnsi="宋体"/>
          <w:szCs w:val="21"/>
        </w:rPr>
        <w:t xml:space="preserve">① </w:t>
      </w:r>
      <w:r>
        <w:rPr>
          <w:rFonts w:ascii="宋体" w:hAnsi="宋体"/>
          <w:szCs w:val="21"/>
        </w:rPr>
        <w:t>成交供应商负责合同货物的安装，一切费用由成交供应商负责。</w:t>
      </w:r>
    </w:p>
    <w:p w14:paraId="5FF58F3E">
      <w:pPr>
        <w:snapToGrid w:val="0"/>
        <w:spacing w:line="360" w:lineRule="auto"/>
        <w:ind w:firstLine="420" w:firstLineChars="200"/>
        <w:rPr>
          <w:rFonts w:ascii="宋体" w:hAnsi="宋体"/>
          <w:szCs w:val="21"/>
        </w:rPr>
      </w:pPr>
      <w:r>
        <w:rPr>
          <w:rFonts w:hint="eastAsia" w:ascii="宋体" w:hAnsi="宋体"/>
          <w:szCs w:val="21"/>
        </w:rPr>
        <w:t>②</w:t>
      </w:r>
      <w:r>
        <w:rPr>
          <w:rFonts w:ascii="宋体" w:hAnsi="宋体"/>
          <w:szCs w:val="21"/>
        </w:rPr>
        <w:t xml:space="preserve"> 成交供应商安装时须对各安装场地内的其他货物、设施有良好保护措施</w:t>
      </w:r>
      <w:r>
        <w:rPr>
          <w:rFonts w:hint="eastAsia" w:ascii="宋体" w:hAnsi="宋体"/>
          <w:szCs w:val="21"/>
        </w:rPr>
        <w:t>。</w:t>
      </w:r>
    </w:p>
    <w:bookmarkEnd w:id="1"/>
    <w:bookmarkEnd w:id="2"/>
    <w:p w14:paraId="6A851A95">
      <w:pPr>
        <w:pStyle w:val="11"/>
        <w:numPr>
          <w:ilvl w:val="0"/>
          <w:numId w:val="15"/>
        </w:numPr>
        <w:tabs>
          <w:tab w:val="left" w:pos="540"/>
        </w:tabs>
        <w:adjustRightInd w:val="0"/>
        <w:snapToGrid w:val="0"/>
        <w:spacing w:line="360" w:lineRule="auto"/>
        <w:rPr>
          <w:rFonts w:hAnsi="宋体" w:cs="宋体"/>
          <w:b/>
          <w:bCs/>
          <w:color w:val="000000"/>
          <w:sz w:val="21"/>
        </w:rPr>
      </w:pPr>
      <w:bookmarkStart w:id="3" w:name="_Toc380411672"/>
      <w:r>
        <w:rPr>
          <w:rFonts w:hint="eastAsia" w:hAnsi="宋体" w:cs="宋体"/>
          <w:b/>
          <w:bCs/>
          <w:color w:val="000000"/>
          <w:sz w:val="21"/>
        </w:rPr>
        <w:t>运作程序</w:t>
      </w:r>
    </w:p>
    <w:p w14:paraId="0F59B6E6">
      <w:pPr>
        <w:pStyle w:val="8"/>
        <w:numPr>
          <w:ilvl w:val="0"/>
          <w:numId w:val="23"/>
        </w:numPr>
        <w:spacing w:after="0" w:line="360" w:lineRule="auto"/>
        <w:ind w:firstLine="420" w:firstLineChars="200"/>
        <w:jc w:val="left"/>
        <w:rPr>
          <w:rFonts w:ascii="宋体" w:hAnsi="宋体"/>
          <w:szCs w:val="21"/>
        </w:rPr>
      </w:pPr>
      <w:r>
        <w:rPr>
          <w:rFonts w:hint="eastAsia" w:ascii="宋体" w:hAnsi="宋体"/>
          <w:szCs w:val="21"/>
        </w:rPr>
        <w:t>成交供应商送货前应提前24小时通知采购人，以便采购人做好接收验货工作；如遇采购人有特殊原因须改期收货时，应及时通知成交供应商推迟送货。</w:t>
      </w:r>
    </w:p>
    <w:p w14:paraId="7FCA5730">
      <w:pPr>
        <w:pStyle w:val="8"/>
        <w:numPr>
          <w:ilvl w:val="0"/>
          <w:numId w:val="23"/>
        </w:numPr>
        <w:spacing w:after="0" w:line="360" w:lineRule="auto"/>
        <w:ind w:firstLine="420" w:firstLineChars="200"/>
        <w:jc w:val="left"/>
        <w:rPr>
          <w:rFonts w:ascii="宋体" w:hAnsi="宋体"/>
          <w:szCs w:val="21"/>
        </w:rPr>
      </w:pPr>
      <w:r>
        <w:rPr>
          <w:rFonts w:hint="eastAsia" w:ascii="宋体" w:hAnsi="宋体"/>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107FD124">
      <w:pPr>
        <w:pStyle w:val="8"/>
        <w:numPr>
          <w:ilvl w:val="0"/>
          <w:numId w:val="23"/>
        </w:numPr>
        <w:spacing w:after="0" w:line="360" w:lineRule="auto"/>
        <w:ind w:firstLine="420" w:firstLineChars="200"/>
        <w:jc w:val="left"/>
        <w:rPr>
          <w:rFonts w:ascii="宋体" w:hAnsi="宋体"/>
          <w:szCs w:val="21"/>
        </w:rPr>
      </w:pPr>
      <w:r>
        <w:rPr>
          <w:rFonts w:hint="eastAsia" w:ascii="宋体" w:hAnsi="宋体"/>
          <w:szCs w:val="21"/>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1286F992">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合同签订期限</w:t>
      </w:r>
    </w:p>
    <w:p w14:paraId="5F20FEF3">
      <w:pPr>
        <w:pStyle w:val="11"/>
        <w:tabs>
          <w:tab w:val="left" w:pos="420"/>
          <w:tab w:val="left" w:pos="540"/>
        </w:tabs>
        <w:adjustRightInd w:val="0"/>
        <w:snapToGrid w:val="0"/>
        <w:spacing w:line="360" w:lineRule="auto"/>
        <w:ind w:firstLine="420" w:firstLineChars="200"/>
        <w:rPr>
          <w:rFonts w:hAnsi="宋体" w:cs="宋体"/>
          <w:b/>
          <w:bCs/>
          <w:color w:val="000000"/>
          <w:sz w:val="21"/>
        </w:rPr>
      </w:pPr>
      <w:r>
        <w:rPr>
          <w:rFonts w:hint="eastAsia" w:hAnsi="宋体" w:cs="宋体"/>
          <w:color w:val="000000"/>
          <w:sz w:val="21"/>
        </w:rPr>
        <w:t>成交供应商与采购人在本项目结果公告发布之日起15个工作日内签订项目合同。</w:t>
      </w:r>
    </w:p>
    <w:p w14:paraId="0FE190DD">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验收方法</w:t>
      </w:r>
    </w:p>
    <w:p w14:paraId="5B7F26EE">
      <w:pPr>
        <w:pStyle w:val="138"/>
        <w:numPr>
          <w:ilvl w:val="0"/>
          <w:numId w:val="24"/>
        </w:numPr>
        <w:ind w:firstLine="420" w:firstLineChars="200"/>
      </w:pPr>
      <w:r>
        <w:rPr>
          <w:rFonts w:hint="eastAsia"/>
        </w:rPr>
        <w:t>采购人检查验收时，发现有下列情形的，应当拒收：</w:t>
      </w:r>
    </w:p>
    <w:p w14:paraId="38055E97">
      <w:pPr>
        <w:pStyle w:val="138"/>
        <w:numPr>
          <w:ilvl w:val="0"/>
          <w:numId w:val="25"/>
        </w:numPr>
        <w:ind w:firstLine="420" w:firstLineChars="200"/>
      </w:pPr>
      <w:r>
        <w:rPr>
          <w:rFonts w:hint="eastAsia"/>
        </w:rPr>
        <w:t>未经采购人同意，成交供应商擅自变更商品名称或品牌、产地、规格、型号等商品实质内容的；</w:t>
      </w:r>
    </w:p>
    <w:p w14:paraId="410A906F">
      <w:pPr>
        <w:pStyle w:val="138"/>
        <w:numPr>
          <w:ilvl w:val="0"/>
          <w:numId w:val="25"/>
        </w:numPr>
        <w:ind w:firstLine="420" w:firstLineChars="200"/>
      </w:pPr>
      <w:r>
        <w:rPr>
          <w:rFonts w:hint="eastAsia"/>
        </w:rPr>
        <w:t>货物不符合规格、重(含)量、标准等验收要求的；</w:t>
      </w:r>
    </w:p>
    <w:p w14:paraId="4D53DA66">
      <w:pPr>
        <w:pStyle w:val="138"/>
        <w:numPr>
          <w:ilvl w:val="0"/>
          <w:numId w:val="25"/>
        </w:numPr>
        <w:ind w:firstLine="420" w:firstLineChars="200"/>
      </w:pPr>
      <w:r>
        <w:rPr>
          <w:rFonts w:hint="eastAsia"/>
        </w:rPr>
        <w:t>外包装上无产地、品牌等商品必备标识的；</w:t>
      </w:r>
    </w:p>
    <w:p w14:paraId="24EE605C">
      <w:pPr>
        <w:pStyle w:val="138"/>
        <w:numPr>
          <w:ilvl w:val="0"/>
          <w:numId w:val="25"/>
        </w:numPr>
        <w:ind w:firstLine="420" w:firstLineChars="200"/>
      </w:pPr>
      <w:r>
        <w:rPr>
          <w:rFonts w:hint="eastAsia"/>
        </w:rPr>
        <w:t>成交供应商提供或夹带、附送假冒伪劣、变质商品的；</w:t>
      </w:r>
    </w:p>
    <w:p w14:paraId="67F37313">
      <w:pPr>
        <w:pStyle w:val="138"/>
        <w:numPr>
          <w:ilvl w:val="0"/>
          <w:numId w:val="24"/>
        </w:numPr>
        <w:ind w:firstLine="420" w:firstLineChars="200"/>
      </w:pPr>
      <w:r>
        <w:rPr>
          <w:rFonts w:hint="eastAsia"/>
        </w:rPr>
        <w:t>采购人在收取货两天内发现货物不合格的，有权退货。成交供应商应当在接到采购人通知后的 3 个工作日内重新提供符合要求的货品。若成交供应商未在上述期限内重新提供符合要求的货品，采购人有权自行采购同档次的货物，因此产生的费用由成交供应商承担，并且采购人有权要求成交供应商支付违约金，采购人有权要求成交供应商按处理天数每天支付合同金额的 1‰作为违约金。</w:t>
      </w:r>
    </w:p>
    <w:p w14:paraId="01928EF3">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质量保证</w:t>
      </w:r>
    </w:p>
    <w:p w14:paraId="6E82BB18">
      <w:pPr>
        <w:pStyle w:val="138"/>
        <w:numPr>
          <w:ilvl w:val="0"/>
          <w:numId w:val="26"/>
        </w:numPr>
        <w:ind w:firstLine="420" w:firstLineChars="200"/>
      </w:pPr>
      <w:r>
        <w:rPr>
          <w:rFonts w:hint="eastAsia"/>
        </w:rPr>
        <w:t>成交供应商所送商品品牌及型号必须按照本项目需求书提供。</w:t>
      </w:r>
    </w:p>
    <w:p w14:paraId="2850781D">
      <w:pPr>
        <w:pStyle w:val="138"/>
        <w:numPr>
          <w:ilvl w:val="0"/>
          <w:numId w:val="26"/>
        </w:numPr>
        <w:ind w:firstLine="420" w:firstLineChars="200"/>
      </w:pPr>
      <w:r>
        <w:rPr>
          <w:rFonts w:hint="eastAsia"/>
        </w:rPr>
        <w:t>成交供应商不得供应或夹带、附送假冒伪劣、变质商品，有标注生产日期的货物，生产日期应在供货日前3个月内。</w:t>
      </w:r>
    </w:p>
    <w:p w14:paraId="321CC13C">
      <w:pPr>
        <w:pStyle w:val="138"/>
        <w:numPr>
          <w:ilvl w:val="0"/>
          <w:numId w:val="26"/>
        </w:numPr>
        <w:ind w:firstLine="420" w:firstLineChars="200"/>
      </w:pPr>
      <w:r>
        <w:rPr>
          <w:rFonts w:hint="eastAsia"/>
        </w:rPr>
        <w:t>成交供应商所送商品必须符合国家质量标准。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142DE654">
      <w:pPr>
        <w:pStyle w:val="138"/>
        <w:numPr>
          <w:ilvl w:val="0"/>
          <w:numId w:val="26"/>
        </w:numPr>
        <w:ind w:firstLine="420" w:firstLineChars="200"/>
      </w:pPr>
      <w:r>
        <w:rPr>
          <w:rFonts w:hint="eastAsia"/>
        </w:rPr>
        <w:t>成交供应商在合同履行中，有任何违约事项的，采购人应记录在案，以作下次</w:t>
      </w:r>
      <w:r>
        <w:rPr>
          <w:rFonts w:hint="eastAsia"/>
          <w:lang w:val="en-US" w:eastAsia="zh-CN"/>
        </w:rPr>
        <w:t>成交</w:t>
      </w:r>
      <w:r>
        <w:rPr>
          <w:rFonts w:hint="eastAsia"/>
        </w:rPr>
        <w:t>供应商参与竞价时的信誉考察及评标因素。</w:t>
      </w:r>
    </w:p>
    <w:p w14:paraId="3FE9DB97">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价格原则</w:t>
      </w:r>
      <w:bookmarkStart w:id="4" w:name="_Toc595"/>
      <w:bookmarkStart w:id="5" w:name="_Toc22109"/>
    </w:p>
    <w:p w14:paraId="0999F6BE">
      <w:pPr>
        <w:pStyle w:val="11"/>
        <w:tabs>
          <w:tab w:val="left" w:pos="540"/>
        </w:tabs>
        <w:adjustRightInd w:val="0"/>
        <w:snapToGrid w:val="0"/>
        <w:spacing w:line="360" w:lineRule="auto"/>
        <w:ind w:firstLine="420" w:firstLineChars="200"/>
        <w:rPr>
          <w:rFonts w:hAnsi="宋体" w:cs="宋体"/>
          <w:b/>
          <w:bCs/>
          <w:color w:val="000000"/>
          <w:sz w:val="21"/>
        </w:rPr>
      </w:pPr>
      <w:r>
        <w:rPr>
          <w:rFonts w:hint="eastAsia" w:hAnsi="宋体"/>
          <w:sz w:val="21"/>
        </w:rPr>
        <w:t>价格原则：合同签订后，不作价格调整。</w:t>
      </w:r>
      <w:bookmarkEnd w:id="4"/>
      <w:bookmarkEnd w:id="5"/>
    </w:p>
    <w:p w14:paraId="729B840D">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违约责任</w:t>
      </w:r>
    </w:p>
    <w:p w14:paraId="5325ED4B">
      <w:pPr>
        <w:pStyle w:val="138"/>
        <w:numPr>
          <w:ilvl w:val="0"/>
          <w:numId w:val="27"/>
        </w:numPr>
        <w:ind w:firstLine="420" w:firstLineChars="200"/>
      </w:pPr>
      <w:r>
        <w:rPr>
          <w:rFonts w:hint="eastAsia"/>
        </w:rPr>
        <w:t>合同签订后，有下列情形的，视作违约：</w:t>
      </w:r>
    </w:p>
    <w:p w14:paraId="710D38C6">
      <w:pPr>
        <w:pStyle w:val="138"/>
        <w:ind w:firstLine="420" w:firstLineChars="200"/>
      </w:pPr>
      <w:r>
        <w:rPr>
          <w:rFonts w:hint="eastAsia"/>
        </w:rPr>
        <w:t>未经采购人同意，成交供应商擅自变更商品名称或品牌、产地、规格、型号等实质内容的，扣罚履约保证金20%；</w:t>
      </w:r>
    </w:p>
    <w:p w14:paraId="2347FEAA">
      <w:pPr>
        <w:pStyle w:val="138"/>
        <w:ind w:firstLine="420" w:firstLineChars="200"/>
      </w:pPr>
      <w:r>
        <w:rPr>
          <w:rFonts w:hint="eastAsia"/>
        </w:rPr>
        <w:t>交货时，成交供应商仍未提供该商品已经断货的有效的证明材料的，扣罚履约保证金5%；</w:t>
      </w:r>
    </w:p>
    <w:p w14:paraId="1C01879E">
      <w:pPr>
        <w:pStyle w:val="138"/>
        <w:ind w:firstLine="420" w:firstLineChars="200"/>
      </w:pPr>
      <w:r>
        <w:rPr>
          <w:rFonts w:hint="eastAsia"/>
        </w:rPr>
        <w:t>收货时发现商品短少的，成交供应商未在三日内按时补充的，扣罚履约保证金10%；</w:t>
      </w:r>
    </w:p>
    <w:p w14:paraId="01BC734C">
      <w:pPr>
        <w:pStyle w:val="138"/>
        <w:ind w:firstLine="420" w:firstLineChars="200"/>
      </w:pPr>
      <w:r>
        <w:rPr>
          <w:rFonts w:hint="eastAsia"/>
        </w:rPr>
        <w:t>成交供应商提供或夹带、附送假冒伪劣、变质商品的，扣罚履约保证金50%；</w:t>
      </w:r>
    </w:p>
    <w:p w14:paraId="359FD53F">
      <w:pPr>
        <w:pStyle w:val="138"/>
        <w:ind w:firstLine="420" w:firstLineChars="200"/>
      </w:pPr>
      <w:r>
        <w:rPr>
          <w:rFonts w:hint="eastAsia"/>
        </w:rPr>
        <w:t>成交供应商不按计划送货的(不可抗力除外)扣罚履约保证金10%；</w:t>
      </w:r>
    </w:p>
    <w:p w14:paraId="4FC492ED">
      <w:pPr>
        <w:pStyle w:val="138"/>
        <w:ind w:firstLine="420" w:firstLineChars="200"/>
      </w:pPr>
      <w:r>
        <w:rPr>
          <w:rFonts w:hint="eastAsia"/>
        </w:rPr>
        <w:t>采购人退货后，成交供应商必须在三日内补齐退货的商品，未按时补齐扣罚履约保证金10%。</w:t>
      </w:r>
    </w:p>
    <w:p w14:paraId="4345720D">
      <w:pPr>
        <w:pStyle w:val="138"/>
        <w:ind w:firstLine="420" w:firstLineChars="200"/>
      </w:pPr>
      <w:r>
        <w:rPr>
          <w:rFonts w:hint="eastAsia"/>
        </w:rPr>
        <w:t>成交供应商以获取不当利益为目的或以降低供货质量等手段，给予采购人工作人员好处费、赠送物品，向采购人工作人员行贿等损害采购人利益行为的，扣罚履约保证金20%。</w:t>
      </w:r>
    </w:p>
    <w:p w14:paraId="5A354266">
      <w:pPr>
        <w:pStyle w:val="138"/>
        <w:ind w:firstLine="420" w:firstLineChars="200"/>
      </w:pPr>
      <w:r>
        <w:rPr>
          <w:rFonts w:hint="eastAsia"/>
        </w:rPr>
        <w:t>依法应由采购人享有的原商品的附赠品(商品标注为准)，成交供应商拒不返还的，扣罚履约保证金10%；</w:t>
      </w:r>
    </w:p>
    <w:p w14:paraId="48412F8D">
      <w:pPr>
        <w:pStyle w:val="138"/>
        <w:ind w:firstLine="420" w:firstLineChars="200"/>
      </w:pPr>
      <w:r>
        <w:rPr>
          <w:rFonts w:hint="eastAsia"/>
        </w:rPr>
        <w:t>成交供应商提供或夹带、附送假冒伪劣、变质商品的，扣罚履约保证金50%；</w:t>
      </w:r>
    </w:p>
    <w:p w14:paraId="07CA0EAA">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履约保证金和违约金计算</w:t>
      </w:r>
    </w:p>
    <w:p w14:paraId="6DA14C73">
      <w:pPr>
        <w:pStyle w:val="138"/>
        <w:numPr>
          <w:ilvl w:val="0"/>
          <w:numId w:val="28"/>
        </w:numPr>
        <w:ind w:firstLine="420" w:firstLineChars="200"/>
      </w:pPr>
      <w:r>
        <w:rPr>
          <w:rFonts w:hint="eastAsia"/>
        </w:rPr>
        <w:t>合同签订后10个工作日内，成交供应商须将合同总金额的5%的履约保证金支付至采购人指定账户。如成交供应商逾期未足额支付履约保证金的，采购人有权单方面立即解除本项目合同，如因此造成采购人重新竞价等损失的，采购人保留追究权利。在采购人服务期结束之日起30个工作日内，采购人一次性无息退还履约保证金。</w:t>
      </w:r>
    </w:p>
    <w:p w14:paraId="5FFEB68F">
      <w:pPr>
        <w:pStyle w:val="138"/>
        <w:numPr>
          <w:ilvl w:val="0"/>
          <w:numId w:val="28"/>
        </w:numPr>
        <w:ind w:firstLine="420" w:firstLineChars="200"/>
      </w:pPr>
      <w:r>
        <w:rPr>
          <w:rFonts w:hint="eastAsia"/>
        </w:rPr>
        <w:t>如在合同执行期间因成交供应商违约导致履约保证金部分扣除，成交供应商须在五个工作日内将扣除的履约保证金补齐。如成交供应商未在规定时间内补足履约保证金，采购人有权从成交供应商的货款中直接扣除相应金额，若货款不足以扣除，采购人有权要求成交供应商按逾期天数每天支付合同金额的 1‰作为违约金。</w:t>
      </w:r>
    </w:p>
    <w:p w14:paraId="49AE839C">
      <w:pPr>
        <w:pStyle w:val="138"/>
        <w:numPr>
          <w:ilvl w:val="0"/>
          <w:numId w:val="28"/>
        </w:numPr>
        <w:ind w:firstLine="420" w:firstLineChars="200"/>
      </w:pPr>
      <w:r>
        <w:rPr>
          <w:rFonts w:hint="eastAsia"/>
        </w:rPr>
        <w:t>合同期内，如成交供应商累计扣罚履约保证金达到200%（含200%）以上（即合同金额10%）或累计被扣除履约保证金超过5次（含5次）违约行为，采购人有权立即单方解除本合同，并要求成交供应商按合同总价款的 10%计付违约金。</w:t>
      </w:r>
    </w:p>
    <w:p w14:paraId="46FBD495">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货款结算及付款</w:t>
      </w:r>
    </w:p>
    <w:p w14:paraId="46173AF6">
      <w:pPr>
        <w:pStyle w:val="138"/>
        <w:numPr>
          <w:ilvl w:val="0"/>
          <w:numId w:val="29"/>
        </w:numPr>
        <w:ind w:firstLine="420" w:firstLineChars="200"/>
      </w:pPr>
      <w:r>
        <w:rPr>
          <w:rFonts w:hint="eastAsia"/>
        </w:rPr>
        <w:t>货物包装、运输、发票、税等费用由成交供应商负担。</w:t>
      </w:r>
    </w:p>
    <w:p w14:paraId="043DB940">
      <w:pPr>
        <w:pStyle w:val="138"/>
        <w:numPr>
          <w:ilvl w:val="0"/>
          <w:numId w:val="29"/>
        </w:numPr>
        <w:ind w:firstLine="420" w:firstLineChars="200"/>
      </w:pPr>
      <w:r>
        <w:rPr>
          <w:rFonts w:hint="eastAsia"/>
        </w:rPr>
        <w:t>项目完成验收后结算，采购人在收到发票后15个工作日内以银行转账方式进行一次性支付。如采购人逾期付款，每逾期一天，采购人应向成交供应商支付合同金额的 1‰作为违约金，但成交供应商应确保所提供的发票等结算文件符合采购人的要求，否则采购人有权相应顺延付款时间且不承担违约责任。</w:t>
      </w:r>
    </w:p>
    <w:p w14:paraId="4EF88379">
      <w:pPr>
        <w:pStyle w:val="138"/>
        <w:numPr>
          <w:ilvl w:val="0"/>
          <w:numId w:val="29"/>
        </w:numPr>
        <w:ind w:firstLine="420" w:firstLineChars="200"/>
      </w:pPr>
      <w:r>
        <w:rPr>
          <w:rFonts w:hint="eastAsia"/>
        </w:rPr>
        <w:t>付款方式：采用银行转账、银行汇付（含电汇）等方式。</w:t>
      </w:r>
    </w:p>
    <w:p w14:paraId="2ED88DC7">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其他</w:t>
      </w:r>
    </w:p>
    <w:p w14:paraId="44C3D672">
      <w:pPr>
        <w:pStyle w:val="138"/>
        <w:numPr>
          <w:ilvl w:val="0"/>
          <w:numId w:val="30"/>
        </w:numPr>
        <w:ind w:firstLine="420" w:firstLineChars="200"/>
      </w:pPr>
      <w:r>
        <w:rPr>
          <w:rFonts w:hint="eastAsia"/>
        </w:rPr>
        <w:t>未经采购人书面同意，成交供应商不得擅自转让部分或全部合同项下义务。</w:t>
      </w:r>
    </w:p>
    <w:p w14:paraId="2806B460">
      <w:pPr>
        <w:pStyle w:val="138"/>
        <w:numPr>
          <w:ilvl w:val="0"/>
          <w:numId w:val="30"/>
        </w:numPr>
        <w:ind w:firstLine="420" w:firstLineChars="200"/>
      </w:pPr>
      <w:r>
        <w:rPr>
          <w:rFonts w:hint="eastAsia"/>
        </w:rPr>
        <w:t>争议解决方式：因履行本项目合同产生的纠纷，双方应友好协商解决，协商不成的，任何一方均有权向采购人所在地人民法院诉讼解决。</w:t>
      </w:r>
      <w:bookmarkEnd w:id="0"/>
    </w:p>
    <w:p w14:paraId="24427C00">
      <w:pPr>
        <w:pStyle w:val="11"/>
        <w:numPr>
          <w:ilvl w:val="0"/>
          <w:numId w:val="15"/>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附件：防汛物资采购价格清单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51"/>
        <w:gridCol w:w="2228"/>
        <w:gridCol w:w="2991"/>
        <w:gridCol w:w="667"/>
        <w:gridCol w:w="701"/>
        <w:gridCol w:w="1136"/>
        <w:gridCol w:w="1064"/>
      </w:tblGrid>
      <w:tr w14:paraId="678E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noWrap/>
            <w:vAlign w:val="center"/>
          </w:tcPr>
          <w:p w14:paraId="259BDD86">
            <w:pPr>
              <w:widowControl/>
              <w:jc w:val="center"/>
              <w:textAlignment w:val="center"/>
              <w:rPr>
                <w:rFonts w:ascii="宋体" w:hAnsi="宋体"/>
                <w:color w:val="000000"/>
                <w:szCs w:val="21"/>
              </w:rPr>
            </w:pPr>
            <w:r>
              <w:rPr>
                <w:rFonts w:hint="eastAsia" w:ascii="宋体" w:hAnsi="宋体"/>
                <w:b/>
                <w:bCs/>
                <w:color w:val="000000"/>
                <w:kern w:val="0"/>
                <w:szCs w:val="21"/>
                <w:lang w:bidi="ar"/>
              </w:rPr>
              <w:t>防汛物资价格清单</w:t>
            </w:r>
          </w:p>
        </w:tc>
      </w:tr>
      <w:tr w14:paraId="74C4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vAlign w:val="center"/>
          </w:tcPr>
          <w:p w14:paraId="53CCD3D1">
            <w:pPr>
              <w:widowControl/>
              <w:jc w:val="center"/>
              <w:textAlignment w:val="center"/>
              <w:rPr>
                <w:rFonts w:ascii="宋体" w:hAnsi="宋体"/>
                <w:b/>
                <w:bCs/>
                <w:szCs w:val="21"/>
              </w:rPr>
            </w:pPr>
            <w:r>
              <w:rPr>
                <w:rFonts w:hint="eastAsia" w:ascii="宋体" w:hAnsi="宋体"/>
                <w:b/>
                <w:bCs/>
                <w:kern w:val="0"/>
                <w:szCs w:val="21"/>
                <w:lang w:bidi="ar"/>
              </w:rPr>
              <w:t>序号</w:t>
            </w:r>
          </w:p>
        </w:tc>
        <w:tc>
          <w:tcPr>
            <w:tcW w:w="377" w:type="pct"/>
            <w:vAlign w:val="center"/>
          </w:tcPr>
          <w:p w14:paraId="73E6EA4A">
            <w:pPr>
              <w:widowControl/>
              <w:jc w:val="center"/>
              <w:textAlignment w:val="center"/>
              <w:rPr>
                <w:rFonts w:ascii="宋体" w:hAnsi="宋体"/>
                <w:b/>
                <w:bCs/>
                <w:szCs w:val="21"/>
              </w:rPr>
            </w:pPr>
            <w:r>
              <w:rPr>
                <w:rFonts w:hint="eastAsia" w:ascii="宋体" w:hAnsi="宋体"/>
                <w:b/>
                <w:bCs/>
                <w:kern w:val="0"/>
                <w:szCs w:val="21"/>
                <w:lang w:bidi="ar"/>
              </w:rPr>
              <w:t>设备名称</w:t>
            </w:r>
          </w:p>
        </w:tc>
        <w:tc>
          <w:tcPr>
            <w:tcW w:w="1118" w:type="pct"/>
            <w:vAlign w:val="center"/>
          </w:tcPr>
          <w:p w14:paraId="7CB71243">
            <w:pPr>
              <w:widowControl/>
              <w:jc w:val="center"/>
              <w:textAlignment w:val="center"/>
              <w:rPr>
                <w:rFonts w:ascii="宋体" w:hAnsi="宋体"/>
                <w:b/>
                <w:bCs/>
                <w:szCs w:val="21"/>
              </w:rPr>
            </w:pPr>
            <w:r>
              <w:rPr>
                <w:rFonts w:hint="eastAsia" w:ascii="宋体" w:hAnsi="宋体"/>
                <w:b/>
                <w:bCs/>
                <w:kern w:val="0"/>
                <w:szCs w:val="21"/>
                <w:lang w:bidi="ar"/>
              </w:rPr>
              <w:t>设备参数</w:t>
            </w:r>
          </w:p>
        </w:tc>
        <w:tc>
          <w:tcPr>
            <w:tcW w:w="1501" w:type="pct"/>
            <w:vAlign w:val="center"/>
          </w:tcPr>
          <w:p w14:paraId="16449E70">
            <w:pPr>
              <w:widowControl/>
              <w:jc w:val="center"/>
              <w:textAlignment w:val="center"/>
              <w:rPr>
                <w:rFonts w:ascii="宋体" w:hAnsi="宋体"/>
                <w:b/>
                <w:bCs/>
                <w:szCs w:val="21"/>
              </w:rPr>
            </w:pPr>
            <w:r>
              <w:rPr>
                <w:rFonts w:hint="eastAsia" w:ascii="宋体" w:hAnsi="宋体"/>
                <w:b/>
                <w:bCs/>
                <w:kern w:val="0"/>
                <w:szCs w:val="21"/>
                <w:lang w:bidi="ar"/>
              </w:rPr>
              <w:t>图示</w:t>
            </w:r>
          </w:p>
        </w:tc>
        <w:tc>
          <w:tcPr>
            <w:tcW w:w="335" w:type="pct"/>
            <w:vAlign w:val="center"/>
          </w:tcPr>
          <w:p w14:paraId="617ED92C">
            <w:pPr>
              <w:widowControl/>
              <w:jc w:val="center"/>
              <w:textAlignment w:val="center"/>
              <w:rPr>
                <w:rFonts w:ascii="宋体" w:hAnsi="宋体"/>
                <w:b/>
                <w:bCs/>
                <w:szCs w:val="21"/>
              </w:rPr>
            </w:pPr>
            <w:r>
              <w:rPr>
                <w:rFonts w:hint="eastAsia" w:ascii="宋体" w:hAnsi="宋体"/>
                <w:b/>
                <w:bCs/>
                <w:kern w:val="0"/>
                <w:szCs w:val="21"/>
                <w:lang w:bidi="ar"/>
              </w:rPr>
              <w:t>单位</w:t>
            </w:r>
          </w:p>
        </w:tc>
        <w:tc>
          <w:tcPr>
            <w:tcW w:w="352" w:type="pct"/>
            <w:vAlign w:val="center"/>
          </w:tcPr>
          <w:p w14:paraId="5A5E4673">
            <w:pPr>
              <w:widowControl/>
              <w:jc w:val="center"/>
              <w:textAlignment w:val="center"/>
              <w:rPr>
                <w:rFonts w:ascii="宋体" w:hAnsi="宋体"/>
                <w:b/>
                <w:bCs/>
                <w:szCs w:val="21"/>
              </w:rPr>
            </w:pPr>
            <w:r>
              <w:rPr>
                <w:rFonts w:hint="eastAsia" w:ascii="宋体" w:hAnsi="宋体"/>
                <w:b/>
                <w:bCs/>
                <w:kern w:val="0"/>
                <w:szCs w:val="21"/>
                <w:lang w:bidi="ar"/>
              </w:rPr>
              <w:t>数量</w:t>
            </w:r>
          </w:p>
        </w:tc>
        <w:tc>
          <w:tcPr>
            <w:tcW w:w="570" w:type="pct"/>
            <w:vAlign w:val="center"/>
          </w:tcPr>
          <w:p w14:paraId="6DC17EF8">
            <w:pPr>
              <w:widowControl/>
              <w:jc w:val="center"/>
              <w:textAlignment w:val="center"/>
              <w:rPr>
                <w:rFonts w:ascii="宋体" w:hAnsi="宋体"/>
                <w:b/>
                <w:bCs/>
                <w:szCs w:val="21"/>
              </w:rPr>
            </w:pPr>
            <w:r>
              <w:rPr>
                <w:rFonts w:hint="eastAsia" w:ascii="宋体" w:hAnsi="宋体"/>
                <w:b/>
                <w:bCs/>
                <w:kern w:val="0"/>
                <w:szCs w:val="21"/>
                <w:lang w:bidi="ar"/>
              </w:rPr>
              <w:t>单价最高限价（元）</w:t>
            </w:r>
          </w:p>
        </w:tc>
        <w:tc>
          <w:tcPr>
            <w:tcW w:w="530" w:type="pct"/>
            <w:vAlign w:val="center"/>
          </w:tcPr>
          <w:p w14:paraId="3330DE17">
            <w:pPr>
              <w:widowControl/>
              <w:jc w:val="center"/>
              <w:textAlignment w:val="center"/>
              <w:rPr>
                <w:rFonts w:ascii="宋体" w:hAnsi="宋体"/>
                <w:b/>
                <w:bCs/>
                <w:szCs w:val="21"/>
              </w:rPr>
            </w:pPr>
            <w:r>
              <w:rPr>
                <w:rFonts w:hint="eastAsia" w:ascii="宋体" w:hAnsi="宋体"/>
                <w:b/>
                <w:bCs/>
                <w:kern w:val="0"/>
                <w:szCs w:val="21"/>
                <w:lang w:bidi="ar"/>
              </w:rPr>
              <w:t>小计限价（元）</w:t>
            </w:r>
          </w:p>
        </w:tc>
      </w:tr>
      <w:tr w14:paraId="314F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4086D11D">
            <w:pPr>
              <w:widowControl/>
              <w:jc w:val="center"/>
              <w:textAlignment w:val="center"/>
              <w:rPr>
                <w:rFonts w:ascii="宋体" w:hAnsi="宋体"/>
                <w:szCs w:val="21"/>
              </w:rPr>
            </w:pPr>
            <w:r>
              <w:rPr>
                <w:rFonts w:hint="eastAsia" w:ascii="宋体" w:hAnsi="宋体"/>
                <w:kern w:val="0"/>
                <w:szCs w:val="21"/>
                <w:lang w:bidi="ar"/>
              </w:rPr>
              <w:t>1</w:t>
            </w:r>
          </w:p>
        </w:tc>
        <w:tc>
          <w:tcPr>
            <w:tcW w:w="377" w:type="pct"/>
            <w:shd w:val="clear" w:color="auto" w:fill="auto"/>
            <w:vAlign w:val="center"/>
          </w:tcPr>
          <w:p w14:paraId="0F112BF7">
            <w:pPr>
              <w:widowControl/>
              <w:jc w:val="center"/>
              <w:textAlignment w:val="center"/>
              <w:rPr>
                <w:rFonts w:ascii="宋体" w:hAnsi="宋体"/>
                <w:szCs w:val="21"/>
              </w:rPr>
            </w:pPr>
            <w:r>
              <w:rPr>
                <w:rFonts w:hint="eastAsia" w:ascii="宋体" w:hAnsi="宋体"/>
                <w:kern w:val="0"/>
                <w:szCs w:val="21"/>
                <w:lang w:bidi="ar"/>
              </w:rPr>
              <w:t>移动发电机</w:t>
            </w:r>
          </w:p>
        </w:tc>
        <w:tc>
          <w:tcPr>
            <w:tcW w:w="1118" w:type="pct"/>
            <w:shd w:val="clear" w:color="auto" w:fill="auto"/>
            <w:vAlign w:val="center"/>
          </w:tcPr>
          <w:p w14:paraId="20D061D3">
            <w:pPr>
              <w:widowControl/>
              <w:jc w:val="center"/>
              <w:textAlignment w:val="center"/>
              <w:rPr>
                <w:rFonts w:ascii="宋体" w:hAnsi="宋体"/>
                <w:szCs w:val="21"/>
              </w:rPr>
            </w:pPr>
            <w:r>
              <w:rPr>
                <w:rFonts w:hint="eastAsia" w:ascii="宋体" w:hAnsi="宋体"/>
                <w:kern w:val="0"/>
                <w:szCs w:val="21"/>
                <w:lang w:bidi="ar"/>
              </w:rPr>
              <w:t>玉柴动力YC12000XE-3D型移动发电机，附四冲程机油1瓶、加油漏斗一套、过滤器1套、扳手工具1套、专用插头2个、16平方四芯RVV纯铜芯电线200米</w:t>
            </w:r>
          </w:p>
        </w:tc>
        <w:tc>
          <w:tcPr>
            <w:tcW w:w="1501" w:type="pct"/>
            <w:shd w:val="clear" w:color="auto" w:fill="auto"/>
            <w:vAlign w:val="center"/>
          </w:tcPr>
          <w:p w14:paraId="75458CE1">
            <w:pPr>
              <w:widowControl/>
              <w:jc w:val="center"/>
              <w:textAlignment w:val="center"/>
              <w:rPr>
                <w:rFonts w:ascii="宋体" w:hAnsi="宋体"/>
                <w:szCs w:val="21"/>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"/tmp/wps-zqjy/ksohtml/clip_cell_image7.png"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800225" cy="1809750"/>
                  <wp:effectExtent l="0" t="0" r="9525" b="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7"/>
                          <a:stretch>
                            <a:fillRect/>
                          </a:stretch>
                        </pic:blipFill>
                        <pic:spPr>
                          <a:xfrm>
                            <a:off x="0" y="0"/>
                            <a:ext cx="1800225" cy="1809750"/>
                          </a:xfrm>
                          <a:prstGeom prst="rect">
                            <a:avLst/>
                          </a:prstGeom>
                          <a:noFill/>
                          <a:ln>
                            <a:noFill/>
                          </a:ln>
                        </pic:spPr>
                      </pic:pic>
                    </a:graphicData>
                  </a:graphic>
                </wp:inline>
              </w:drawing>
            </w:r>
            <w:r>
              <w:rPr>
                <w:rFonts w:hint="eastAsia" w:ascii="宋体" w:hAnsi="宋体"/>
                <w:kern w:val="0"/>
                <w:szCs w:val="21"/>
                <w:lang w:bidi="ar"/>
              </w:rPr>
              <w:fldChar w:fldCharType="end"/>
            </w:r>
          </w:p>
        </w:tc>
        <w:tc>
          <w:tcPr>
            <w:tcW w:w="335" w:type="pct"/>
            <w:shd w:val="clear" w:color="auto" w:fill="auto"/>
            <w:vAlign w:val="center"/>
          </w:tcPr>
          <w:p w14:paraId="083A7A8B">
            <w:pPr>
              <w:widowControl/>
              <w:jc w:val="center"/>
              <w:textAlignment w:val="center"/>
              <w:rPr>
                <w:rFonts w:ascii="宋体" w:hAnsi="宋体"/>
                <w:szCs w:val="21"/>
              </w:rPr>
            </w:pPr>
            <w:r>
              <w:rPr>
                <w:rFonts w:hint="eastAsia" w:ascii="宋体" w:hAnsi="宋体"/>
                <w:kern w:val="0"/>
                <w:szCs w:val="21"/>
                <w:lang w:bidi="ar"/>
              </w:rPr>
              <w:t>台</w:t>
            </w:r>
          </w:p>
        </w:tc>
        <w:tc>
          <w:tcPr>
            <w:tcW w:w="352" w:type="pct"/>
            <w:shd w:val="clear" w:color="auto" w:fill="auto"/>
            <w:vAlign w:val="center"/>
          </w:tcPr>
          <w:p w14:paraId="467BE210">
            <w:pPr>
              <w:widowControl/>
              <w:jc w:val="center"/>
              <w:textAlignment w:val="center"/>
              <w:rPr>
                <w:rFonts w:ascii="宋体" w:hAnsi="宋体"/>
                <w:szCs w:val="21"/>
              </w:rPr>
            </w:pPr>
            <w:r>
              <w:rPr>
                <w:rFonts w:hint="eastAsia" w:ascii="宋体" w:hAnsi="宋体"/>
                <w:kern w:val="0"/>
                <w:szCs w:val="21"/>
                <w:lang w:bidi="ar"/>
              </w:rPr>
              <w:t>2</w:t>
            </w:r>
          </w:p>
        </w:tc>
        <w:tc>
          <w:tcPr>
            <w:tcW w:w="570" w:type="pct"/>
            <w:shd w:val="clear" w:color="auto" w:fill="FFFFFF" w:themeFill="background1"/>
            <w:vAlign w:val="center"/>
          </w:tcPr>
          <w:p w14:paraId="199C692A">
            <w:pPr>
              <w:widowControl/>
              <w:jc w:val="center"/>
              <w:textAlignment w:val="center"/>
              <w:rPr>
                <w:rFonts w:ascii="宋体" w:hAnsi="宋体"/>
                <w:kern w:val="0"/>
                <w:szCs w:val="21"/>
                <w:lang w:bidi="ar"/>
              </w:rPr>
            </w:pPr>
            <w:r>
              <w:rPr>
                <w:rFonts w:hint="eastAsia" w:ascii="宋体" w:hAnsi="宋体"/>
                <w:kern w:val="0"/>
                <w:szCs w:val="21"/>
                <w:lang w:bidi="ar"/>
              </w:rPr>
              <w:t>￥21,804.00</w:t>
            </w:r>
          </w:p>
        </w:tc>
        <w:tc>
          <w:tcPr>
            <w:tcW w:w="530" w:type="pct"/>
            <w:vAlign w:val="center"/>
          </w:tcPr>
          <w:p w14:paraId="207B3292">
            <w:pPr>
              <w:widowControl/>
              <w:jc w:val="center"/>
              <w:textAlignment w:val="center"/>
              <w:rPr>
                <w:rFonts w:ascii="宋体" w:hAnsi="宋体"/>
                <w:kern w:val="0"/>
                <w:szCs w:val="21"/>
                <w:lang w:bidi="ar"/>
              </w:rPr>
            </w:pPr>
            <w:r>
              <w:rPr>
                <w:rFonts w:hint="eastAsia" w:ascii="宋体" w:hAnsi="宋体"/>
                <w:kern w:val="0"/>
                <w:szCs w:val="21"/>
                <w:lang w:bidi="ar"/>
              </w:rPr>
              <w:t>￥43,608.00</w:t>
            </w:r>
          </w:p>
        </w:tc>
      </w:tr>
      <w:tr w14:paraId="398E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5F9F4DD5">
            <w:pPr>
              <w:widowControl/>
              <w:jc w:val="center"/>
              <w:textAlignment w:val="center"/>
              <w:rPr>
                <w:rFonts w:ascii="宋体" w:hAnsi="宋体"/>
                <w:szCs w:val="21"/>
              </w:rPr>
            </w:pPr>
            <w:r>
              <w:rPr>
                <w:rFonts w:hint="eastAsia" w:ascii="宋体" w:hAnsi="宋体"/>
                <w:kern w:val="0"/>
                <w:szCs w:val="21"/>
                <w:lang w:bidi="ar"/>
              </w:rPr>
              <w:t>2</w:t>
            </w:r>
          </w:p>
        </w:tc>
        <w:tc>
          <w:tcPr>
            <w:tcW w:w="377" w:type="pct"/>
            <w:shd w:val="clear" w:color="auto" w:fill="auto"/>
            <w:vAlign w:val="center"/>
          </w:tcPr>
          <w:p w14:paraId="7D79D66B">
            <w:pPr>
              <w:widowControl/>
              <w:jc w:val="center"/>
              <w:textAlignment w:val="center"/>
              <w:rPr>
                <w:rFonts w:ascii="宋体" w:hAnsi="宋体"/>
                <w:szCs w:val="21"/>
              </w:rPr>
            </w:pPr>
            <w:r>
              <w:rPr>
                <w:rFonts w:hint="eastAsia" w:ascii="宋体" w:hAnsi="宋体"/>
                <w:kern w:val="0"/>
                <w:szCs w:val="21"/>
                <w:lang w:bidi="ar"/>
              </w:rPr>
              <w:t>移动照明灯</w:t>
            </w:r>
          </w:p>
        </w:tc>
        <w:tc>
          <w:tcPr>
            <w:tcW w:w="1118" w:type="pct"/>
            <w:shd w:val="clear" w:color="auto" w:fill="auto"/>
            <w:vAlign w:val="center"/>
          </w:tcPr>
          <w:p w14:paraId="4623B23E">
            <w:pPr>
              <w:widowControl/>
              <w:jc w:val="center"/>
              <w:textAlignment w:val="center"/>
              <w:rPr>
                <w:rFonts w:ascii="宋体" w:hAnsi="宋体"/>
                <w:szCs w:val="21"/>
              </w:rPr>
            </w:pPr>
            <w:r>
              <w:rPr>
                <w:rFonts w:hint="eastAsia" w:ascii="宋体" w:hAnsi="宋体"/>
                <w:kern w:val="0"/>
                <w:szCs w:val="21"/>
                <w:lang w:bidi="ar"/>
              </w:rPr>
              <w:t>800W，电显遥控，可用时长10-20H，含升降支架</w:t>
            </w:r>
          </w:p>
        </w:tc>
        <w:tc>
          <w:tcPr>
            <w:tcW w:w="1501" w:type="pct"/>
            <w:shd w:val="clear" w:color="auto" w:fill="auto"/>
            <w:vAlign w:val="center"/>
          </w:tcPr>
          <w:p w14:paraId="6279D99A">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"/tmp/wps-zqjy/ksohtml/clip_cell_image3.png"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257300" cy="125730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8"/>
                          <a:stretch>
                            <a:fillRect/>
                          </a:stretch>
                        </pic:blipFill>
                        <pic:spPr>
                          <a:xfrm>
                            <a:off x="0" y="0"/>
                            <a:ext cx="1257300" cy="1257300"/>
                          </a:xfrm>
                          <a:prstGeom prst="rect">
                            <a:avLst/>
                          </a:prstGeom>
                          <a:noFill/>
                          <a:ln>
                            <a:noFill/>
                          </a:ln>
                        </pic:spPr>
                      </pic:pic>
                    </a:graphicData>
                  </a:graphic>
                </wp:inline>
              </w:drawing>
            </w:r>
            <w:r>
              <w:rPr>
                <w:rFonts w:hint="eastAsia" w:ascii="宋体" w:hAnsi="宋体"/>
                <w:kern w:val="0"/>
                <w:szCs w:val="21"/>
                <w:lang w:bidi="ar"/>
              </w:rPr>
              <w:fldChar w:fldCharType="end"/>
            </w:r>
          </w:p>
          <w:p w14:paraId="779DC40E">
            <w:pPr>
              <w:widowControl/>
              <w:jc w:val="center"/>
              <w:textAlignment w:val="center"/>
              <w:rPr>
                <w:rFonts w:ascii="宋体" w:hAnsi="宋体"/>
                <w:szCs w:val="21"/>
              </w:rPr>
            </w:pPr>
            <w:r>
              <w:rPr>
                <w:rFonts w:hint="eastAsia" w:ascii="宋体" w:hAnsi="宋体"/>
                <w:kern w:val="0"/>
                <w:szCs w:val="21"/>
                <w:lang w:bidi="ar"/>
              </w:rPr>
              <w:t>（该图片仅供参考）</w:t>
            </w:r>
          </w:p>
        </w:tc>
        <w:tc>
          <w:tcPr>
            <w:tcW w:w="335" w:type="pct"/>
            <w:shd w:val="clear" w:color="auto" w:fill="auto"/>
            <w:vAlign w:val="center"/>
          </w:tcPr>
          <w:p w14:paraId="1C2E44EC">
            <w:pPr>
              <w:widowControl/>
              <w:jc w:val="center"/>
              <w:textAlignment w:val="center"/>
              <w:rPr>
                <w:rFonts w:ascii="宋体" w:hAnsi="宋体"/>
                <w:szCs w:val="21"/>
              </w:rPr>
            </w:pPr>
            <w:r>
              <w:rPr>
                <w:rFonts w:hint="eastAsia" w:ascii="宋体" w:hAnsi="宋体"/>
                <w:kern w:val="0"/>
                <w:szCs w:val="21"/>
                <w:lang w:bidi="ar"/>
              </w:rPr>
              <w:t>台</w:t>
            </w:r>
          </w:p>
        </w:tc>
        <w:tc>
          <w:tcPr>
            <w:tcW w:w="352" w:type="pct"/>
            <w:shd w:val="clear" w:color="auto" w:fill="auto"/>
            <w:vAlign w:val="center"/>
          </w:tcPr>
          <w:p w14:paraId="3616CAD5">
            <w:pPr>
              <w:widowControl/>
              <w:jc w:val="center"/>
              <w:textAlignment w:val="center"/>
              <w:rPr>
                <w:rFonts w:ascii="宋体" w:hAnsi="宋体"/>
                <w:szCs w:val="21"/>
              </w:rPr>
            </w:pPr>
            <w:r>
              <w:rPr>
                <w:rFonts w:hint="eastAsia" w:ascii="宋体" w:hAnsi="宋体"/>
                <w:kern w:val="0"/>
                <w:szCs w:val="21"/>
                <w:lang w:bidi="ar"/>
              </w:rPr>
              <w:t>10</w:t>
            </w:r>
          </w:p>
        </w:tc>
        <w:tc>
          <w:tcPr>
            <w:tcW w:w="570" w:type="pct"/>
            <w:shd w:val="clear" w:color="auto" w:fill="FFFFFF" w:themeFill="background1"/>
            <w:vAlign w:val="center"/>
          </w:tcPr>
          <w:p w14:paraId="23701097">
            <w:pPr>
              <w:widowControl/>
              <w:jc w:val="center"/>
              <w:textAlignment w:val="center"/>
              <w:rPr>
                <w:rFonts w:ascii="宋体" w:hAnsi="宋体"/>
                <w:kern w:val="0"/>
                <w:szCs w:val="21"/>
                <w:lang w:bidi="ar"/>
              </w:rPr>
            </w:pPr>
            <w:r>
              <w:rPr>
                <w:rFonts w:hint="eastAsia" w:ascii="宋体" w:hAnsi="宋体"/>
                <w:kern w:val="0"/>
                <w:szCs w:val="21"/>
                <w:lang w:bidi="ar"/>
              </w:rPr>
              <w:t>￥263.00</w:t>
            </w:r>
          </w:p>
        </w:tc>
        <w:tc>
          <w:tcPr>
            <w:tcW w:w="530" w:type="pct"/>
            <w:vAlign w:val="center"/>
          </w:tcPr>
          <w:p w14:paraId="1D394813">
            <w:pPr>
              <w:widowControl/>
              <w:jc w:val="center"/>
              <w:textAlignment w:val="center"/>
              <w:rPr>
                <w:rFonts w:ascii="宋体" w:hAnsi="宋体"/>
                <w:kern w:val="0"/>
                <w:szCs w:val="21"/>
                <w:lang w:bidi="ar"/>
              </w:rPr>
            </w:pPr>
            <w:r>
              <w:rPr>
                <w:rFonts w:hint="eastAsia" w:ascii="宋体" w:hAnsi="宋体"/>
                <w:kern w:val="0"/>
                <w:szCs w:val="21"/>
                <w:lang w:bidi="ar"/>
              </w:rPr>
              <w:t>￥2,630.00</w:t>
            </w:r>
          </w:p>
        </w:tc>
      </w:tr>
      <w:tr w14:paraId="49B4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35232276">
            <w:pPr>
              <w:widowControl/>
              <w:jc w:val="center"/>
              <w:textAlignment w:val="center"/>
              <w:rPr>
                <w:rFonts w:ascii="宋体" w:hAnsi="宋体"/>
                <w:szCs w:val="21"/>
              </w:rPr>
            </w:pPr>
            <w:r>
              <w:rPr>
                <w:rFonts w:hint="eastAsia" w:ascii="宋体" w:hAnsi="宋体"/>
                <w:kern w:val="0"/>
                <w:szCs w:val="21"/>
                <w:lang w:bidi="ar"/>
              </w:rPr>
              <w:t>3</w:t>
            </w:r>
          </w:p>
        </w:tc>
        <w:tc>
          <w:tcPr>
            <w:tcW w:w="377" w:type="pct"/>
            <w:shd w:val="clear" w:color="auto" w:fill="auto"/>
            <w:vAlign w:val="center"/>
          </w:tcPr>
          <w:p w14:paraId="1FEDC9FB">
            <w:pPr>
              <w:widowControl/>
              <w:jc w:val="center"/>
              <w:textAlignment w:val="center"/>
              <w:rPr>
                <w:rFonts w:ascii="宋体" w:hAnsi="宋体"/>
                <w:szCs w:val="21"/>
              </w:rPr>
            </w:pPr>
            <w:r>
              <w:rPr>
                <w:rFonts w:hint="eastAsia" w:ascii="宋体" w:hAnsi="宋体"/>
                <w:kern w:val="0"/>
                <w:szCs w:val="21"/>
                <w:lang w:bidi="ar"/>
              </w:rPr>
              <w:t>防洪挡水板</w:t>
            </w:r>
          </w:p>
        </w:tc>
        <w:tc>
          <w:tcPr>
            <w:tcW w:w="1118" w:type="pct"/>
            <w:shd w:val="clear" w:color="auto" w:fill="auto"/>
            <w:vAlign w:val="center"/>
          </w:tcPr>
          <w:p w14:paraId="006A761C">
            <w:pPr>
              <w:widowControl/>
              <w:jc w:val="center"/>
              <w:textAlignment w:val="center"/>
              <w:rPr>
                <w:rFonts w:ascii="宋体" w:hAnsi="宋体"/>
                <w:szCs w:val="21"/>
              </w:rPr>
            </w:pPr>
            <w:r>
              <w:rPr>
                <w:rFonts w:hint="eastAsia" w:ascii="宋体" w:hAnsi="宋体"/>
                <w:kern w:val="0"/>
                <w:szCs w:val="21"/>
                <w:lang w:bidi="ar"/>
              </w:rPr>
              <w:t>L型，红色，长68cm，宽70cm，高52cm</w:t>
            </w:r>
          </w:p>
        </w:tc>
        <w:tc>
          <w:tcPr>
            <w:tcW w:w="1501" w:type="pct"/>
            <w:shd w:val="clear" w:color="auto" w:fill="auto"/>
            <w:vAlign w:val="center"/>
          </w:tcPr>
          <w:p w14:paraId="0F41AE12">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"/tmp/wps-zqjy/ksohtml/clip_cell_image5.png"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257300" cy="12573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9"/>
                          <a:stretch>
                            <a:fillRect/>
                          </a:stretch>
                        </pic:blipFill>
                        <pic:spPr>
                          <a:xfrm>
                            <a:off x="0" y="0"/>
                            <a:ext cx="1257300" cy="1257300"/>
                          </a:xfrm>
                          <a:prstGeom prst="rect">
                            <a:avLst/>
                          </a:prstGeom>
                          <a:noFill/>
                          <a:ln>
                            <a:noFill/>
                          </a:ln>
                        </pic:spPr>
                      </pic:pic>
                    </a:graphicData>
                  </a:graphic>
                </wp:inline>
              </w:drawing>
            </w:r>
            <w:r>
              <w:rPr>
                <w:rFonts w:hint="eastAsia" w:ascii="宋体" w:hAnsi="宋体"/>
                <w:kern w:val="0"/>
                <w:szCs w:val="21"/>
                <w:lang w:bidi="ar"/>
              </w:rPr>
              <w:fldChar w:fldCharType="end"/>
            </w:r>
          </w:p>
          <w:p w14:paraId="65BFAE39">
            <w:pPr>
              <w:widowControl/>
              <w:jc w:val="center"/>
              <w:textAlignment w:val="center"/>
            </w:pPr>
            <w:r>
              <w:rPr>
                <w:rFonts w:hint="eastAsia" w:ascii="宋体" w:hAnsi="宋体"/>
                <w:kern w:val="0"/>
                <w:szCs w:val="21"/>
                <w:lang w:bidi="ar"/>
              </w:rPr>
              <w:t>（该图片仅供参考）</w:t>
            </w:r>
          </w:p>
        </w:tc>
        <w:tc>
          <w:tcPr>
            <w:tcW w:w="335" w:type="pct"/>
            <w:shd w:val="clear" w:color="auto" w:fill="auto"/>
            <w:vAlign w:val="center"/>
          </w:tcPr>
          <w:p w14:paraId="5900BFA1">
            <w:pPr>
              <w:widowControl/>
              <w:jc w:val="center"/>
              <w:textAlignment w:val="center"/>
              <w:rPr>
                <w:rFonts w:ascii="宋体" w:hAnsi="宋体"/>
                <w:szCs w:val="21"/>
              </w:rPr>
            </w:pPr>
            <w:r>
              <w:rPr>
                <w:rFonts w:hint="eastAsia" w:ascii="宋体" w:hAnsi="宋体"/>
                <w:kern w:val="0"/>
                <w:szCs w:val="21"/>
                <w:lang w:bidi="ar"/>
              </w:rPr>
              <w:t>块</w:t>
            </w:r>
          </w:p>
        </w:tc>
        <w:tc>
          <w:tcPr>
            <w:tcW w:w="352" w:type="pct"/>
            <w:shd w:val="clear" w:color="auto" w:fill="auto"/>
            <w:vAlign w:val="center"/>
          </w:tcPr>
          <w:p w14:paraId="0CC4771B">
            <w:pPr>
              <w:widowControl/>
              <w:jc w:val="center"/>
              <w:textAlignment w:val="center"/>
              <w:rPr>
                <w:rFonts w:ascii="宋体" w:hAnsi="宋体"/>
                <w:szCs w:val="21"/>
              </w:rPr>
            </w:pPr>
            <w:r>
              <w:rPr>
                <w:rFonts w:hint="eastAsia" w:ascii="宋体" w:hAnsi="宋体"/>
                <w:kern w:val="0"/>
                <w:szCs w:val="21"/>
                <w:lang w:bidi="ar"/>
              </w:rPr>
              <w:t>200</w:t>
            </w:r>
          </w:p>
        </w:tc>
        <w:tc>
          <w:tcPr>
            <w:tcW w:w="570" w:type="pct"/>
            <w:shd w:val="clear" w:color="auto" w:fill="FFFFFF" w:themeFill="background1"/>
            <w:vAlign w:val="center"/>
          </w:tcPr>
          <w:p w14:paraId="681A04B2">
            <w:pPr>
              <w:widowControl/>
              <w:jc w:val="center"/>
              <w:textAlignment w:val="center"/>
              <w:rPr>
                <w:rFonts w:ascii="宋体" w:hAnsi="宋体"/>
                <w:kern w:val="0"/>
                <w:szCs w:val="21"/>
                <w:lang w:bidi="ar"/>
              </w:rPr>
            </w:pPr>
            <w:r>
              <w:rPr>
                <w:rFonts w:hint="eastAsia" w:ascii="宋体" w:hAnsi="宋体"/>
                <w:kern w:val="0"/>
                <w:szCs w:val="21"/>
                <w:lang w:bidi="ar"/>
              </w:rPr>
              <w:t>￥102.40</w:t>
            </w:r>
          </w:p>
        </w:tc>
        <w:tc>
          <w:tcPr>
            <w:tcW w:w="530" w:type="pct"/>
            <w:vAlign w:val="center"/>
          </w:tcPr>
          <w:p w14:paraId="49332237">
            <w:pPr>
              <w:widowControl/>
              <w:jc w:val="center"/>
              <w:textAlignment w:val="center"/>
              <w:rPr>
                <w:rFonts w:ascii="宋体" w:hAnsi="宋体"/>
                <w:kern w:val="0"/>
                <w:szCs w:val="21"/>
                <w:lang w:bidi="ar"/>
              </w:rPr>
            </w:pPr>
            <w:r>
              <w:rPr>
                <w:rFonts w:hint="eastAsia" w:ascii="宋体" w:hAnsi="宋体"/>
                <w:kern w:val="0"/>
                <w:szCs w:val="21"/>
                <w:lang w:bidi="ar"/>
              </w:rPr>
              <w:t>￥20,480.00</w:t>
            </w:r>
          </w:p>
        </w:tc>
      </w:tr>
      <w:tr w14:paraId="6AB2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2AD2B336">
            <w:pPr>
              <w:widowControl/>
              <w:jc w:val="center"/>
              <w:textAlignment w:val="center"/>
              <w:rPr>
                <w:rFonts w:ascii="宋体" w:hAnsi="宋体"/>
                <w:szCs w:val="21"/>
              </w:rPr>
            </w:pPr>
            <w:r>
              <w:rPr>
                <w:rFonts w:hint="eastAsia" w:ascii="宋体" w:hAnsi="宋体"/>
                <w:kern w:val="0"/>
                <w:szCs w:val="21"/>
                <w:lang w:bidi="ar"/>
              </w:rPr>
              <w:t>4</w:t>
            </w:r>
          </w:p>
        </w:tc>
        <w:tc>
          <w:tcPr>
            <w:tcW w:w="377" w:type="pct"/>
            <w:shd w:val="clear" w:color="auto" w:fill="auto"/>
            <w:vAlign w:val="center"/>
          </w:tcPr>
          <w:p w14:paraId="7031F395">
            <w:pPr>
              <w:widowControl/>
              <w:jc w:val="center"/>
              <w:textAlignment w:val="center"/>
              <w:rPr>
                <w:rFonts w:ascii="宋体" w:hAnsi="宋体"/>
                <w:szCs w:val="21"/>
              </w:rPr>
            </w:pPr>
            <w:r>
              <w:rPr>
                <w:rFonts w:hint="eastAsia" w:ascii="宋体" w:hAnsi="宋体"/>
                <w:kern w:val="0"/>
                <w:szCs w:val="21"/>
                <w:lang w:bidi="ar"/>
              </w:rPr>
              <w:t>吸水膨胀防汛沙袋</w:t>
            </w:r>
          </w:p>
        </w:tc>
        <w:tc>
          <w:tcPr>
            <w:tcW w:w="1118" w:type="pct"/>
            <w:shd w:val="clear" w:color="auto" w:fill="auto"/>
            <w:vAlign w:val="center"/>
          </w:tcPr>
          <w:p w14:paraId="475A9A95">
            <w:pPr>
              <w:widowControl/>
              <w:jc w:val="center"/>
              <w:textAlignment w:val="center"/>
              <w:rPr>
                <w:rFonts w:ascii="宋体" w:hAnsi="宋体"/>
                <w:szCs w:val="21"/>
              </w:rPr>
            </w:pPr>
            <w:r>
              <w:rPr>
                <w:rFonts w:hint="eastAsia" w:ascii="宋体" w:hAnsi="宋体"/>
                <w:kern w:val="0"/>
                <w:szCs w:val="21"/>
                <w:lang w:bidi="ar"/>
              </w:rPr>
              <w:t>帆布，绿色，40*80cm</w:t>
            </w:r>
          </w:p>
        </w:tc>
        <w:tc>
          <w:tcPr>
            <w:tcW w:w="1501" w:type="pct"/>
            <w:shd w:val="clear" w:color="auto" w:fill="auto"/>
            <w:vAlign w:val="center"/>
          </w:tcPr>
          <w:p w14:paraId="79E91EEA">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"/tmp/wps-zqjy/ksohtml/clip_cell_image6.png"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390650" cy="12573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10"/>
                          <a:stretch>
                            <a:fillRect/>
                          </a:stretch>
                        </pic:blipFill>
                        <pic:spPr>
                          <a:xfrm>
                            <a:off x="0" y="0"/>
                            <a:ext cx="1390650" cy="1257300"/>
                          </a:xfrm>
                          <a:prstGeom prst="rect">
                            <a:avLst/>
                          </a:prstGeom>
                          <a:noFill/>
                          <a:ln>
                            <a:noFill/>
                          </a:ln>
                        </pic:spPr>
                      </pic:pic>
                    </a:graphicData>
                  </a:graphic>
                </wp:inline>
              </w:drawing>
            </w:r>
            <w:r>
              <w:rPr>
                <w:rFonts w:hint="eastAsia" w:ascii="宋体" w:hAnsi="宋体"/>
                <w:kern w:val="0"/>
                <w:szCs w:val="21"/>
                <w:lang w:bidi="ar"/>
              </w:rPr>
              <w:fldChar w:fldCharType="end"/>
            </w:r>
          </w:p>
          <w:p w14:paraId="7F540093">
            <w:pPr>
              <w:widowControl/>
              <w:jc w:val="center"/>
              <w:textAlignment w:val="center"/>
            </w:pPr>
            <w:r>
              <w:rPr>
                <w:rFonts w:hint="eastAsia" w:ascii="宋体" w:hAnsi="宋体"/>
                <w:kern w:val="0"/>
                <w:szCs w:val="21"/>
                <w:lang w:bidi="ar"/>
              </w:rPr>
              <w:t>（该图片仅供参考）</w:t>
            </w:r>
          </w:p>
        </w:tc>
        <w:tc>
          <w:tcPr>
            <w:tcW w:w="335" w:type="pct"/>
            <w:shd w:val="clear" w:color="auto" w:fill="auto"/>
            <w:vAlign w:val="center"/>
          </w:tcPr>
          <w:p w14:paraId="23F038AF">
            <w:pPr>
              <w:widowControl/>
              <w:jc w:val="center"/>
              <w:textAlignment w:val="center"/>
              <w:rPr>
                <w:rFonts w:ascii="宋体" w:hAnsi="宋体"/>
                <w:szCs w:val="21"/>
              </w:rPr>
            </w:pPr>
            <w:r>
              <w:rPr>
                <w:rFonts w:hint="eastAsia" w:ascii="宋体" w:hAnsi="宋体"/>
                <w:kern w:val="0"/>
                <w:szCs w:val="21"/>
                <w:lang w:bidi="ar"/>
              </w:rPr>
              <w:t>个</w:t>
            </w:r>
          </w:p>
        </w:tc>
        <w:tc>
          <w:tcPr>
            <w:tcW w:w="352" w:type="pct"/>
            <w:shd w:val="clear" w:color="auto" w:fill="auto"/>
            <w:vAlign w:val="center"/>
          </w:tcPr>
          <w:p w14:paraId="51BB48DF">
            <w:pPr>
              <w:widowControl/>
              <w:jc w:val="center"/>
              <w:textAlignment w:val="center"/>
              <w:rPr>
                <w:rFonts w:ascii="宋体" w:hAnsi="宋体"/>
                <w:szCs w:val="21"/>
              </w:rPr>
            </w:pPr>
            <w:r>
              <w:rPr>
                <w:rFonts w:hint="eastAsia" w:ascii="宋体" w:hAnsi="宋体"/>
                <w:kern w:val="0"/>
                <w:szCs w:val="21"/>
                <w:lang w:bidi="ar"/>
              </w:rPr>
              <w:t>2000</w:t>
            </w:r>
          </w:p>
        </w:tc>
        <w:tc>
          <w:tcPr>
            <w:tcW w:w="570" w:type="pct"/>
            <w:shd w:val="clear" w:color="auto" w:fill="FFFFFF" w:themeFill="background1"/>
            <w:vAlign w:val="center"/>
          </w:tcPr>
          <w:p w14:paraId="18E76ECD">
            <w:pPr>
              <w:widowControl/>
              <w:jc w:val="center"/>
              <w:textAlignment w:val="center"/>
              <w:rPr>
                <w:rFonts w:ascii="宋体" w:hAnsi="宋体"/>
                <w:kern w:val="0"/>
                <w:szCs w:val="21"/>
                <w:lang w:bidi="ar"/>
              </w:rPr>
            </w:pPr>
            <w:r>
              <w:rPr>
                <w:rFonts w:hint="eastAsia" w:ascii="宋体" w:hAnsi="宋体"/>
                <w:kern w:val="0"/>
                <w:szCs w:val="21"/>
                <w:lang w:bidi="ar"/>
              </w:rPr>
              <w:t>￥10.20</w:t>
            </w:r>
          </w:p>
        </w:tc>
        <w:tc>
          <w:tcPr>
            <w:tcW w:w="530" w:type="pct"/>
            <w:vAlign w:val="center"/>
          </w:tcPr>
          <w:p w14:paraId="01927582">
            <w:pPr>
              <w:widowControl/>
              <w:jc w:val="center"/>
              <w:textAlignment w:val="center"/>
              <w:rPr>
                <w:rFonts w:ascii="宋体" w:hAnsi="宋体"/>
                <w:kern w:val="0"/>
                <w:szCs w:val="21"/>
                <w:lang w:bidi="ar"/>
              </w:rPr>
            </w:pPr>
            <w:r>
              <w:rPr>
                <w:rFonts w:hint="eastAsia" w:ascii="宋体" w:hAnsi="宋体"/>
                <w:kern w:val="0"/>
                <w:szCs w:val="21"/>
                <w:lang w:bidi="ar"/>
              </w:rPr>
              <w:t>￥20,400.00</w:t>
            </w:r>
          </w:p>
        </w:tc>
      </w:tr>
      <w:tr w14:paraId="1B6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652AD121">
            <w:pPr>
              <w:widowControl/>
              <w:jc w:val="center"/>
              <w:textAlignment w:val="center"/>
              <w:rPr>
                <w:rFonts w:ascii="宋体" w:hAnsi="宋体"/>
                <w:szCs w:val="21"/>
              </w:rPr>
            </w:pPr>
            <w:r>
              <w:rPr>
                <w:rFonts w:hint="eastAsia" w:ascii="宋体" w:hAnsi="宋体"/>
                <w:kern w:val="0"/>
                <w:szCs w:val="21"/>
                <w:lang w:bidi="ar"/>
              </w:rPr>
              <w:t>5</w:t>
            </w:r>
          </w:p>
        </w:tc>
        <w:tc>
          <w:tcPr>
            <w:tcW w:w="377" w:type="pct"/>
            <w:shd w:val="clear" w:color="auto" w:fill="auto"/>
            <w:vAlign w:val="center"/>
          </w:tcPr>
          <w:p w14:paraId="36A5CDBC">
            <w:pPr>
              <w:widowControl/>
              <w:jc w:val="center"/>
              <w:textAlignment w:val="center"/>
              <w:rPr>
                <w:rFonts w:ascii="宋体" w:hAnsi="宋体"/>
                <w:szCs w:val="21"/>
              </w:rPr>
            </w:pPr>
            <w:r>
              <w:rPr>
                <w:rFonts w:hint="eastAsia" w:ascii="宋体" w:hAnsi="宋体"/>
                <w:kern w:val="0"/>
                <w:szCs w:val="21"/>
                <w:lang w:bidi="ar"/>
              </w:rPr>
              <w:t>应急蜡烛</w:t>
            </w:r>
          </w:p>
        </w:tc>
        <w:tc>
          <w:tcPr>
            <w:tcW w:w="1118" w:type="pct"/>
            <w:shd w:val="clear" w:color="auto" w:fill="auto"/>
            <w:vAlign w:val="center"/>
          </w:tcPr>
          <w:p w14:paraId="11D26A9C">
            <w:pPr>
              <w:widowControl/>
              <w:jc w:val="center"/>
              <w:textAlignment w:val="center"/>
              <w:rPr>
                <w:rFonts w:ascii="宋体" w:hAnsi="宋体"/>
                <w:szCs w:val="21"/>
              </w:rPr>
            </w:pPr>
            <w:r>
              <w:rPr>
                <w:rFonts w:hint="eastAsia" w:ascii="宋体" w:hAnsi="宋体"/>
                <w:kern w:val="0"/>
                <w:szCs w:val="21"/>
                <w:lang w:bidi="ar"/>
              </w:rPr>
              <w:t>可持续燃烧30小时以上</w:t>
            </w:r>
          </w:p>
        </w:tc>
        <w:tc>
          <w:tcPr>
            <w:tcW w:w="1501" w:type="pct"/>
            <w:shd w:val="clear" w:color="auto" w:fill="auto"/>
            <w:vAlign w:val="center"/>
          </w:tcPr>
          <w:p w14:paraId="505096D2">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"/tmp/wps-zqjy/ksohtml/clip_cell_image4.png"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390650" cy="1257300"/>
                  <wp:effectExtent l="0" t="0" r="0" b="0"/>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11"/>
                          <a:stretch>
                            <a:fillRect/>
                          </a:stretch>
                        </pic:blipFill>
                        <pic:spPr>
                          <a:xfrm>
                            <a:off x="0" y="0"/>
                            <a:ext cx="1390650" cy="1257300"/>
                          </a:xfrm>
                          <a:prstGeom prst="rect">
                            <a:avLst/>
                          </a:prstGeom>
                          <a:noFill/>
                          <a:ln>
                            <a:noFill/>
                          </a:ln>
                        </pic:spPr>
                      </pic:pic>
                    </a:graphicData>
                  </a:graphic>
                </wp:inline>
              </w:drawing>
            </w:r>
            <w:r>
              <w:rPr>
                <w:rFonts w:hint="eastAsia" w:ascii="宋体" w:hAnsi="宋体"/>
                <w:kern w:val="0"/>
                <w:szCs w:val="21"/>
                <w:lang w:bidi="ar"/>
              </w:rPr>
              <w:fldChar w:fldCharType="end"/>
            </w:r>
          </w:p>
          <w:p w14:paraId="3EB6E050">
            <w:pPr>
              <w:widowControl/>
              <w:jc w:val="center"/>
              <w:textAlignment w:val="center"/>
            </w:pPr>
            <w:r>
              <w:rPr>
                <w:rFonts w:hint="eastAsia" w:ascii="宋体" w:hAnsi="宋体"/>
                <w:kern w:val="0"/>
                <w:szCs w:val="21"/>
                <w:lang w:bidi="ar"/>
              </w:rPr>
              <w:t>（该图片仅供参考）</w:t>
            </w:r>
          </w:p>
        </w:tc>
        <w:tc>
          <w:tcPr>
            <w:tcW w:w="335" w:type="pct"/>
            <w:shd w:val="clear" w:color="auto" w:fill="auto"/>
            <w:vAlign w:val="center"/>
          </w:tcPr>
          <w:p w14:paraId="040EAC2C">
            <w:pPr>
              <w:widowControl/>
              <w:jc w:val="center"/>
              <w:textAlignment w:val="center"/>
              <w:rPr>
                <w:rFonts w:ascii="宋体" w:hAnsi="宋体"/>
                <w:szCs w:val="21"/>
              </w:rPr>
            </w:pPr>
            <w:r>
              <w:rPr>
                <w:rFonts w:hint="eastAsia" w:ascii="宋体" w:hAnsi="宋体"/>
                <w:kern w:val="0"/>
                <w:szCs w:val="21"/>
                <w:lang w:bidi="ar"/>
              </w:rPr>
              <w:t>盒</w:t>
            </w:r>
          </w:p>
        </w:tc>
        <w:tc>
          <w:tcPr>
            <w:tcW w:w="352" w:type="pct"/>
            <w:shd w:val="clear" w:color="auto" w:fill="auto"/>
            <w:vAlign w:val="center"/>
          </w:tcPr>
          <w:p w14:paraId="41EFC00B">
            <w:pPr>
              <w:widowControl/>
              <w:jc w:val="center"/>
              <w:textAlignment w:val="center"/>
              <w:rPr>
                <w:rFonts w:ascii="宋体" w:hAnsi="宋体"/>
                <w:szCs w:val="21"/>
              </w:rPr>
            </w:pPr>
            <w:r>
              <w:rPr>
                <w:rFonts w:hint="eastAsia" w:ascii="宋体" w:hAnsi="宋体"/>
                <w:kern w:val="0"/>
                <w:szCs w:val="21"/>
                <w:lang w:bidi="ar"/>
              </w:rPr>
              <w:t>1500</w:t>
            </w:r>
          </w:p>
        </w:tc>
        <w:tc>
          <w:tcPr>
            <w:tcW w:w="570" w:type="pct"/>
            <w:shd w:val="clear" w:color="auto" w:fill="FFFFFF" w:themeFill="background1"/>
            <w:vAlign w:val="center"/>
          </w:tcPr>
          <w:p w14:paraId="25A73858">
            <w:pPr>
              <w:widowControl/>
              <w:jc w:val="center"/>
              <w:textAlignment w:val="center"/>
              <w:rPr>
                <w:rFonts w:ascii="宋体" w:hAnsi="宋体"/>
                <w:kern w:val="0"/>
                <w:szCs w:val="21"/>
                <w:lang w:bidi="ar"/>
              </w:rPr>
            </w:pPr>
            <w:r>
              <w:rPr>
                <w:rFonts w:hint="eastAsia" w:ascii="宋体" w:hAnsi="宋体"/>
                <w:kern w:val="0"/>
                <w:szCs w:val="21"/>
                <w:lang w:bidi="ar"/>
              </w:rPr>
              <w:t>￥7.90</w:t>
            </w:r>
          </w:p>
        </w:tc>
        <w:tc>
          <w:tcPr>
            <w:tcW w:w="530" w:type="pct"/>
            <w:vAlign w:val="center"/>
          </w:tcPr>
          <w:p w14:paraId="1B295359">
            <w:pPr>
              <w:widowControl/>
              <w:jc w:val="center"/>
              <w:textAlignment w:val="center"/>
              <w:rPr>
                <w:rFonts w:ascii="宋体" w:hAnsi="宋体"/>
                <w:kern w:val="0"/>
                <w:szCs w:val="21"/>
                <w:lang w:bidi="ar"/>
              </w:rPr>
            </w:pPr>
            <w:r>
              <w:rPr>
                <w:rFonts w:hint="eastAsia" w:ascii="宋体" w:hAnsi="宋体"/>
                <w:kern w:val="0"/>
                <w:szCs w:val="21"/>
                <w:lang w:bidi="ar"/>
              </w:rPr>
              <w:t>￥11,850.00</w:t>
            </w:r>
          </w:p>
        </w:tc>
      </w:tr>
      <w:tr w14:paraId="54D4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17E35682">
            <w:pPr>
              <w:widowControl/>
              <w:jc w:val="center"/>
              <w:textAlignment w:val="center"/>
              <w:rPr>
                <w:rFonts w:ascii="宋体" w:hAnsi="宋体"/>
                <w:szCs w:val="21"/>
              </w:rPr>
            </w:pPr>
            <w:r>
              <w:rPr>
                <w:rFonts w:hint="eastAsia" w:ascii="宋体" w:hAnsi="宋体"/>
                <w:kern w:val="0"/>
                <w:szCs w:val="21"/>
                <w:lang w:bidi="ar"/>
              </w:rPr>
              <w:t>6</w:t>
            </w:r>
          </w:p>
        </w:tc>
        <w:tc>
          <w:tcPr>
            <w:tcW w:w="377" w:type="pct"/>
            <w:shd w:val="clear" w:color="auto" w:fill="auto"/>
            <w:vAlign w:val="center"/>
          </w:tcPr>
          <w:p w14:paraId="077A6583">
            <w:pPr>
              <w:widowControl/>
              <w:jc w:val="center"/>
              <w:textAlignment w:val="center"/>
              <w:rPr>
                <w:rFonts w:ascii="宋体" w:hAnsi="宋体"/>
                <w:szCs w:val="21"/>
              </w:rPr>
            </w:pPr>
            <w:r>
              <w:rPr>
                <w:rFonts w:hint="eastAsia" w:ascii="宋体" w:hAnsi="宋体"/>
                <w:kern w:val="0"/>
                <w:szCs w:val="21"/>
                <w:lang w:bidi="ar"/>
              </w:rPr>
              <w:t>应急头灯</w:t>
            </w:r>
          </w:p>
        </w:tc>
        <w:tc>
          <w:tcPr>
            <w:tcW w:w="1118" w:type="pct"/>
            <w:shd w:val="clear" w:color="auto" w:fill="auto"/>
            <w:vAlign w:val="center"/>
          </w:tcPr>
          <w:p w14:paraId="7D951379">
            <w:pPr>
              <w:widowControl/>
              <w:jc w:val="center"/>
              <w:textAlignment w:val="center"/>
              <w:rPr>
                <w:rFonts w:ascii="宋体" w:hAnsi="宋体"/>
                <w:szCs w:val="21"/>
              </w:rPr>
            </w:pPr>
            <w:r>
              <w:rPr>
                <w:rFonts w:hint="eastAsia" w:ascii="宋体" w:hAnsi="宋体"/>
                <w:kern w:val="0"/>
                <w:szCs w:val="21"/>
                <w:lang w:bidi="ar"/>
              </w:rPr>
              <w:t>DP久量LED-7228型头灯，电池容量4000毫安时，光通量200流明，防水等级IPX4级</w:t>
            </w:r>
          </w:p>
        </w:tc>
        <w:tc>
          <w:tcPr>
            <w:tcW w:w="1501" w:type="pct"/>
            <w:shd w:val="clear" w:color="auto" w:fill="auto"/>
            <w:vAlign w:val="center"/>
          </w:tcPr>
          <w:p w14:paraId="5B1914B2">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"/tmp/wps-zqjy/ksohtml/clip_cell_image8.png"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143000" cy="1524000"/>
                  <wp:effectExtent l="0" t="0" r="0"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2"/>
                          <a:stretch>
                            <a:fillRect/>
                          </a:stretch>
                        </pic:blipFill>
                        <pic:spPr>
                          <a:xfrm>
                            <a:off x="0" y="0"/>
                            <a:ext cx="1143000" cy="1524000"/>
                          </a:xfrm>
                          <a:prstGeom prst="rect">
                            <a:avLst/>
                          </a:prstGeom>
                          <a:noFill/>
                          <a:ln>
                            <a:noFill/>
                          </a:ln>
                        </pic:spPr>
                      </pic:pic>
                    </a:graphicData>
                  </a:graphic>
                </wp:inline>
              </w:drawing>
            </w:r>
            <w:r>
              <w:rPr>
                <w:rFonts w:hint="eastAsia" w:ascii="宋体" w:hAnsi="宋体"/>
                <w:kern w:val="0"/>
                <w:szCs w:val="21"/>
                <w:lang w:bidi="ar"/>
              </w:rPr>
              <w:fldChar w:fldCharType="end"/>
            </w:r>
          </w:p>
          <w:p w14:paraId="6C3BE7B9">
            <w:pPr>
              <w:widowControl/>
              <w:jc w:val="center"/>
              <w:textAlignment w:val="center"/>
            </w:pPr>
          </w:p>
        </w:tc>
        <w:tc>
          <w:tcPr>
            <w:tcW w:w="335" w:type="pct"/>
            <w:shd w:val="clear" w:color="auto" w:fill="auto"/>
            <w:vAlign w:val="center"/>
          </w:tcPr>
          <w:p w14:paraId="0FCC1A85">
            <w:pPr>
              <w:widowControl/>
              <w:jc w:val="center"/>
              <w:textAlignment w:val="center"/>
              <w:rPr>
                <w:rFonts w:ascii="宋体" w:hAnsi="宋体"/>
                <w:szCs w:val="21"/>
              </w:rPr>
            </w:pPr>
            <w:r>
              <w:rPr>
                <w:rFonts w:hint="eastAsia" w:ascii="宋体" w:hAnsi="宋体"/>
                <w:kern w:val="0"/>
                <w:szCs w:val="21"/>
                <w:lang w:bidi="ar"/>
              </w:rPr>
              <w:t>盏</w:t>
            </w:r>
          </w:p>
        </w:tc>
        <w:tc>
          <w:tcPr>
            <w:tcW w:w="352" w:type="pct"/>
            <w:shd w:val="clear" w:color="auto" w:fill="auto"/>
            <w:vAlign w:val="center"/>
          </w:tcPr>
          <w:p w14:paraId="24222733">
            <w:pPr>
              <w:widowControl/>
              <w:jc w:val="center"/>
              <w:textAlignment w:val="center"/>
              <w:rPr>
                <w:rFonts w:ascii="宋体" w:hAnsi="宋体"/>
                <w:szCs w:val="21"/>
              </w:rPr>
            </w:pPr>
            <w:r>
              <w:rPr>
                <w:rFonts w:hint="eastAsia" w:ascii="宋体" w:hAnsi="宋体"/>
                <w:kern w:val="0"/>
                <w:szCs w:val="21"/>
                <w:lang w:bidi="ar"/>
              </w:rPr>
              <w:t>100</w:t>
            </w:r>
          </w:p>
        </w:tc>
        <w:tc>
          <w:tcPr>
            <w:tcW w:w="570" w:type="pct"/>
            <w:shd w:val="clear" w:color="auto" w:fill="FFFFFF" w:themeFill="background1"/>
            <w:vAlign w:val="center"/>
          </w:tcPr>
          <w:p w14:paraId="4D46A2EC">
            <w:pPr>
              <w:widowControl/>
              <w:jc w:val="center"/>
              <w:textAlignment w:val="center"/>
              <w:rPr>
                <w:rFonts w:ascii="宋体" w:hAnsi="宋体"/>
                <w:kern w:val="0"/>
                <w:szCs w:val="21"/>
                <w:lang w:bidi="ar"/>
              </w:rPr>
            </w:pPr>
            <w:r>
              <w:rPr>
                <w:rFonts w:hint="eastAsia" w:ascii="宋体" w:hAnsi="宋体"/>
                <w:kern w:val="0"/>
                <w:szCs w:val="21"/>
                <w:lang w:bidi="ar"/>
              </w:rPr>
              <w:t>￥21.60</w:t>
            </w:r>
          </w:p>
        </w:tc>
        <w:tc>
          <w:tcPr>
            <w:tcW w:w="530" w:type="pct"/>
            <w:vAlign w:val="center"/>
          </w:tcPr>
          <w:p w14:paraId="29E517F2">
            <w:pPr>
              <w:widowControl/>
              <w:jc w:val="center"/>
              <w:textAlignment w:val="center"/>
              <w:rPr>
                <w:rFonts w:ascii="宋体" w:hAnsi="宋体"/>
                <w:kern w:val="0"/>
                <w:szCs w:val="21"/>
                <w:lang w:bidi="ar"/>
              </w:rPr>
            </w:pPr>
            <w:r>
              <w:rPr>
                <w:rFonts w:hint="eastAsia" w:ascii="宋体" w:hAnsi="宋体"/>
                <w:kern w:val="0"/>
                <w:szCs w:val="21"/>
                <w:lang w:bidi="ar"/>
              </w:rPr>
              <w:t>￥2,160.00</w:t>
            </w:r>
          </w:p>
        </w:tc>
      </w:tr>
      <w:tr w14:paraId="1AA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71B708FF">
            <w:pPr>
              <w:widowControl/>
              <w:jc w:val="center"/>
              <w:textAlignment w:val="center"/>
              <w:rPr>
                <w:rFonts w:ascii="宋体" w:hAnsi="宋体"/>
                <w:szCs w:val="21"/>
              </w:rPr>
            </w:pPr>
            <w:r>
              <w:rPr>
                <w:rFonts w:hint="eastAsia" w:ascii="宋体" w:hAnsi="宋体"/>
                <w:kern w:val="0"/>
                <w:szCs w:val="21"/>
                <w:lang w:bidi="ar"/>
              </w:rPr>
              <w:t>7</w:t>
            </w:r>
          </w:p>
        </w:tc>
        <w:tc>
          <w:tcPr>
            <w:tcW w:w="377" w:type="pct"/>
            <w:shd w:val="clear" w:color="auto" w:fill="auto"/>
            <w:vAlign w:val="center"/>
          </w:tcPr>
          <w:p w14:paraId="15E10CB6">
            <w:pPr>
              <w:widowControl/>
              <w:jc w:val="center"/>
              <w:textAlignment w:val="center"/>
              <w:rPr>
                <w:rFonts w:ascii="宋体" w:hAnsi="宋体"/>
                <w:szCs w:val="21"/>
              </w:rPr>
            </w:pPr>
            <w:r>
              <w:rPr>
                <w:rFonts w:hint="eastAsia" w:ascii="宋体" w:hAnsi="宋体"/>
                <w:kern w:val="0"/>
                <w:szCs w:val="21"/>
                <w:lang w:bidi="ar"/>
              </w:rPr>
              <w:t>毛巾</w:t>
            </w:r>
          </w:p>
        </w:tc>
        <w:tc>
          <w:tcPr>
            <w:tcW w:w="1118" w:type="pct"/>
            <w:shd w:val="clear" w:color="auto" w:fill="auto"/>
            <w:vAlign w:val="center"/>
          </w:tcPr>
          <w:p w14:paraId="75B14F25">
            <w:pPr>
              <w:widowControl/>
              <w:jc w:val="center"/>
              <w:textAlignment w:val="center"/>
              <w:rPr>
                <w:rFonts w:ascii="宋体" w:hAnsi="宋体"/>
                <w:szCs w:val="21"/>
              </w:rPr>
            </w:pPr>
            <w:r>
              <w:rPr>
                <w:rFonts w:hint="eastAsia" w:ascii="宋体" w:hAnsi="宋体"/>
                <w:kern w:val="0"/>
                <w:szCs w:val="21"/>
                <w:lang w:bidi="ar"/>
              </w:rPr>
              <w:t>纯棉蓝色毛巾，35*75cm，75g/条</w:t>
            </w:r>
          </w:p>
        </w:tc>
        <w:tc>
          <w:tcPr>
            <w:tcW w:w="1501" w:type="pct"/>
            <w:shd w:val="clear" w:color="auto" w:fill="auto"/>
            <w:vAlign w:val="center"/>
          </w:tcPr>
          <w:p w14:paraId="2E364504">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"/tmp/wps-zqjy/ksohtml/clip_cell_image10.png"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2095500" cy="1257300"/>
                  <wp:effectExtent l="0" t="0" r="0" b="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3"/>
                          <a:stretch>
                            <a:fillRect/>
                          </a:stretch>
                        </pic:blipFill>
                        <pic:spPr>
                          <a:xfrm>
                            <a:off x="0" y="0"/>
                            <a:ext cx="2095500" cy="1257300"/>
                          </a:xfrm>
                          <a:prstGeom prst="rect">
                            <a:avLst/>
                          </a:prstGeom>
                          <a:noFill/>
                          <a:ln>
                            <a:noFill/>
                          </a:ln>
                        </pic:spPr>
                      </pic:pic>
                    </a:graphicData>
                  </a:graphic>
                </wp:inline>
              </w:drawing>
            </w:r>
            <w:r>
              <w:rPr>
                <w:rFonts w:hint="eastAsia" w:ascii="宋体" w:hAnsi="宋体"/>
                <w:kern w:val="0"/>
                <w:szCs w:val="21"/>
                <w:lang w:bidi="ar"/>
              </w:rPr>
              <w:fldChar w:fldCharType="end"/>
            </w:r>
          </w:p>
          <w:p w14:paraId="7302669E">
            <w:pPr>
              <w:widowControl/>
              <w:jc w:val="center"/>
              <w:textAlignment w:val="center"/>
            </w:pPr>
            <w:r>
              <w:rPr>
                <w:rFonts w:hint="eastAsia" w:ascii="宋体" w:hAnsi="宋体"/>
                <w:kern w:val="0"/>
                <w:szCs w:val="21"/>
                <w:lang w:bidi="ar"/>
              </w:rPr>
              <w:t>（该图片仅供参考）</w:t>
            </w:r>
          </w:p>
        </w:tc>
        <w:tc>
          <w:tcPr>
            <w:tcW w:w="335" w:type="pct"/>
            <w:shd w:val="clear" w:color="auto" w:fill="auto"/>
            <w:vAlign w:val="center"/>
          </w:tcPr>
          <w:p w14:paraId="1482FE36">
            <w:pPr>
              <w:widowControl/>
              <w:jc w:val="center"/>
              <w:textAlignment w:val="center"/>
              <w:rPr>
                <w:rFonts w:ascii="宋体" w:hAnsi="宋体"/>
                <w:szCs w:val="21"/>
              </w:rPr>
            </w:pPr>
            <w:r>
              <w:rPr>
                <w:rFonts w:hint="eastAsia" w:ascii="宋体" w:hAnsi="宋体"/>
                <w:kern w:val="0"/>
                <w:szCs w:val="21"/>
                <w:lang w:bidi="ar"/>
              </w:rPr>
              <w:t>条</w:t>
            </w:r>
          </w:p>
        </w:tc>
        <w:tc>
          <w:tcPr>
            <w:tcW w:w="352" w:type="pct"/>
            <w:shd w:val="clear" w:color="auto" w:fill="auto"/>
            <w:vAlign w:val="center"/>
          </w:tcPr>
          <w:p w14:paraId="005F1884">
            <w:pPr>
              <w:widowControl/>
              <w:jc w:val="center"/>
              <w:textAlignment w:val="center"/>
              <w:rPr>
                <w:rFonts w:ascii="宋体" w:hAnsi="宋体"/>
                <w:szCs w:val="21"/>
              </w:rPr>
            </w:pPr>
            <w:r>
              <w:rPr>
                <w:rFonts w:hint="eastAsia" w:ascii="宋体" w:hAnsi="宋体"/>
                <w:kern w:val="0"/>
                <w:szCs w:val="21"/>
                <w:lang w:bidi="ar"/>
              </w:rPr>
              <w:t>50</w:t>
            </w:r>
          </w:p>
        </w:tc>
        <w:tc>
          <w:tcPr>
            <w:tcW w:w="570" w:type="pct"/>
            <w:shd w:val="clear" w:color="auto" w:fill="FFFFFF" w:themeFill="background1"/>
            <w:vAlign w:val="center"/>
          </w:tcPr>
          <w:p w14:paraId="5B3C2A96">
            <w:pPr>
              <w:widowControl/>
              <w:jc w:val="center"/>
              <w:textAlignment w:val="center"/>
              <w:rPr>
                <w:rFonts w:ascii="宋体" w:hAnsi="宋体"/>
                <w:kern w:val="0"/>
                <w:szCs w:val="21"/>
                <w:lang w:bidi="ar"/>
              </w:rPr>
            </w:pPr>
            <w:r>
              <w:rPr>
                <w:rFonts w:hint="eastAsia" w:ascii="宋体" w:hAnsi="宋体"/>
                <w:kern w:val="0"/>
                <w:szCs w:val="21"/>
                <w:lang w:bidi="ar"/>
              </w:rPr>
              <w:t>￥7.80</w:t>
            </w:r>
          </w:p>
        </w:tc>
        <w:tc>
          <w:tcPr>
            <w:tcW w:w="530" w:type="pct"/>
            <w:vAlign w:val="center"/>
          </w:tcPr>
          <w:p w14:paraId="2E3AA3E5">
            <w:pPr>
              <w:widowControl/>
              <w:jc w:val="center"/>
              <w:textAlignment w:val="center"/>
              <w:rPr>
                <w:rFonts w:ascii="宋体" w:hAnsi="宋体"/>
                <w:kern w:val="0"/>
                <w:szCs w:val="21"/>
                <w:lang w:bidi="ar"/>
              </w:rPr>
            </w:pPr>
            <w:r>
              <w:rPr>
                <w:rFonts w:hint="eastAsia" w:ascii="宋体" w:hAnsi="宋体"/>
                <w:kern w:val="0"/>
                <w:szCs w:val="21"/>
                <w:lang w:bidi="ar"/>
              </w:rPr>
              <w:t>￥390.00</w:t>
            </w:r>
          </w:p>
        </w:tc>
      </w:tr>
      <w:tr w14:paraId="075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 w:type="pct"/>
            <w:shd w:val="clear" w:color="auto" w:fill="auto"/>
            <w:vAlign w:val="center"/>
          </w:tcPr>
          <w:p w14:paraId="2F2D1BFE">
            <w:pPr>
              <w:widowControl/>
              <w:jc w:val="center"/>
              <w:textAlignment w:val="center"/>
              <w:rPr>
                <w:rFonts w:ascii="宋体" w:hAnsi="宋体"/>
                <w:szCs w:val="21"/>
              </w:rPr>
            </w:pPr>
            <w:r>
              <w:rPr>
                <w:rFonts w:hint="eastAsia" w:ascii="宋体" w:hAnsi="宋体"/>
                <w:kern w:val="0"/>
                <w:szCs w:val="21"/>
                <w:lang w:bidi="ar"/>
              </w:rPr>
              <w:t>8</w:t>
            </w:r>
          </w:p>
        </w:tc>
        <w:tc>
          <w:tcPr>
            <w:tcW w:w="377" w:type="pct"/>
            <w:shd w:val="clear" w:color="auto" w:fill="auto"/>
            <w:vAlign w:val="center"/>
          </w:tcPr>
          <w:p w14:paraId="7097B2F7">
            <w:pPr>
              <w:widowControl/>
              <w:jc w:val="center"/>
              <w:textAlignment w:val="center"/>
              <w:rPr>
                <w:rFonts w:ascii="宋体" w:hAnsi="宋体"/>
                <w:szCs w:val="21"/>
              </w:rPr>
            </w:pPr>
            <w:r>
              <w:rPr>
                <w:rFonts w:hint="eastAsia" w:ascii="宋体" w:hAnsi="宋体"/>
                <w:kern w:val="0"/>
                <w:szCs w:val="21"/>
                <w:lang w:bidi="ar"/>
              </w:rPr>
              <w:t>雨衣</w:t>
            </w:r>
          </w:p>
        </w:tc>
        <w:tc>
          <w:tcPr>
            <w:tcW w:w="1118" w:type="pct"/>
            <w:shd w:val="clear" w:color="auto" w:fill="auto"/>
            <w:vAlign w:val="center"/>
          </w:tcPr>
          <w:p w14:paraId="06B9A9D1">
            <w:pPr>
              <w:widowControl/>
              <w:jc w:val="center"/>
              <w:textAlignment w:val="center"/>
              <w:rPr>
                <w:rFonts w:ascii="宋体" w:hAnsi="宋体"/>
                <w:szCs w:val="21"/>
              </w:rPr>
            </w:pPr>
            <w:r>
              <w:rPr>
                <w:rFonts w:hint="eastAsia" w:ascii="宋体" w:hAnsi="宋体"/>
                <w:kern w:val="0"/>
                <w:szCs w:val="21"/>
                <w:lang w:bidi="ar"/>
              </w:rPr>
              <w:t>300D牛津布反光雨衣套装，一套雨衣包含上衣及裤子，170/175/180/185码各50套</w:t>
            </w:r>
          </w:p>
        </w:tc>
        <w:tc>
          <w:tcPr>
            <w:tcW w:w="1501" w:type="pct"/>
            <w:shd w:val="clear" w:color="auto" w:fill="auto"/>
            <w:vAlign w:val="center"/>
          </w:tcPr>
          <w:p w14:paraId="1BB4629D">
            <w:pPr>
              <w:widowControl/>
              <w:jc w:val="center"/>
              <w:textAlignment w:val="center"/>
              <w:rPr>
                <w:rFonts w:ascii="宋体" w:hAnsi="宋体"/>
                <w:kern w:val="0"/>
                <w:szCs w:val="21"/>
                <w:lang w:bidi="ar"/>
              </w:rPr>
            </w:pPr>
            <w:r>
              <w:rPr>
                <w:rFonts w:hint="eastAsia" w:ascii="宋体" w:hAnsi="宋体"/>
                <w:kern w:val="0"/>
                <w:szCs w:val="21"/>
                <w:lang w:bidi="ar"/>
              </w:rPr>
              <w:fldChar w:fldCharType="begin"/>
            </w:r>
            <w:r>
              <w:rPr>
                <w:rFonts w:hint="eastAsia" w:ascii="宋体" w:hAnsi="宋体"/>
                <w:kern w:val="0"/>
                <w:szCs w:val="21"/>
                <w:lang w:bidi="ar"/>
              </w:rPr>
              <w:instrText xml:space="preserve">INCLUDEPICTURE \d "/tmp/wps-zqjy/ksohtml/clip_cell_image12.png" \* MERGEFORMATINET </w:instrText>
            </w:r>
            <w:r>
              <w:rPr>
                <w:rFonts w:hint="eastAsia" w:ascii="宋体" w:hAnsi="宋体"/>
                <w:kern w:val="0"/>
                <w:szCs w:val="21"/>
                <w:lang w:bidi="ar"/>
              </w:rPr>
              <w:fldChar w:fldCharType="separate"/>
            </w:r>
            <w:r>
              <w:rPr>
                <w:rFonts w:hint="eastAsia" w:ascii="宋体" w:hAnsi="宋体"/>
                <w:kern w:val="0"/>
                <w:szCs w:val="21"/>
                <w:lang w:bidi="ar"/>
              </w:rPr>
              <w:drawing>
                <wp:inline distT="0" distB="0" distL="114300" distR="114300">
                  <wp:extent cx="1474470" cy="1007745"/>
                  <wp:effectExtent l="0" t="0" r="11430" b="1905"/>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4"/>
                          <a:stretch>
                            <a:fillRect/>
                          </a:stretch>
                        </pic:blipFill>
                        <pic:spPr>
                          <a:xfrm>
                            <a:off x="0" y="0"/>
                            <a:ext cx="1474470" cy="1007745"/>
                          </a:xfrm>
                          <a:prstGeom prst="rect">
                            <a:avLst/>
                          </a:prstGeom>
                          <a:noFill/>
                          <a:ln>
                            <a:noFill/>
                          </a:ln>
                        </pic:spPr>
                      </pic:pic>
                    </a:graphicData>
                  </a:graphic>
                </wp:inline>
              </w:drawing>
            </w:r>
            <w:r>
              <w:rPr>
                <w:rFonts w:hint="eastAsia" w:ascii="宋体" w:hAnsi="宋体"/>
                <w:kern w:val="0"/>
                <w:szCs w:val="21"/>
                <w:lang w:bidi="ar"/>
              </w:rPr>
              <w:fldChar w:fldCharType="end"/>
            </w:r>
          </w:p>
          <w:p w14:paraId="7237D089">
            <w:pPr>
              <w:widowControl/>
              <w:jc w:val="center"/>
              <w:textAlignment w:val="center"/>
            </w:pPr>
            <w:r>
              <w:rPr>
                <w:rFonts w:hint="eastAsia" w:ascii="宋体" w:hAnsi="宋体"/>
                <w:kern w:val="0"/>
                <w:szCs w:val="21"/>
                <w:lang w:bidi="ar"/>
              </w:rPr>
              <w:t>（该图片仅供参考）</w:t>
            </w:r>
          </w:p>
        </w:tc>
        <w:tc>
          <w:tcPr>
            <w:tcW w:w="335" w:type="pct"/>
            <w:shd w:val="clear" w:color="auto" w:fill="auto"/>
            <w:vAlign w:val="center"/>
          </w:tcPr>
          <w:p w14:paraId="03B8329A">
            <w:pPr>
              <w:widowControl/>
              <w:jc w:val="center"/>
              <w:textAlignment w:val="center"/>
              <w:rPr>
                <w:rFonts w:ascii="宋体" w:hAnsi="宋体"/>
                <w:szCs w:val="21"/>
              </w:rPr>
            </w:pPr>
            <w:r>
              <w:rPr>
                <w:rFonts w:hint="eastAsia" w:ascii="宋体" w:hAnsi="宋体"/>
                <w:kern w:val="0"/>
                <w:szCs w:val="21"/>
                <w:lang w:bidi="ar"/>
              </w:rPr>
              <w:t>套</w:t>
            </w:r>
          </w:p>
        </w:tc>
        <w:tc>
          <w:tcPr>
            <w:tcW w:w="352" w:type="pct"/>
            <w:shd w:val="clear" w:color="auto" w:fill="auto"/>
            <w:vAlign w:val="center"/>
          </w:tcPr>
          <w:p w14:paraId="4C79FF48">
            <w:pPr>
              <w:widowControl/>
              <w:jc w:val="center"/>
              <w:textAlignment w:val="center"/>
              <w:rPr>
                <w:rFonts w:ascii="宋体" w:hAnsi="宋体"/>
                <w:szCs w:val="21"/>
              </w:rPr>
            </w:pPr>
            <w:r>
              <w:rPr>
                <w:rFonts w:hint="eastAsia" w:ascii="宋体" w:hAnsi="宋体"/>
                <w:kern w:val="0"/>
                <w:szCs w:val="21"/>
                <w:lang w:bidi="ar"/>
              </w:rPr>
              <w:t>200</w:t>
            </w:r>
          </w:p>
        </w:tc>
        <w:tc>
          <w:tcPr>
            <w:tcW w:w="570" w:type="pct"/>
            <w:shd w:val="clear" w:color="auto" w:fill="FFFFFF" w:themeFill="background1"/>
            <w:vAlign w:val="center"/>
          </w:tcPr>
          <w:p w14:paraId="7F4355FA">
            <w:pPr>
              <w:widowControl/>
              <w:jc w:val="center"/>
              <w:textAlignment w:val="center"/>
              <w:rPr>
                <w:rFonts w:ascii="宋体" w:hAnsi="宋体"/>
                <w:kern w:val="0"/>
                <w:szCs w:val="21"/>
                <w:lang w:bidi="ar"/>
              </w:rPr>
            </w:pPr>
            <w:r>
              <w:rPr>
                <w:rFonts w:hint="eastAsia" w:ascii="宋体" w:hAnsi="宋体"/>
                <w:kern w:val="0"/>
                <w:szCs w:val="21"/>
                <w:lang w:bidi="ar"/>
              </w:rPr>
              <w:t>￥101.50</w:t>
            </w:r>
          </w:p>
        </w:tc>
        <w:tc>
          <w:tcPr>
            <w:tcW w:w="530" w:type="pct"/>
            <w:vAlign w:val="center"/>
          </w:tcPr>
          <w:p w14:paraId="55465C71">
            <w:pPr>
              <w:widowControl/>
              <w:jc w:val="center"/>
              <w:textAlignment w:val="center"/>
              <w:rPr>
                <w:rFonts w:ascii="宋体" w:hAnsi="宋体"/>
                <w:kern w:val="0"/>
                <w:szCs w:val="21"/>
                <w:lang w:bidi="ar"/>
              </w:rPr>
            </w:pPr>
            <w:r>
              <w:rPr>
                <w:rFonts w:hint="eastAsia" w:ascii="宋体" w:hAnsi="宋体"/>
                <w:kern w:val="0"/>
                <w:szCs w:val="21"/>
                <w:lang w:bidi="ar"/>
              </w:rPr>
              <w:t>￥20,300.00</w:t>
            </w:r>
          </w:p>
        </w:tc>
      </w:tr>
      <w:tr w14:paraId="6966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vAlign w:val="center"/>
          </w:tcPr>
          <w:p w14:paraId="6DC63EDF">
            <w:pPr>
              <w:widowControl/>
              <w:jc w:val="left"/>
              <w:textAlignment w:val="center"/>
              <w:rPr>
                <w:rFonts w:ascii="宋体" w:hAnsi="宋体"/>
                <w:kern w:val="0"/>
                <w:szCs w:val="21"/>
                <w:lang w:bidi="ar"/>
              </w:rPr>
            </w:pPr>
            <w:r>
              <w:rPr>
                <w:rFonts w:hint="eastAsia" w:ascii="宋体" w:hAnsi="宋体"/>
                <w:kern w:val="0"/>
                <w:szCs w:val="21"/>
                <w:lang w:bidi="ar"/>
              </w:rPr>
              <w:t>备注：为保证产品质量及设备报价准确，部分商品有指定品牌</w:t>
            </w:r>
          </w:p>
        </w:tc>
      </w:tr>
      <w:bookmarkEnd w:id="3"/>
    </w:tbl>
    <w:p w14:paraId="2D96D8D9">
      <w:pPr>
        <w:tabs>
          <w:tab w:val="left" w:pos="1155"/>
        </w:tabs>
        <w:spacing w:line="360" w:lineRule="auto"/>
        <w:rPr>
          <w:rFonts w:ascii="宋体" w:hAnsi="宋体"/>
          <w:szCs w:val="21"/>
        </w:rPr>
      </w:pPr>
      <w:r>
        <w:rPr>
          <w:rFonts w:hint="eastAsia" w:ascii="宋体" w:hAnsi="宋体"/>
          <w:color w:val="000000"/>
          <w:lang w:val="zh-CN"/>
        </w:rPr>
        <w:br w:type="page"/>
      </w:r>
    </w:p>
    <w:p w14:paraId="0F09D4A7">
      <w:pPr>
        <w:pStyle w:val="21"/>
        <w:spacing w:before="0" w:after="0"/>
        <w:rPr>
          <w:rFonts w:ascii="宋体" w:hAnsi="宋体"/>
          <w:color w:val="000000"/>
          <w:lang w:val="zh-CN"/>
        </w:rPr>
      </w:pPr>
      <w:r>
        <w:rPr>
          <w:rFonts w:hint="eastAsia" w:ascii="宋体" w:hAnsi="宋体"/>
          <w:color w:val="000000"/>
          <w:lang w:val="zh-CN"/>
        </w:rPr>
        <w:t>第三章 报价附件</w:t>
      </w:r>
    </w:p>
    <w:p w14:paraId="072FB9A7">
      <w:pPr>
        <w:pStyle w:val="4"/>
        <w:rPr>
          <w:rFonts w:ascii="宋体" w:hAnsi="宋体" w:eastAsia="宋体" w:cs="宋体"/>
          <w:lang w:val="zh-CN"/>
        </w:rPr>
      </w:pPr>
      <w:r>
        <w:rPr>
          <w:rFonts w:hint="eastAsia" w:ascii="宋体" w:hAnsi="宋体" w:eastAsia="宋体" w:cs="宋体"/>
          <w:lang w:val="zh-CN"/>
        </w:rPr>
        <w:t>报 价 表</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07"/>
        <w:gridCol w:w="1251"/>
        <w:gridCol w:w="2144"/>
        <w:gridCol w:w="1456"/>
      </w:tblGrid>
      <w:tr w14:paraId="16598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63" w:type="pct"/>
            <w:tcBorders>
              <w:top w:val="single" w:color="auto" w:sz="12" w:space="0"/>
              <w:bottom w:val="single" w:color="auto" w:sz="2" w:space="0"/>
            </w:tcBorders>
            <w:shd w:val="clear" w:color="auto" w:fill="EEECE1"/>
            <w:vAlign w:val="center"/>
          </w:tcPr>
          <w:p w14:paraId="77CC577B">
            <w:pPr>
              <w:jc w:val="center"/>
              <w:rPr>
                <w:rFonts w:ascii="宋体" w:hAnsi="宋体"/>
                <w:b/>
                <w:color w:val="000000"/>
                <w:szCs w:val="21"/>
              </w:rPr>
            </w:pPr>
            <w:r>
              <w:rPr>
                <w:rFonts w:hint="eastAsia" w:ascii="宋体" w:hAnsi="宋体"/>
                <w:b/>
                <w:color w:val="000000"/>
                <w:szCs w:val="21"/>
              </w:rPr>
              <w:t>采购内容</w:t>
            </w:r>
          </w:p>
        </w:tc>
        <w:tc>
          <w:tcPr>
            <w:tcW w:w="628" w:type="pct"/>
            <w:tcBorders>
              <w:top w:val="single" w:color="auto" w:sz="12" w:space="0"/>
              <w:bottom w:val="single" w:color="auto" w:sz="2" w:space="0"/>
            </w:tcBorders>
            <w:shd w:val="clear" w:color="auto" w:fill="EEECE1"/>
            <w:vAlign w:val="center"/>
          </w:tcPr>
          <w:p w14:paraId="75450E27">
            <w:pPr>
              <w:jc w:val="center"/>
              <w:rPr>
                <w:rFonts w:ascii="宋体" w:hAnsi="宋体"/>
                <w:b/>
                <w:szCs w:val="21"/>
              </w:rPr>
            </w:pPr>
            <w:r>
              <w:rPr>
                <w:rFonts w:hint="eastAsia" w:ascii="宋体" w:hAnsi="宋体"/>
                <w:b/>
                <w:szCs w:val="21"/>
              </w:rPr>
              <w:t>数量</w:t>
            </w:r>
          </w:p>
        </w:tc>
        <w:tc>
          <w:tcPr>
            <w:tcW w:w="1076" w:type="pct"/>
            <w:tcBorders>
              <w:top w:val="single" w:color="auto" w:sz="12" w:space="0"/>
              <w:bottom w:val="single" w:color="auto" w:sz="2" w:space="0"/>
            </w:tcBorders>
            <w:shd w:val="clear" w:color="auto" w:fill="EEECE1"/>
            <w:vAlign w:val="center"/>
          </w:tcPr>
          <w:p w14:paraId="753CF3C3">
            <w:pPr>
              <w:jc w:val="center"/>
              <w:rPr>
                <w:rFonts w:ascii="宋体" w:hAnsi="宋体"/>
                <w:b/>
                <w:szCs w:val="21"/>
              </w:rPr>
            </w:pPr>
            <w:r>
              <w:rPr>
                <w:rFonts w:hint="eastAsia" w:ascii="宋体" w:hAnsi="宋体"/>
                <w:b/>
                <w:szCs w:val="21"/>
              </w:rPr>
              <w:t>所报下浮率</w:t>
            </w:r>
          </w:p>
        </w:tc>
        <w:tc>
          <w:tcPr>
            <w:tcW w:w="731" w:type="pct"/>
            <w:tcBorders>
              <w:top w:val="single" w:color="auto" w:sz="12" w:space="0"/>
              <w:bottom w:val="single" w:color="auto" w:sz="2" w:space="0"/>
            </w:tcBorders>
            <w:shd w:val="clear" w:color="auto" w:fill="EEECE1"/>
            <w:vAlign w:val="center"/>
          </w:tcPr>
          <w:p w14:paraId="3E607AF3">
            <w:pPr>
              <w:jc w:val="center"/>
              <w:rPr>
                <w:rFonts w:ascii="宋体" w:hAnsi="宋体"/>
                <w:b/>
                <w:szCs w:val="21"/>
              </w:rPr>
            </w:pPr>
            <w:r>
              <w:rPr>
                <w:rFonts w:hint="eastAsia" w:ascii="宋体" w:hAnsi="宋体"/>
                <w:b/>
                <w:szCs w:val="21"/>
              </w:rPr>
              <w:t>备注</w:t>
            </w:r>
          </w:p>
        </w:tc>
      </w:tr>
      <w:tr w14:paraId="0F54C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563" w:type="pct"/>
            <w:tcBorders>
              <w:top w:val="single" w:color="auto" w:sz="2" w:space="0"/>
              <w:bottom w:val="single" w:color="auto" w:sz="2" w:space="0"/>
            </w:tcBorders>
            <w:vAlign w:val="center"/>
          </w:tcPr>
          <w:p w14:paraId="02A4F3D2">
            <w:pPr>
              <w:jc w:val="center"/>
              <w:rPr>
                <w:rFonts w:ascii="宋体" w:hAnsi="宋体"/>
                <w:color w:val="000000"/>
                <w:szCs w:val="21"/>
              </w:rPr>
            </w:pPr>
            <w:r>
              <w:rPr>
                <w:rFonts w:hint="eastAsia" w:ascii="宋体" w:hAnsi="宋体"/>
                <w:color w:val="000000"/>
                <w:szCs w:val="21"/>
              </w:rPr>
              <w:t>广东省肇庆监狱防汛物资采购</w:t>
            </w:r>
          </w:p>
        </w:tc>
        <w:tc>
          <w:tcPr>
            <w:tcW w:w="628" w:type="pct"/>
            <w:tcBorders>
              <w:top w:val="single" w:color="auto" w:sz="2" w:space="0"/>
              <w:bottom w:val="single" w:color="auto" w:sz="2" w:space="0"/>
            </w:tcBorders>
            <w:vAlign w:val="center"/>
          </w:tcPr>
          <w:p w14:paraId="0D2A6FEC">
            <w:pPr>
              <w:keepNext/>
              <w:adjustRightInd w:val="0"/>
              <w:jc w:val="center"/>
              <w:textAlignment w:val="center"/>
              <w:rPr>
                <w:rFonts w:ascii="宋体" w:hAnsi="宋体"/>
                <w:szCs w:val="21"/>
              </w:rPr>
            </w:pPr>
            <w:r>
              <w:rPr>
                <w:rFonts w:hint="eastAsia" w:ascii="宋体" w:hAnsi="宋体"/>
                <w:szCs w:val="21"/>
              </w:rPr>
              <w:t>1项</w:t>
            </w:r>
          </w:p>
        </w:tc>
        <w:tc>
          <w:tcPr>
            <w:tcW w:w="1076" w:type="pct"/>
            <w:tcBorders>
              <w:top w:val="single" w:color="auto" w:sz="2" w:space="0"/>
              <w:bottom w:val="single" w:color="auto" w:sz="2" w:space="0"/>
            </w:tcBorders>
            <w:vAlign w:val="center"/>
          </w:tcPr>
          <w:p w14:paraId="30145FCB">
            <w:pPr>
              <w:pStyle w:val="11"/>
              <w:tabs>
                <w:tab w:val="left" w:pos="540"/>
              </w:tabs>
              <w:adjustRightInd w:val="0"/>
              <w:snapToGrid w:val="0"/>
              <w:jc w:val="center"/>
              <w:rPr>
                <w:rFonts w:hAnsi="宋体" w:cs="宋体"/>
                <w:sz w:val="21"/>
              </w:rPr>
            </w:pPr>
            <w:r>
              <w:rPr>
                <w:rFonts w:hint="eastAsia" w:hAnsi="宋体" w:cs="宋体"/>
                <w:color w:val="000000"/>
                <w:sz w:val="21"/>
                <w:u w:val="single"/>
              </w:rPr>
              <w:t xml:space="preserve">    </w:t>
            </w:r>
            <w:r>
              <w:rPr>
                <w:rFonts w:hint="eastAsia" w:hAnsi="宋体" w:cs="宋体"/>
                <w:color w:val="000000"/>
                <w:sz w:val="21"/>
              </w:rPr>
              <w:t>%</w:t>
            </w:r>
          </w:p>
        </w:tc>
        <w:tc>
          <w:tcPr>
            <w:tcW w:w="731" w:type="pct"/>
            <w:tcBorders>
              <w:top w:val="single" w:color="auto" w:sz="2" w:space="0"/>
              <w:bottom w:val="single" w:color="auto" w:sz="2" w:space="0"/>
            </w:tcBorders>
            <w:vAlign w:val="center"/>
          </w:tcPr>
          <w:p w14:paraId="18ABBBEA">
            <w:pPr>
              <w:pStyle w:val="11"/>
              <w:tabs>
                <w:tab w:val="left" w:pos="540"/>
              </w:tabs>
              <w:adjustRightInd w:val="0"/>
              <w:snapToGrid w:val="0"/>
              <w:jc w:val="center"/>
              <w:rPr>
                <w:rFonts w:hAnsi="宋体" w:cs="宋体"/>
                <w:color w:val="000000"/>
                <w:sz w:val="21"/>
                <w:u w:val="single"/>
              </w:rPr>
            </w:pPr>
          </w:p>
        </w:tc>
      </w:tr>
    </w:tbl>
    <w:p w14:paraId="43716FDF">
      <w:pPr>
        <w:spacing w:line="500" w:lineRule="exact"/>
        <w:rPr>
          <w:rFonts w:ascii="宋体" w:hAnsi="宋体"/>
          <w:b/>
          <w:color w:val="000000"/>
          <w:spacing w:val="4"/>
          <w:szCs w:val="21"/>
        </w:rPr>
      </w:pPr>
    </w:p>
    <w:p w14:paraId="71DDA778">
      <w:pPr>
        <w:spacing w:line="500" w:lineRule="exact"/>
        <w:rPr>
          <w:rFonts w:ascii="宋体" w:hAnsi="宋体"/>
          <w:b/>
          <w:color w:val="000000"/>
          <w:spacing w:val="4"/>
          <w:szCs w:val="21"/>
        </w:rPr>
      </w:pPr>
      <w:r>
        <w:rPr>
          <w:rFonts w:hint="eastAsia" w:ascii="宋体" w:hAnsi="宋体"/>
          <w:b/>
          <w:color w:val="000000"/>
          <w:spacing w:val="4"/>
          <w:szCs w:val="21"/>
        </w:rPr>
        <w:t>注：</w:t>
      </w:r>
    </w:p>
    <w:p w14:paraId="5F6EACDD">
      <w:pPr>
        <w:widowControl/>
        <w:numPr>
          <w:ilvl w:val="0"/>
          <w:numId w:val="31"/>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33EA874F">
      <w:pPr>
        <w:widowControl/>
        <w:numPr>
          <w:ilvl w:val="0"/>
          <w:numId w:val="31"/>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所有价格均系用人民币表示，单位为元，均为含税价；</w:t>
      </w:r>
    </w:p>
    <w:p w14:paraId="4755A030">
      <w:pPr>
        <w:widowControl/>
        <w:numPr>
          <w:ilvl w:val="0"/>
          <w:numId w:val="31"/>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平台上报价与报价表报价不一致的，以报价表报价（经价格核准后的价格）为准；</w:t>
      </w:r>
    </w:p>
    <w:p w14:paraId="3AEF3E02">
      <w:pPr>
        <w:widowControl/>
        <w:numPr>
          <w:ilvl w:val="0"/>
          <w:numId w:val="31"/>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072AB423">
      <w:pPr>
        <w:widowControl/>
        <w:numPr>
          <w:ilvl w:val="0"/>
          <w:numId w:val="31"/>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下浮率的报价均应包含国家规定的税费；</w:t>
      </w:r>
    </w:p>
    <w:p w14:paraId="0C4D5B4A">
      <w:pPr>
        <w:widowControl/>
        <w:numPr>
          <w:ilvl w:val="0"/>
          <w:numId w:val="31"/>
        </w:numPr>
        <w:spacing w:line="360" w:lineRule="auto"/>
        <w:ind w:left="284" w:hanging="284"/>
        <w:jc w:val="left"/>
        <w:rPr>
          <w:rFonts w:ascii="宋体" w:hAnsi="宋体"/>
          <w:kern w:val="0"/>
          <w:sz w:val="20"/>
          <w:szCs w:val="20"/>
        </w:rPr>
      </w:pPr>
      <w:r>
        <w:rPr>
          <w:rFonts w:hint="eastAsia" w:ascii="宋体" w:hAnsi="宋体"/>
          <w:b/>
          <w:bCs/>
          <w:color w:val="000000"/>
          <w:kern w:val="0"/>
          <w:szCs w:val="21"/>
        </w:rPr>
        <w:t>本项目不接受有选择性的报价，只允许报一个下浮率，且所报的下浮率应当适用于该类别所有产品单品</w:t>
      </w:r>
      <w:r>
        <w:rPr>
          <w:rFonts w:hint="eastAsia" w:ascii="宋体" w:hAnsi="宋体"/>
          <w:b/>
          <w:bCs/>
          <w:kern w:val="0"/>
        </w:rPr>
        <w:t>。</w:t>
      </w:r>
    </w:p>
    <w:p w14:paraId="0EB3DEAF">
      <w:pPr>
        <w:widowControl/>
        <w:spacing w:line="360" w:lineRule="auto"/>
        <w:ind w:left="420"/>
        <w:jc w:val="left"/>
        <w:rPr>
          <w:rFonts w:ascii="宋体" w:hAnsi="宋体"/>
          <w:kern w:val="0"/>
          <w:sz w:val="20"/>
          <w:szCs w:val="20"/>
        </w:rPr>
      </w:pPr>
      <w:r>
        <w:rPr>
          <w:rFonts w:hint="eastAsia" w:ascii="宋体" w:hAnsi="宋体"/>
          <w:b/>
          <w:bCs/>
          <w:kern w:val="0"/>
        </w:rPr>
        <w:t xml:space="preserve">                                                                         </w:t>
      </w:r>
    </w:p>
    <w:p w14:paraId="257286EA">
      <w:pPr>
        <w:wordWrap w:val="0"/>
        <w:spacing w:line="360" w:lineRule="auto"/>
        <w:ind w:right="218"/>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35AE8059">
      <w:pPr>
        <w:spacing w:line="360" w:lineRule="auto"/>
        <w:ind w:right="218"/>
        <w:jc w:val="right"/>
        <w:rPr>
          <w:rFonts w:ascii="宋体" w:hAnsi="宋体"/>
          <w:color w:val="000000"/>
          <w:spacing w:val="4"/>
          <w:szCs w:val="21"/>
          <w:u w:val="single"/>
        </w:rPr>
      </w:pPr>
    </w:p>
    <w:p w14:paraId="027E98CC">
      <w:pPr>
        <w:wordWrap w:val="0"/>
        <w:spacing w:line="360" w:lineRule="auto"/>
        <w:ind w:right="218"/>
        <w:jc w:val="right"/>
        <w:rPr>
          <w:rFonts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4DB88201">
      <w:pPr>
        <w:pStyle w:val="4"/>
        <w:rPr>
          <w:rFonts w:ascii="宋体" w:hAnsi="宋体" w:eastAsia="宋体" w:cs="宋体"/>
        </w:rPr>
      </w:pPr>
      <w:r>
        <w:rPr>
          <w:rFonts w:hint="eastAsia" w:ascii="宋体" w:hAnsi="宋体" w:eastAsia="宋体" w:cs="宋体"/>
        </w:rPr>
        <w:br w:type="page"/>
      </w:r>
      <w:r>
        <w:rPr>
          <w:rFonts w:hint="eastAsia" w:ascii="宋体" w:hAnsi="宋体" w:eastAsia="宋体" w:cs="宋体"/>
        </w:rPr>
        <w:t>采购需求书响应声明函</w:t>
      </w:r>
    </w:p>
    <w:p w14:paraId="3A604D89">
      <w:pPr>
        <w:spacing w:line="360" w:lineRule="auto"/>
        <w:rPr>
          <w:rFonts w:ascii="宋体" w:hAnsi="宋体"/>
          <w:b/>
          <w:color w:val="000000"/>
          <w:szCs w:val="21"/>
        </w:rPr>
      </w:pPr>
      <w:r>
        <w:rPr>
          <w:rFonts w:hint="eastAsia" w:ascii="宋体" w:hAnsi="宋体"/>
          <w:b/>
          <w:color w:val="000000"/>
          <w:szCs w:val="21"/>
        </w:rPr>
        <w:t>致：广东省肇庆监狱、</w:t>
      </w:r>
      <w:r>
        <w:rPr>
          <w:rFonts w:hint="eastAsia" w:ascii="宋体" w:hAnsi="宋体"/>
          <w:b/>
          <w:color w:val="000000"/>
        </w:rPr>
        <w:t>采联国际招标采购集团有限公司</w:t>
      </w:r>
    </w:p>
    <w:p w14:paraId="1B8B6434">
      <w:pPr>
        <w:spacing w:line="360" w:lineRule="auto"/>
        <w:rPr>
          <w:rFonts w:ascii="宋体" w:hAnsi="宋体"/>
          <w:color w:val="000000"/>
          <w:lang w:val="zh-CN"/>
        </w:rPr>
      </w:pPr>
    </w:p>
    <w:p w14:paraId="4D8FD3CA">
      <w:pPr>
        <w:snapToGrid w:val="0"/>
        <w:spacing w:line="360" w:lineRule="auto"/>
        <w:ind w:firstLine="420" w:firstLineChars="200"/>
        <w:rPr>
          <w:rFonts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32"/>
          <w:u w:val="single"/>
        </w:rPr>
        <w:t>广东省肇庆监狱防汛物资采购</w:t>
      </w:r>
      <w:r>
        <w:rPr>
          <w:rFonts w:hint="eastAsia" w:ascii="宋体" w:hAnsi="宋体"/>
          <w:color w:val="000000"/>
          <w:szCs w:val="21"/>
        </w:rPr>
        <w:t>的竞价公告，本公司（企业）愿意参加竞价活动，并作出如下声明：</w:t>
      </w:r>
    </w:p>
    <w:p w14:paraId="21BCCF5E">
      <w:pPr>
        <w:pStyle w:val="43"/>
        <w:tabs>
          <w:tab w:val="left" w:pos="426"/>
        </w:tabs>
        <w:snapToGrid w:val="0"/>
        <w:spacing w:line="360" w:lineRule="auto"/>
        <w:ind w:firstLineChars="0"/>
        <w:rPr>
          <w:rFonts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636BFA99">
      <w:pPr>
        <w:pStyle w:val="43"/>
        <w:tabs>
          <w:tab w:val="left" w:pos="426"/>
        </w:tabs>
        <w:snapToGrid w:val="0"/>
        <w:spacing w:line="360" w:lineRule="auto"/>
        <w:ind w:firstLineChars="0"/>
        <w:rPr>
          <w:rFonts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4079BB4A">
      <w:pPr>
        <w:autoSpaceDE w:val="0"/>
        <w:autoSpaceDN w:val="0"/>
        <w:adjustRightInd w:val="0"/>
        <w:spacing w:line="360" w:lineRule="auto"/>
        <w:ind w:firstLine="413" w:firstLineChars="196"/>
        <w:rPr>
          <w:rFonts w:ascii="宋体" w:hAnsi="宋体"/>
          <w:b/>
          <w:color w:val="000000"/>
        </w:rPr>
      </w:pPr>
      <w:r>
        <w:rPr>
          <w:rFonts w:hint="eastAsia" w:ascii="宋体" w:hAnsi="宋体"/>
          <w:b/>
          <w:color w:val="000000"/>
        </w:rPr>
        <w:t>备注：</w:t>
      </w:r>
    </w:p>
    <w:p w14:paraId="1912DB74">
      <w:pPr>
        <w:pStyle w:val="33"/>
        <w:numPr>
          <w:ilvl w:val="0"/>
          <w:numId w:val="32"/>
        </w:numPr>
        <w:autoSpaceDE w:val="0"/>
        <w:autoSpaceDN w:val="0"/>
        <w:adjustRightInd w:val="0"/>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14:paraId="0379B541">
      <w:pPr>
        <w:pStyle w:val="33"/>
        <w:numPr>
          <w:ilvl w:val="0"/>
          <w:numId w:val="32"/>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14:paraId="6F2B365B">
      <w:pPr>
        <w:widowControl/>
        <w:spacing w:line="360" w:lineRule="auto"/>
        <w:jc w:val="left"/>
        <w:rPr>
          <w:rFonts w:ascii="宋体" w:hAnsi="宋体"/>
          <w:b/>
          <w:bCs/>
          <w:color w:val="000000"/>
          <w:kern w:val="0"/>
          <w:sz w:val="32"/>
          <w:szCs w:val="32"/>
        </w:rPr>
      </w:pPr>
    </w:p>
    <w:p w14:paraId="67D146A7">
      <w:pPr>
        <w:wordWrap w:val="0"/>
        <w:spacing w:line="360" w:lineRule="auto"/>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62906FC6">
      <w:pPr>
        <w:spacing w:line="360" w:lineRule="auto"/>
        <w:ind w:firstLine="105" w:firstLineChars="50"/>
        <w:jc w:val="right"/>
        <w:rPr>
          <w:rFonts w:ascii="宋体" w:hAnsi="宋体"/>
          <w:color w:val="000000"/>
          <w:szCs w:val="21"/>
          <w:u w:val="single"/>
        </w:rPr>
      </w:pPr>
    </w:p>
    <w:p w14:paraId="5A1CE97A">
      <w:pPr>
        <w:wordWrap w:val="0"/>
        <w:spacing w:line="360" w:lineRule="auto"/>
        <w:jc w:val="right"/>
        <w:rPr>
          <w:rFonts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2235D267">
      <w:pPr>
        <w:widowControl/>
        <w:spacing w:line="360" w:lineRule="auto"/>
        <w:jc w:val="right"/>
        <w:rPr>
          <w:rFonts w:ascii="宋体" w:hAnsi="宋体"/>
          <w:b/>
          <w:bCs/>
          <w:color w:val="000000"/>
          <w:kern w:val="0"/>
          <w:sz w:val="32"/>
          <w:szCs w:val="32"/>
          <w:lang w:val="zh-CN"/>
        </w:rPr>
      </w:pPr>
    </w:p>
    <w:p w14:paraId="05D56E2C">
      <w:pPr>
        <w:spacing w:line="360" w:lineRule="auto"/>
        <w:rPr>
          <w:rFonts w:ascii="宋体" w:hAnsi="宋体"/>
          <w:color w:val="000000"/>
        </w:rPr>
      </w:pPr>
    </w:p>
    <w:p w14:paraId="67F03CAA">
      <w:pPr>
        <w:widowControl/>
        <w:spacing w:line="360" w:lineRule="auto"/>
        <w:jc w:val="left"/>
        <w:rPr>
          <w:rFonts w:ascii="宋体" w:hAnsi="宋体"/>
          <w:b/>
          <w:bCs/>
          <w:color w:val="000000"/>
          <w:kern w:val="0"/>
          <w:sz w:val="32"/>
          <w:szCs w:val="32"/>
          <w:lang w:val="zh-CN"/>
        </w:rPr>
      </w:pPr>
      <w:r>
        <w:rPr>
          <w:rFonts w:hint="eastAsia" w:ascii="宋体" w:hAnsi="宋体"/>
          <w:color w:val="000000"/>
        </w:rPr>
        <w:br w:type="page"/>
      </w:r>
    </w:p>
    <w:p w14:paraId="065425D2">
      <w:pPr>
        <w:pStyle w:val="4"/>
        <w:rPr>
          <w:rFonts w:ascii="宋体" w:hAnsi="宋体" w:eastAsia="宋体" w:cs="宋体"/>
          <w:b/>
          <w:bCs w:val="0"/>
        </w:rPr>
      </w:pPr>
      <w:r>
        <w:rPr>
          <w:rFonts w:hint="eastAsia" w:ascii="宋体" w:hAnsi="宋体" w:eastAsia="宋体" w:cs="宋体"/>
          <w:b/>
          <w:bCs w:val="0"/>
        </w:rPr>
        <w:t>供应商资格声明函</w:t>
      </w:r>
    </w:p>
    <w:p w14:paraId="653B9785">
      <w:pPr>
        <w:rPr>
          <w:rFonts w:ascii="宋体" w:hAnsi="宋体"/>
          <w:b/>
          <w:color w:val="000000"/>
          <w:szCs w:val="24"/>
        </w:rPr>
      </w:pPr>
    </w:p>
    <w:p w14:paraId="3A30A5EE">
      <w:pPr>
        <w:rPr>
          <w:rFonts w:ascii="宋体" w:hAnsi="宋体"/>
          <w:b/>
          <w:color w:val="000000"/>
          <w:szCs w:val="24"/>
        </w:rPr>
      </w:pPr>
      <w:r>
        <w:rPr>
          <w:rFonts w:hint="eastAsia" w:ascii="宋体" w:hAnsi="宋体"/>
          <w:b/>
          <w:color w:val="000000"/>
          <w:szCs w:val="21"/>
        </w:rPr>
        <w:t>致：</w:t>
      </w:r>
      <w:r>
        <w:rPr>
          <w:rFonts w:hint="eastAsia" w:ascii="宋体" w:hAnsi="宋体"/>
          <w:b/>
          <w:color w:val="000000"/>
          <w:szCs w:val="24"/>
        </w:rPr>
        <w:t>广东省肇庆监狱、</w:t>
      </w:r>
      <w:r>
        <w:rPr>
          <w:rFonts w:hint="eastAsia" w:ascii="宋体" w:hAnsi="宋体"/>
          <w:b/>
          <w:color w:val="000000"/>
        </w:rPr>
        <w:t>采联国际招标采购集团有限公司</w:t>
      </w:r>
      <w:r>
        <w:rPr>
          <w:rFonts w:hint="eastAsia" w:ascii="宋体" w:hAnsi="宋体"/>
          <w:b/>
          <w:color w:val="000000"/>
          <w:szCs w:val="24"/>
        </w:rPr>
        <w:t>：</w:t>
      </w:r>
    </w:p>
    <w:p w14:paraId="775A626A">
      <w:pPr>
        <w:rPr>
          <w:rFonts w:ascii="宋体" w:hAnsi="宋体"/>
          <w:b/>
          <w:color w:val="000000"/>
          <w:szCs w:val="24"/>
        </w:rPr>
      </w:pPr>
    </w:p>
    <w:p w14:paraId="617E7D3C">
      <w:pPr>
        <w:snapToGrid w:val="0"/>
        <w:spacing w:line="360" w:lineRule="auto"/>
        <w:ind w:firstLine="424" w:firstLineChars="202"/>
        <w:rPr>
          <w:rFonts w:ascii="宋体" w:hAnsi="宋体"/>
          <w:color w:val="000000"/>
          <w:szCs w:val="24"/>
        </w:rPr>
      </w:pPr>
      <w:r>
        <w:rPr>
          <w:rFonts w:hint="eastAsia" w:ascii="宋体" w:hAnsi="宋体"/>
          <w:color w:val="000000"/>
          <w:szCs w:val="24"/>
        </w:rPr>
        <w:t>关于贵单位、贵司发布</w:t>
      </w:r>
      <w:r>
        <w:rPr>
          <w:rFonts w:hint="eastAsia" w:ascii="宋体" w:hAnsi="宋体"/>
          <w:b/>
          <w:bCs/>
          <w:color w:val="000000"/>
          <w:szCs w:val="32"/>
          <w:u w:val="single"/>
        </w:rPr>
        <w:t>广东省肇庆监狱防汛物资采购</w:t>
      </w:r>
      <w:r>
        <w:rPr>
          <w:rFonts w:hint="eastAsia" w:ascii="宋体" w:hAnsi="宋体"/>
          <w:color w:val="000000"/>
          <w:szCs w:val="24"/>
        </w:rPr>
        <w:t>的竞价公告，本公司（企业）愿意参加竞价活动，并作出如下声明：</w:t>
      </w:r>
    </w:p>
    <w:p w14:paraId="4C974308">
      <w:pPr>
        <w:snapToGrid w:val="0"/>
        <w:spacing w:line="360" w:lineRule="auto"/>
        <w:ind w:firstLine="420" w:firstLineChars="200"/>
        <w:rPr>
          <w:rFonts w:ascii="宋体" w:hAnsi="宋体"/>
          <w:bCs/>
          <w:szCs w:val="20"/>
        </w:rPr>
      </w:pPr>
      <w:r>
        <w:rPr>
          <w:rFonts w:hint="eastAsia" w:ascii="宋体" w:hAnsi="宋体"/>
          <w:szCs w:val="24"/>
        </w:rPr>
        <w:t>一、本公司（企业）</w:t>
      </w:r>
      <w:r>
        <w:rPr>
          <w:rFonts w:hint="eastAsia" w:ascii="宋体" w:hAnsi="宋体"/>
          <w:bCs/>
          <w:szCs w:val="20"/>
        </w:rPr>
        <w:t>具备：</w:t>
      </w:r>
    </w:p>
    <w:p w14:paraId="61F37ABF">
      <w:pPr>
        <w:widowControl/>
        <w:spacing w:line="360" w:lineRule="auto"/>
        <w:ind w:firstLine="360"/>
        <w:rPr>
          <w:rFonts w:ascii="宋体" w:hAnsi="宋体"/>
          <w:kern w:val="0"/>
          <w:szCs w:val="21"/>
        </w:rPr>
      </w:pPr>
      <w:r>
        <w:rPr>
          <w:rFonts w:hint="eastAsia" w:ascii="宋体" w:hAnsi="宋体"/>
          <w:kern w:val="0"/>
          <w:szCs w:val="21"/>
        </w:rPr>
        <w:t>（一）具有独立承担民事责任的能力；</w:t>
      </w:r>
    </w:p>
    <w:p w14:paraId="54B8E05B">
      <w:pPr>
        <w:widowControl/>
        <w:spacing w:line="360" w:lineRule="auto"/>
        <w:ind w:firstLine="360"/>
        <w:rPr>
          <w:rFonts w:ascii="宋体" w:hAnsi="宋体"/>
          <w:kern w:val="0"/>
          <w:szCs w:val="21"/>
        </w:rPr>
      </w:pPr>
      <w:r>
        <w:rPr>
          <w:rFonts w:hint="eastAsia" w:ascii="宋体" w:hAnsi="宋体"/>
          <w:kern w:val="0"/>
          <w:szCs w:val="21"/>
        </w:rPr>
        <w:t xml:space="preserve">（二）具有良好的商业信誉和健全的财务会计制度； </w:t>
      </w:r>
    </w:p>
    <w:p w14:paraId="5383DD45">
      <w:pPr>
        <w:widowControl/>
        <w:spacing w:line="360" w:lineRule="auto"/>
        <w:ind w:firstLine="360"/>
        <w:rPr>
          <w:rFonts w:ascii="宋体" w:hAnsi="宋体"/>
          <w:kern w:val="0"/>
          <w:szCs w:val="21"/>
        </w:rPr>
      </w:pPr>
      <w:r>
        <w:rPr>
          <w:rFonts w:hint="eastAsia" w:ascii="宋体" w:hAnsi="宋体"/>
          <w:kern w:val="0"/>
          <w:szCs w:val="21"/>
        </w:rPr>
        <w:t>（三）具有履行合同所必需的设备和专业技术能力；</w:t>
      </w:r>
    </w:p>
    <w:p w14:paraId="04CC9495">
      <w:pPr>
        <w:widowControl/>
        <w:spacing w:line="360" w:lineRule="auto"/>
        <w:ind w:firstLine="360"/>
        <w:rPr>
          <w:rFonts w:ascii="宋体" w:hAnsi="宋体"/>
          <w:kern w:val="0"/>
          <w:szCs w:val="21"/>
        </w:rPr>
      </w:pPr>
      <w:r>
        <w:rPr>
          <w:rFonts w:hint="eastAsia" w:ascii="宋体" w:hAnsi="宋体"/>
          <w:kern w:val="0"/>
          <w:szCs w:val="21"/>
        </w:rPr>
        <w:t>（四）有依法缴纳税收和社会保障资金的良好记录；</w:t>
      </w:r>
    </w:p>
    <w:p w14:paraId="376CDCEA">
      <w:pPr>
        <w:widowControl/>
        <w:spacing w:line="360" w:lineRule="auto"/>
        <w:ind w:firstLine="360"/>
        <w:rPr>
          <w:rFonts w:ascii="宋体" w:hAnsi="宋体"/>
          <w:kern w:val="0"/>
          <w:szCs w:val="21"/>
        </w:rPr>
      </w:pPr>
      <w:r>
        <w:rPr>
          <w:rFonts w:hint="eastAsia" w:ascii="宋体" w:hAnsi="宋体"/>
          <w:kern w:val="0"/>
          <w:szCs w:val="21"/>
        </w:rPr>
        <w:t>（五）</w:t>
      </w:r>
      <w:r>
        <w:rPr>
          <w:rFonts w:hint="eastAsia" w:ascii="宋体" w:hAnsi="宋体"/>
        </w:rP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kern w:val="0"/>
          <w:szCs w:val="21"/>
        </w:rPr>
        <w:t>；</w:t>
      </w:r>
    </w:p>
    <w:p w14:paraId="6663CD1B">
      <w:pPr>
        <w:widowControl/>
        <w:spacing w:line="360" w:lineRule="auto"/>
        <w:ind w:firstLine="360"/>
        <w:rPr>
          <w:rFonts w:ascii="宋体" w:hAnsi="宋体"/>
          <w:kern w:val="0"/>
          <w:szCs w:val="21"/>
        </w:rPr>
      </w:pPr>
      <w:r>
        <w:rPr>
          <w:rFonts w:hint="eastAsia" w:ascii="宋体" w:hAnsi="宋体"/>
          <w:kern w:val="0"/>
          <w:szCs w:val="21"/>
        </w:rPr>
        <w:t>（六）法律、行政法规规定的其他条件。</w:t>
      </w:r>
    </w:p>
    <w:p w14:paraId="1DC06552">
      <w:pPr>
        <w:snapToGrid w:val="0"/>
        <w:spacing w:line="360" w:lineRule="auto"/>
        <w:ind w:firstLine="424" w:firstLineChars="202"/>
        <w:rPr>
          <w:rFonts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78FBAC77">
      <w:pPr>
        <w:snapToGrid w:val="0"/>
        <w:spacing w:line="360" w:lineRule="auto"/>
        <w:ind w:firstLine="424" w:firstLineChars="202"/>
        <w:rPr>
          <w:rFonts w:ascii="宋体" w:hAnsi="宋体"/>
          <w:szCs w:val="24"/>
        </w:rPr>
      </w:pPr>
      <w:r>
        <w:rPr>
          <w:rFonts w:hint="eastAsia" w:ascii="宋体" w:hAnsi="宋体"/>
          <w:szCs w:val="24"/>
        </w:rPr>
        <w:t>三、本公司（企业）在本项目中不转包分包且不联合竞价。</w:t>
      </w:r>
    </w:p>
    <w:p w14:paraId="6A143B7A">
      <w:pPr>
        <w:snapToGrid w:val="0"/>
        <w:spacing w:line="360" w:lineRule="auto"/>
        <w:ind w:firstLine="424" w:firstLineChars="202"/>
        <w:rPr>
          <w:rFonts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253AA70A">
      <w:pPr>
        <w:spacing w:line="360" w:lineRule="auto"/>
        <w:ind w:firstLine="420"/>
        <w:rPr>
          <w:rFonts w:ascii="宋体" w:hAnsi="宋体"/>
          <w:szCs w:val="21"/>
        </w:rPr>
      </w:pPr>
      <w:r>
        <w:rPr>
          <w:rFonts w:hint="eastAsia" w:ascii="宋体" w:hAnsi="宋体"/>
          <w:szCs w:val="21"/>
        </w:rPr>
        <w:t>特此声明！</w:t>
      </w:r>
    </w:p>
    <w:p w14:paraId="5626FDCD">
      <w:pPr>
        <w:autoSpaceDE w:val="0"/>
        <w:autoSpaceDN w:val="0"/>
        <w:adjustRightInd w:val="0"/>
        <w:spacing w:line="360" w:lineRule="auto"/>
        <w:ind w:firstLine="413" w:firstLineChars="196"/>
        <w:rPr>
          <w:rFonts w:ascii="宋体" w:hAnsi="宋体"/>
          <w:b/>
          <w:color w:val="000000"/>
        </w:rPr>
      </w:pPr>
      <w:r>
        <w:rPr>
          <w:rFonts w:hint="eastAsia" w:ascii="宋体" w:hAnsi="宋体"/>
          <w:b/>
          <w:color w:val="000000"/>
        </w:rPr>
        <w:t>备注：</w:t>
      </w:r>
    </w:p>
    <w:p w14:paraId="30E39324">
      <w:pPr>
        <w:pStyle w:val="33"/>
        <w:numPr>
          <w:ilvl w:val="0"/>
          <w:numId w:val="33"/>
        </w:numPr>
        <w:autoSpaceDE w:val="0"/>
        <w:autoSpaceDN w:val="0"/>
        <w:adjustRightInd w:val="0"/>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14:paraId="2590949C">
      <w:pPr>
        <w:pStyle w:val="33"/>
        <w:numPr>
          <w:ilvl w:val="0"/>
          <w:numId w:val="33"/>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14:paraId="36A1F7EB">
      <w:pPr>
        <w:pStyle w:val="33"/>
        <w:wordWrap w:val="0"/>
        <w:spacing w:line="360" w:lineRule="auto"/>
        <w:ind w:left="1200" w:right="218" w:firstLine="0" w:firstLineChars="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7EB0C4A4">
      <w:pPr>
        <w:pStyle w:val="33"/>
        <w:wordWrap w:val="0"/>
        <w:spacing w:line="360" w:lineRule="auto"/>
        <w:ind w:left="1200" w:right="218" w:firstLine="0" w:firstLineChars="0"/>
        <w:jc w:val="right"/>
        <w:rPr>
          <w:rFonts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5E74B259">
      <w:pPr>
        <w:widowControl/>
        <w:jc w:val="left"/>
        <w:rPr>
          <w:rFonts w:ascii="宋体" w:hAnsi="宋体"/>
          <w:color w:val="000000"/>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B22F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17A">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4CE0D"/>
    <w:multiLevelType w:val="multilevel"/>
    <w:tmpl w:val="85E4CE0D"/>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
    <w:nsid w:val="DF0EEBA4"/>
    <w:multiLevelType w:val="singleLevel"/>
    <w:tmpl w:val="DF0EEBA4"/>
    <w:lvl w:ilvl="0" w:tentative="0">
      <w:start w:val="1"/>
      <w:numFmt w:val="decimal"/>
      <w:suff w:val="nothing"/>
      <w:lvlText w:val="%1．"/>
      <w:lvlJc w:val="left"/>
      <w:pPr>
        <w:ind w:left="0" w:firstLine="400"/>
      </w:pPr>
      <w:rPr>
        <w:rFonts w:hint="default"/>
      </w:rPr>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00000002"/>
    <w:multiLevelType w:val="singleLevel"/>
    <w:tmpl w:val="00000002"/>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00000003"/>
    <w:multiLevelType w:val="singleLevel"/>
    <w:tmpl w:val="00000003"/>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00000007"/>
    <w:multiLevelType w:val="multilevel"/>
    <w:tmpl w:val="00000007"/>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00000009"/>
    <w:multiLevelType w:val="singleLevel"/>
    <w:tmpl w:val="0000000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E"/>
    <w:multiLevelType w:val="multilevel"/>
    <w:tmpl w:val="0000000E"/>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00000010"/>
    <w:multiLevelType w:val="singleLevel"/>
    <w:tmpl w:val="00000010"/>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00000011"/>
    <w:multiLevelType w:val="multilevel"/>
    <w:tmpl w:val="00000011"/>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00000015"/>
    <w:multiLevelType w:val="singleLevel"/>
    <w:tmpl w:val="0000001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00000016"/>
    <w:multiLevelType w:val="multilevel"/>
    <w:tmpl w:val="00000016"/>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7"/>
    <w:multiLevelType w:val="multilevel"/>
    <w:tmpl w:val="00000017"/>
    <w:lvl w:ilvl="0" w:tentative="0">
      <w:start w:val="1"/>
      <w:numFmt w:val="decimal"/>
      <w:suff w:val="space"/>
      <w:lvlText w:val="%1."/>
      <w:lvlJc w:val="left"/>
      <w:pPr>
        <w:ind w:left="420" w:hanging="420"/>
      </w:pPr>
      <w:rPr>
        <w:rFonts w:hint="default" w:ascii="宋体" w:hAnsi="宋体" w:eastAsia="宋体"/>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15D74798"/>
    <w:multiLevelType w:val="multilevel"/>
    <w:tmpl w:val="15D74798"/>
    <w:lvl w:ilvl="0" w:tentative="0">
      <w:start w:val="1"/>
      <w:numFmt w:val="chineseCountingThousand"/>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9">
    <w:nsid w:val="1671DD3F"/>
    <w:multiLevelType w:val="multilevel"/>
    <w:tmpl w:val="1671DD3F"/>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0">
    <w:nsid w:val="19260921"/>
    <w:multiLevelType w:val="singleLevel"/>
    <w:tmpl w:val="1926092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1">
    <w:nsid w:val="20041141"/>
    <w:multiLevelType w:val="singleLevel"/>
    <w:tmpl w:val="20041141"/>
    <w:lvl w:ilvl="0" w:tentative="0">
      <w:start w:val="1"/>
      <w:numFmt w:val="decimal"/>
      <w:suff w:val="nothing"/>
      <w:lvlText w:val="%1．"/>
      <w:lvlJc w:val="left"/>
      <w:pPr>
        <w:ind w:left="0" w:firstLine="400"/>
      </w:pPr>
      <w:rPr>
        <w:rFonts w:hint="default"/>
      </w:rPr>
    </w:lvl>
  </w:abstractNum>
  <w:abstractNum w:abstractNumId="22">
    <w:nsid w:val="23E12B2A"/>
    <w:multiLevelType w:val="multilevel"/>
    <w:tmpl w:val="23E12B2A"/>
    <w:lvl w:ilvl="0" w:tentative="0">
      <w:start w:val="1"/>
      <w:numFmt w:val="chineseCountingThousand"/>
      <w:suff w:val="space"/>
      <w:lvlText w:val="(%1)"/>
      <w:lvlJc w:val="left"/>
      <w:pPr>
        <w:ind w:left="0" w:firstLine="0"/>
      </w:pPr>
      <w:rPr>
        <w:rFonts w:hint="eastAsia" w:ascii="宋体" w:hAnsi="宋体" w:eastAsia="宋体"/>
        <w:b w:val="0"/>
        <w:bCs w:val="0"/>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3">
    <w:nsid w:val="2C9F0BA4"/>
    <w:multiLevelType w:val="multilevel"/>
    <w:tmpl w:val="2C9F0BA4"/>
    <w:lvl w:ilvl="0" w:tentative="0">
      <w:start w:val="1"/>
      <w:numFmt w:val="decimal"/>
      <w:suff w:val="space"/>
      <w:lvlText w:val="（%1）"/>
      <w:lvlJc w:val="left"/>
      <w:pPr>
        <w:ind w:left="0" w:firstLine="0"/>
      </w:pPr>
      <w:rPr>
        <w:rFonts w:hint="eastAsia"/>
        <w:b w:val="0"/>
        <w:color w:val="auto"/>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3E2FB9F6"/>
    <w:multiLevelType w:val="multilevel"/>
    <w:tmpl w:val="3E2FB9F6"/>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5">
    <w:nsid w:val="421433E2"/>
    <w:multiLevelType w:val="multilevel"/>
    <w:tmpl w:val="421433E2"/>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435B4039"/>
    <w:multiLevelType w:val="multilevel"/>
    <w:tmpl w:val="435B4039"/>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7">
    <w:nsid w:val="4C2A3851"/>
    <w:multiLevelType w:val="multilevel"/>
    <w:tmpl w:val="4C2A3851"/>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8">
    <w:nsid w:val="4CC55870"/>
    <w:multiLevelType w:val="multilevel"/>
    <w:tmpl w:val="4CC55870"/>
    <w:lvl w:ilvl="0" w:tentative="0">
      <w:start w:val="1"/>
      <w:numFmt w:val="decimal"/>
      <w:pStyle w:val="138"/>
      <w:suff w:val="space"/>
      <w:lvlText w:val="%1."/>
      <w:lvlJc w:val="left"/>
      <w:pPr>
        <w:ind w:left="0" w:firstLine="840"/>
      </w:pPr>
      <w:rPr>
        <w:rFonts w:hint="default" w:ascii="宋体" w:hAnsi="宋体" w:eastAsia="宋体" w:cs="Times New Roman"/>
      </w:rPr>
    </w:lvl>
    <w:lvl w:ilvl="1" w:tentative="0">
      <w:start w:val="1"/>
      <w:numFmt w:val="lowerLetter"/>
      <w:lvlText w:val="%2)"/>
      <w:lvlJc w:val="left"/>
      <w:pPr>
        <w:ind w:left="1720" w:hanging="440"/>
      </w:pPr>
      <w:rPr>
        <w:rFonts w:hint="default" w:ascii="Times New Roman" w:hAnsi="Times New Roman" w:cs="Times New Roman"/>
      </w:rPr>
    </w:lvl>
    <w:lvl w:ilvl="2" w:tentative="0">
      <w:start w:val="1"/>
      <w:numFmt w:val="lowerRoman"/>
      <w:lvlText w:val="%3."/>
      <w:lvlJc w:val="right"/>
      <w:pPr>
        <w:ind w:left="2160" w:hanging="440"/>
      </w:pPr>
      <w:rPr>
        <w:rFonts w:hint="default" w:ascii="Times New Roman" w:hAnsi="Times New Roman" w:cs="Times New Roman"/>
      </w:rPr>
    </w:lvl>
    <w:lvl w:ilvl="3" w:tentative="0">
      <w:start w:val="1"/>
      <w:numFmt w:val="decimal"/>
      <w:lvlText w:val="%4."/>
      <w:lvlJc w:val="left"/>
      <w:pPr>
        <w:ind w:left="2600" w:hanging="440"/>
      </w:pPr>
      <w:rPr>
        <w:rFonts w:hint="default" w:ascii="Times New Roman" w:hAnsi="Times New Roman" w:cs="Times New Roman"/>
      </w:rPr>
    </w:lvl>
    <w:lvl w:ilvl="4" w:tentative="0">
      <w:start w:val="1"/>
      <w:numFmt w:val="lowerLetter"/>
      <w:lvlText w:val="%5)"/>
      <w:lvlJc w:val="left"/>
      <w:pPr>
        <w:ind w:left="3040" w:hanging="440"/>
      </w:pPr>
      <w:rPr>
        <w:rFonts w:hint="default" w:ascii="Times New Roman" w:hAnsi="Times New Roman" w:cs="Times New Roman"/>
      </w:rPr>
    </w:lvl>
    <w:lvl w:ilvl="5" w:tentative="0">
      <w:start w:val="1"/>
      <w:numFmt w:val="lowerRoman"/>
      <w:lvlText w:val="%6."/>
      <w:lvlJc w:val="right"/>
      <w:pPr>
        <w:ind w:left="3480" w:hanging="440"/>
      </w:pPr>
      <w:rPr>
        <w:rFonts w:hint="default" w:ascii="Times New Roman" w:hAnsi="Times New Roman" w:cs="Times New Roman"/>
      </w:rPr>
    </w:lvl>
    <w:lvl w:ilvl="6" w:tentative="0">
      <w:start w:val="1"/>
      <w:numFmt w:val="decimal"/>
      <w:lvlText w:val="%7."/>
      <w:lvlJc w:val="left"/>
      <w:pPr>
        <w:ind w:left="3920" w:hanging="440"/>
      </w:pPr>
      <w:rPr>
        <w:rFonts w:hint="default" w:ascii="Times New Roman" w:hAnsi="Times New Roman" w:cs="Times New Roman"/>
      </w:rPr>
    </w:lvl>
    <w:lvl w:ilvl="7" w:tentative="0">
      <w:start w:val="1"/>
      <w:numFmt w:val="lowerLetter"/>
      <w:lvlText w:val="%8)"/>
      <w:lvlJc w:val="left"/>
      <w:pPr>
        <w:ind w:left="4360" w:hanging="440"/>
      </w:pPr>
      <w:rPr>
        <w:rFonts w:hint="default" w:ascii="Times New Roman" w:hAnsi="Times New Roman" w:cs="Times New Roman"/>
      </w:rPr>
    </w:lvl>
    <w:lvl w:ilvl="8" w:tentative="0">
      <w:start w:val="1"/>
      <w:numFmt w:val="lowerRoman"/>
      <w:lvlText w:val="%9."/>
      <w:lvlJc w:val="right"/>
      <w:pPr>
        <w:ind w:left="4800" w:hanging="440"/>
      </w:pPr>
      <w:rPr>
        <w:rFonts w:hint="default" w:ascii="Times New Roman" w:hAnsi="Times New Roman" w:cs="Times New Roman"/>
      </w:rPr>
    </w:lvl>
  </w:abstractNum>
  <w:abstractNum w:abstractNumId="29">
    <w:nsid w:val="53151A6E"/>
    <w:multiLevelType w:val="multilevel"/>
    <w:tmpl w:val="53151A6E"/>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0">
    <w:nsid w:val="63A73B57"/>
    <w:multiLevelType w:val="multilevel"/>
    <w:tmpl w:val="63A73B57"/>
    <w:lvl w:ilvl="0" w:tentative="0">
      <w:start w:val="1"/>
      <w:numFmt w:val="chineseCountingThousand"/>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31">
    <w:nsid w:val="6812501A"/>
    <w:multiLevelType w:val="multilevel"/>
    <w:tmpl w:val="6812501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7A846717"/>
    <w:multiLevelType w:val="multilevel"/>
    <w:tmpl w:val="7A846717"/>
    <w:lvl w:ilvl="0" w:tentative="0">
      <w:start w:val="1"/>
      <w:numFmt w:val="decimal"/>
      <w:suff w:val="space"/>
      <w:lvlText w:val="（%1）"/>
      <w:lvlJc w:val="left"/>
      <w:pPr>
        <w:ind w:left="0" w:firstLine="0"/>
      </w:pPr>
      <w:rPr>
        <w:rFonts w:hint="eastAsia"/>
        <w:color w:val="auto"/>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6"/>
  </w:num>
  <w:num w:numId="2">
    <w:abstractNumId w:val="28"/>
  </w:num>
  <w:num w:numId="3">
    <w:abstractNumId w:val="16"/>
  </w:num>
  <w:num w:numId="4">
    <w:abstractNumId w:val="4"/>
  </w:num>
  <w:num w:numId="5">
    <w:abstractNumId w:val="13"/>
  </w:num>
  <w:num w:numId="6">
    <w:abstractNumId w:val="2"/>
  </w:num>
  <w:num w:numId="7">
    <w:abstractNumId w:val="7"/>
  </w:num>
  <w:num w:numId="8">
    <w:abstractNumId w:val="9"/>
  </w:num>
  <w:num w:numId="9">
    <w:abstractNumId w:val="15"/>
  </w:num>
  <w:num w:numId="10">
    <w:abstractNumId w:val="10"/>
  </w:num>
  <w:num w:numId="11">
    <w:abstractNumId w:val="3"/>
  </w:num>
  <w:num w:numId="12">
    <w:abstractNumId w:val="20"/>
  </w:num>
  <w:num w:numId="13">
    <w:abstractNumId w:val="8"/>
  </w:num>
  <w:num w:numId="14">
    <w:abstractNumId w:val="11"/>
  </w:num>
  <w:num w:numId="15">
    <w:abstractNumId w:val="5"/>
  </w:num>
  <w:num w:numId="16">
    <w:abstractNumId w:val="29"/>
  </w:num>
  <w:num w:numId="17">
    <w:abstractNumId w:val="25"/>
  </w:num>
  <w:num w:numId="18">
    <w:abstractNumId w:val="22"/>
  </w:num>
  <w:num w:numId="19">
    <w:abstractNumId w:val="1"/>
  </w:num>
  <w:num w:numId="20">
    <w:abstractNumId w:val="21"/>
  </w:num>
  <w:num w:numId="21">
    <w:abstractNumId w:val="32"/>
  </w:num>
  <w:num w:numId="22">
    <w:abstractNumId w:val="23"/>
  </w:num>
  <w:num w:numId="23">
    <w:abstractNumId w:val="31"/>
  </w:num>
  <w:num w:numId="24">
    <w:abstractNumId w:val="30"/>
  </w:num>
  <w:num w:numId="25">
    <w:abstractNumId w:val="27"/>
  </w:num>
  <w:num w:numId="26">
    <w:abstractNumId w:val="18"/>
  </w:num>
  <w:num w:numId="27">
    <w:abstractNumId w:val="26"/>
  </w:num>
  <w:num w:numId="28">
    <w:abstractNumId w:val="19"/>
  </w:num>
  <w:num w:numId="29">
    <w:abstractNumId w:val="0"/>
  </w:num>
  <w:num w:numId="30">
    <w:abstractNumId w:val="24"/>
  </w:num>
  <w:num w:numId="31">
    <w:abstractNumId w:val="17"/>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2NiMGZhNzBiM2Y1NmZkNjFjNmMzMmYwYmNhMTAifQ=="/>
  </w:docVars>
  <w:rsids>
    <w:rsidRoot w:val="00172A27"/>
    <w:rsid w:val="00000D44"/>
    <w:rsid w:val="000018C2"/>
    <w:rsid w:val="00007615"/>
    <w:rsid w:val="00007D55"/>
    <w:rsid w:val="000163F0"/>
    <w:rsid w:val="00021183"/>
    <w:rsid w:val="00026973"/>
    <w:rsid w:val="000357F9"/>
    <w:rsid w:val="000368B2"/>
    <w:rsid w:val="00061A65"/>
    <w:rsid w:val="00064D69"/>
    <w:rsid w:val="00064ED3"/>
    <w:rsid w:val="00067C66"/>
    <w:rsid w:val="000704CE"/>
    <w:rsid w:val="00093850"/>
    <w:rsid w:val="000A178A"/>
    <w:rsid w:val="000A4D17"/>
    <w:rsid w:val="000A4FC5"/>
    <w:rsid w:val="000B4E64"/>
    <w:rsid w:val="000C3B05"/>
    <w:rsid w:val="000D77A8"/>
    <w:rsid w:val="000E3AB1"/>
    <w:rsid w:val="00102F3E"/>
    <w:rsid w:val="00104410"/>
    <w:rsid w:val="00104AAE"/>
    <w:rsid w:val="00117CD6"/>
    <w:rsid w:val="00120C1E"/>
    <w:rsid w:val="001276F0"/>
    <w:rsid w:val="001331DD"/>
    <w:rsid w:val="00135164"/>
    <w:rsid w:val="00135422"/>
    <w:rsid w:val="00141FCC"/>
    <w:rsid w:val="001462EF"/>
    <w:rsid w:val="001501EF"/>
    <w:rsid w:val="00154365"/>
    <w:rsid w:val="00154B2B"/>
    <w:rsid w:val="00154FF7"/>
    <w:rsid w:val="00155218"/>
    <w:rsid w:val="00156670"/>
    <w:rsid w:val="00161258"/>
    <w:rsid w:val="001723F0"/>
    <w:rsid w:val="00172A27"/>
    <w:rsid w:val="00172E02"/>
    <w:rsid w:val="00173E7B"/>
    <w:rsid w:val="001746B1"/>
    <w:rsid w:val="00180D37"/>
    <w:rsid w:val="00181FF7"/>
    <w:rsid w:val="00184304"/>
    <w:rsid w:val="001913D2"/>
    <w:rsid w:val="00197F57"/>
    <w:rsid w:val="001A5D6F"/>
    <w:rsid w:val="001A6F4C"/>
    <w:rsid w:val="001B3A99"/>
    <w:rsid w:val="001C4EFF"/>
    <w:rsid w:val="001D5EA6"/>
    <w:rsid w:val="001D7372"/>
    <w:rsid w:val="001E0379"/>
    <w:rsid w:val="001F2B06"/>
    <w:rsid w:val="00200C81"/>
    <w:rsid w:val="00206D14"/>
    <w:rsid w:val="002208D3"/>
    <w:rsid w:val="002221A8"/>
    <w:rsid w:val="00232DC3"/>
    <w:rsid w:val="00234E01"/>
    <w:rsid w:val="002376A9"/>
    <w:rsid w:val="00247368"/>
    <w:rsid w:val="002524EC"/>
    <w:rsid w:val="00262E31"/>
    <w:rsid w:val="00265EBD"/>
    <w:rsid w:val="00271C1C"/>
    <w:rsid w:val="00273482"/>
    <w:rsid w:val="00286571"/>
    <w:rsid w:val="002961EA"/>
    <w:rsid w:val="002B6234"/>
    <w:rsid w:val="002D044C"/>
    <w:rsid w:val="002D46D1"/>
    <w:rsid w:val="002D5DDF"/>
    <w:rsid w:val="002D62A6"/>
    <w:rsid w:val="002D73BB"/>
    <w:rsid w:val="002E0A58"/>
    <w:rsid w:val="002E10EE"/>
    <w:rsid w:val="002E295B"/>
    <w:rsid w:val="002F17C3"/>
    <w:rsid w:val="002F2EA1"/>
    <w:rsid w:val="002F55B8"/>
    <w:rsid w:val="002F7A77"/>
    <w:rsid w:val="00302C9A"/>
    <w:rsid w:val="00326D3C"/>
    <w:rsid w:val="0033023F"/>
    <w:rsid w:val="00337C04"/>
    <w:rsid w:val="003407FE"/>
    <w:rsid w:val="00342AD0"/>
    <w:rsid w:val="00351F3E"/>
    <w:rsid w:val="00353A08"/>
    <w:rsid w:val="00367A3B"/>
    <w:rsid w:val="00371FD4"/>
    <w:rsid w:val="00374C08"/>
    <w:rsid w:val="00382368"/>
    <w:rsid w:val="003A17C5"/>
    <w:rsid w:val="003A4170"/>
    <w:rsid w:val="003A6EAE"/>
    <w:rsid w:val="003B16A8"/>
    <w:rsid w:val="003B1BDB"/>
    <w:rsid w:val="003B3F1F"/>
    <w:rsid w:val="003B6A47"/>
    <w:rsid w:val="003C3F22"/>
    <w:rsid w:val="003D487C"/>
    <w:rsid w:val="003D4C82"/>
    <w:rsid w:val="003E20A6"/>
    <w:rsid w:val="003F0A0E"/>
    <w:rsid w:val="00412760"/>
    <w:rsid w:val="00413EFC"/>
    <w:rsid w:val="0041441D"/>
    <w:rsid w:val="00417451"/>
    <w:rsid w:val="00426444"/>
    <w:rsid w:val="004331B1"/>
    <w:rsid w:val="004335CA"/>
    <w:rsid w:val="00442801"/>
    <w:rsid w:val="00445AD4"/>
    <w:rsid w:val="00456910"/>
    <w:rsid w:val="00471EAD"/>
    <w:rsid w:val="00487BD3"/>
    <w:rsid w:val="004A24D5"/>
    <w:rsid w:val="004C2F12"/>
    <w:rsid w:val="004D4B8E"/>
    <w:rsid w:val="004E2034"/>
    <w:rsid w:val="004E293C"/>
    <w:rsid w:val="004E6130"/>
    <w:rsid w:val="004F18A3"/>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47B9"/>
    <w:rsid w:val="005B5F0A"/>
    <w:rsid w:val="005C11AA"/>
    <w:rsid w:val="005C533E"/>
    <w:rsid w:val="005C54EC"/>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34CD5"/>
    <w:rsid w:val="0063628C"/>
    <w:rsid w:val="00643553"/>
    <w:rsid w:val="0064538A"/>
    <w:rsid w:val="006536F2"/>
    <w:rsid w:val="00655159"/>
    <w:rsid w:val="0065765F"/>
    <w:rsid w:val="00657B1D"/>
    <w:rsid w:val="00664772"/>
    <w:rsid w:val="0068034A"/>
    <w:rsid w:val="00681622"/>
    <w:rsid w:val="006821A9"/>
    <w:rsid w:val="00693BEE"/>
    <w:rsid w:val="00695332"/>
    <w:rsid w:val="00695449"/>
    <w:rsid w:val="00697F53"/>
    <w:rsid w:val="006A0E6C"/>
    <w:rsid w:val="006A3E3F"/>
    <w:rsid w:val="006A7E0C"/>
    <w:rsid w:val="006B6450"/>
    <w:rsid w:val="006C2438"/>
    <w:rsid w:val="006C26DA"/>
    <w:rsid w:val="006D35E5"/>
    <w:rsid w:val="006E6554"/>
    <w:rsid w:val="006E691A"/>
    <w:rsid w:val="007005F8"/>
    <w:rsid w:val="007116E1"/>
    <w:rsid w:val="007204B7"/>
    <w:rsid w:val="007245F0"/>
    <w:rsid w:val="0072784B"/>
    <w:rsid w:val="00732355"/>
    <w:rsid w:val="007326A6"/>
    <w:rsid w:val="00735C49"/>
    <w:rsid w:val="007373EE"/>
    <w:rsid w:val="007374AD"/>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656AD"/>
    <w:rsid w:val="007748F0"/>
    <w:rsid w:val="00780F05"/>
    <w:rsid w:val="007A0C99"/>
    <w:rsid w:val="007A34C3"/>
    <w:rsid w:val="007A3709"/>
    <w:rsid w:val="007A6359"/>
    <w:rsid w:val="007B2A19"/>
    <w:rsid w:val="007B3E44"/>
    <w:rsid w:val="007C0042"/>
    <w:rsid w:val="007C0FA8"/>
    <w:rsid w:val="007C2036"/>
    <w:rsid w:val="007C25E1"/>
    <w:rsid w:val="007C4C5B"/>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A164F"/>
    <w:rsid w:val="008B0829"/>
    <w:rsid w:val="008B2C1A"/>
    <w:rsid w:val="008B3D22"/>
    <w:rsid w:val="008B3EF6"/>
    <w:rsid w:val="008C1693"/>
    <w:rsid w:val="008D1E43"/>
    <w:rsid w:val="008D7DD1"/>
    <w:rsid w:val="008E4935"/>
    <w:rsid w:val="008E6936"/>
    <w:rsid w:val="008F382E"/>
    <w:rsid w:val="008F543C"/>
    <w:rsid w:val="00904437"/>
    <w:rsid w:val="00905BA3"/>
    <w:rsid w:val="00905BEB"/>
    <w:rsid w:val="00907834"/>
    <w:rsid w:val="00915168"/>
    <w:rsid w:val="00915B2E"/>
    <w:rsid w:val="0091684C"/>
    <w:rsid w:val="00930032"/>
    <w:rsid w:val="00942896"/>
    <w:rsid w:val="00944180"/>
    <w:rsid w:val="00973A7F"/>
    <w:rsid w:val="00975410"/>
    <w:rsid w:val="0097592D"/>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1892"/>
    <w:rsid w:val="00A42A0F"/>
    <w:rsid w:val="00A50D8A"/>
    <w:rsid w:val="00A65C0F"/>
    <w:rsid w:val="00A72224"/>
    <w:rsid w:val="00A817AB"/>
    <w:rsid w:val="00A83882"/>
    <w:rsid w:val="00A85C37"/>
    <w:rsid w:val="00A90629"/>
    <w:rsid w:val="00A91DCF"/>
    <w:rsid w:val="00A92A18"/>
    <w:rsid w:val="00AA172D"/>
    <w:rsid w:val="00AA179F"/>
    <w:rsid w:val="00AB1FB4"/>
    <w:rsid w:val="00AB6E1F"/>
    <w:rsid w:val="00AB774D"/>
    <w:rsid w:val="00AC34FC"/>
    <w:rsid w:val="00AC5A8D"/>
    <w:rsid w:val="00AC5BC5"/>
    <w:rsid w:val="00AD44E8"/>
    <w:rsid w:val="00AD62CA"/>
    <w:rsid w:val="00AE442B"/>
    <w:rsid w:val="00B104D1"/>
    <w:rsid w:val="00B12375"/>
    <w:rsid w:val="00B206A0"/>
    <w:rsid w:val="00B252DA"/>
    <w:rsid w:val="00B271CD"/>
    <w:rsid w:val="00B317BE"/>
    <w:rsid w:val="00B322D3"/>
    <w:rsid w:val="00B32BDE"/>
    <w:rsid w:val="00B33B50"/>
    <w:rsid w:val="00B33D04"/>
    <w:rsid w:val="00B35FCE"/>
    <w:rsid w:val="00B410B9"/>
    <w:rsid w:val="00B53687"/>
    <w:rsid w:val="00B67CD5"/>
    <w:rsid w:val="00B75A57"/>
    <w:rsid w:val="00B82FC0"/>
    <w:rsid w:val="00B8423B"/>
    <w:rsid w:val="00B92B2F"/>
    <w:rsid w:val="00BA0F28"/>
    <w:rsid w:val="00BB25D8"/>
    <w:rsid w:val="00BB3D52"/>
    <w:rsid w:val="00BC2F19"/>
    <w:rsid w:val="00BC340C"/>
    <w:rsid w:val="00BC3986"/>
    <w:rsid w:val="00BE3545"/>
    <w:rsid w:val="00BE5574"/>
    <w:rsid w:val="00BE58B2"/>
    <w:rsid w:val="00BE7B3F"/>
    <w:rsid w:val="00BF1BE3"/>
    <w:rsid w:val="00BF5AA5"/>
    <w:rsid w:val="00C02693"/>
    <w:rsid w:val="00C132B2"/>
    <w:rsid w:val="00C13455"/>
    <w:rsid w:val="00C2207A"/>
    <w:rsid w:val="00C43C98"/>
    <w:rsid w:val="00C43FD3"/>
    <w:rsid w:val="00C47463"/>
    <w:rsid w:val="00C47767"/>
    <w:rsid w:val="00C515DB"/>
    <w:rsid w:val="00C5327C"/>
    <w:rsid w:val="00C61472"/>
    <w:rsid w:val="00C61D2E"/>
    <w:rsid w:val="00C63058"/>
    <w:rsid w:val="00C6574A"/>
    <w:rsid w:val="00C754FD"/>
    <w:rsid w:val="00C87692"/>
    <w:rsid w:val="00CA0106"/>
    <w:rsid w:val="00CA6264"/>
    <w:rsid w:val="00CB6B43"/>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4D5"/>
    <w:rsid w:val="00D6745F"/>
    <w:rsid w:val="00D951FB"/>
    <w:rsid w:val="00D97AB3"/>
    <w:rsid w:val="00DB0ADC"/>
    <w:rsid w:val="00DB1A00"/>
    <w:rsid w:val="00DB576E"/>
    <w:rsid w:val="00DD275E"/>
    <w:rsid w:val="00DE06E6"/>
    <w:rsid w:val="00DE57C3"/>
    <w:rsid w:val="00DF0397"/>
    <w:rsid w:val="00DF0CA1"/>
    <w:rsid w:val="00E009F7"/>
    <w:rsid w:val="00E00E72"/>
    <w:rsid w:val="00E03C5C"/>
    <w:rsid w:val="00E10DD1"/>
    <w:rsid w:val="00E15287"/>
    <w:rsid w:val="00E21ADB"/>
    <w:rsid w:val="00E24F07"/>
    <w:rsid w:val="00E36AB4"/>
    <w:rsid w:val="00E47E81"/>
    <w:rsid w:val="00E50E27"/>
    <w:rsid w:val="00E536B8"/>
    <w:rsid w:val="00E57F16"/>
    <w:rsid w:val="00E60C49"/>
    <w:rsid w:val="00E64F27"/>
    <w:rsid w:val="00E65A53"/>
    <w:rsid w:val="00E77088"/>
    <w:rsid w:val="00E80877"/>
    <w:rsid w:val="00E901FD"/>
    <w:rsid w:val="00E95384"/>
    <w:rsid w:val="00EA11ED"/>
    <w:rsid w:val="00EA3A44"/>
    <w:rsid w:val="00EC6489"/>
    <w:rsid w:val="00ED5A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A1F5A"/>
    <w:rsid w:val="00FB0475"/>
    <w:rsid w:val="00FB43CD"/>
    <w:rsid w:val="00FC080D"/>
    <w:rsid w:val="00FC135D"/>
    <w:rsid w:val="00FD4515"/>
    <w:rsid w:val="00FD5864"/>
    <w:rsid w:val="00FD66D5"/>
    <w:rsid w:val="00FE6C64"/>
    <w:rsid w:val="00FE727B"/>
    <w:rsid w:val="00FF6320"/>
    <w:rsid w:val="02CD7A41"/>
    <w:rsid w:val="0B92379D"/>
    <w:rsid w:val="0C053100"/>
    <w:rsid w:val="0C402416"/>
    <w:rsid w:val="148853C3"/>
    <w:rsid w:val="14D94420"/>
    <w:rsid w:val="180A3E84"/>
    <w:rsid w:val="1A090EA0"/>
    <w:rsid w:val="238B3100"/>
    <w:rsid w:val="24B0459D"/>
    <w:rsid w:val="27CB464F"/>
    <w:rsid w:val="2AF81B9A"/>
    <w:rsid w:val="33DA23A9"/>
    <w:rsid w:val="34276F09"/>
    <w:rsid w:val="34442C49"/>
    <w:rsid w:val="35537270"/>
    <w:rsid w:val="41041E84"/>
    <w:rsid w:val="421E2D67"/>
    <w:rsid w:val="43146AAA"/>
    <w:rsid w:val="44C606A1"/>
    <w:rsid w:val="45062258"/>
    <w:rsid w:val="4A785E5F"/>
    <w:rsid w:val="4BCC01DC"/>
    <w:rsid w:val="4C4D6142"/>
    <w:rsid w:val="4E824B06"/>
    <w:rsid w:val="511E2FB3"/>
    <w:rsid w:val="51C851A2"/>
    <w:rsid w:val="527B6176"/>
    <w:rsid w:val="52A8161F"/>
    <w:rsid w:val="5CC4732D"/>
    <w:rsid w:val="61A145D6"/>
    <w:rsid w:val="62A229B2"/>
    <w:rsid w:val="6A99123A"/>
    <w:rsid w:val="6CCD5207"/>
    <w:rsid w:val="6D495E7D"/>
    <w:rsid w:val="6E7A6196"/>
    <w:rsid w:val="70324818"/>
    <w:rsid w:val="70C8515A"/>
    <w:rsid w:val="73240D44"/>
    <w:rsid w:val="732D52E6"/>
    <w:rsid w:val="736D5908"/>
    <w:rsid w:val="74715661"/>
    <w:rsid w:val="74FE1A10"/>
    <w:rsid w:val="75FF4CB8"/>
    <w:rsid w:val="76CE17C6"/>
    <w:rsid w:val="77DC609D"/>
    <w:rsid w:val="7A7E73AF"/>
    <w:rsid w:val="7BC739A0"/>
    <w:rsid w:val="7C0402AB"/>
    <w:rsid w:val="7F9CA6F5"/>
    <w:rsid w:val="FEFE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58"/>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link w:val="88"/>
    <w:unhideWhenUsed/>
    <w:qFormat/>
    <w:uiPriority w:val="0"/>
    <w:pPr>
      <w:keepNext/>
      <w:keepLines/>
      <w:spacing w:before="260" w:after="260" w:line="416" w:lineRule="auto"/>
      <w:jc w:val="center"/>
      <w:outlineLvl w:val="1"/>
    </w:pPr>
    <w:rPr>
      <w:rFonts w:ascii="Arial" w:hAnsi="Arial" w:eastAsia="黑体" w:cs="Times New Roman"/>
      <w:bCs/>
      <w:sz w:val="32"/>
      <w:szCs w:val="32"/>
    </w:rPr>
  </w:style>
  <w:style w:type="paragraph" w:styleId="5">
    <w:name w:val="heading 3"/>
    <w:basedOn w:val="1"/>
    <w:next w:val="1"/>
    <w:link w:val="64"/>
    <w:semiHidden/>
    <w:unhideWhenUsed/>
    <w:qFormat/>
    <w:uiPriority w:val="9"/>
    <w:pPr>
      <w:keepNext/>
      <w:keepLines/>
      <w:spacing w:before="260" w:after="260" w:line="413" w:lineRule="auto"/>
      <w:outlineLvl w:val="2"/>
    </w:pPr>
    <w:rPr>
      <w:b/>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Times New Roman" w:hAnsi="Times New Roman" w:cs="Times New Roman"/>
      <w:szCs w:val="24"/>
    </w:rPr>
  </w:style>
  <w:style w:type="paragraph" w:styleId="6">
    <w:name w:val="Normal Indent"/>
    <w:basedOn w:val="1"/>
    <w:qFormat/>
    <w:uiPriority w:val="0"/>
    <w:pPr>
      <w:spacing w:line="60" w:lineRule="auto"/>
      <w:ind w:firstLine="420" w:firstLineChars="200"/>
    </w:pPr>
    <w:rPr>
      <w:rFonts w:ascii="Times New Roman" w:hAnsi="Times New Roman" w:cs="Times New Roman"/>
      <w:szCs w:val="24"/>
    </w:rPr>
  </w:style>
  <w:style w:type="paragraph" w:styleId="7">
    <w:name w:val="annotation text"/>
    <w:basedOn w:val="1"/>
    <w:link w:val="89"/>
    <w:qFormat/>
    <w:uiPriority w:val="0"/>
    <w:pPr>
      <w:jc w:val="left"/>
    </w:pPr>
    <w:rPr>
      <w:rFonts w:ascii="Times New Roman" w:hAnsi="Times New Roman" w:cs="Times New Roman"/>
      <w:szCs w:val="24"/>
    </w:rPr>
  </w:style>
  <w:style w:type="paragraph" w:styleId="8">
    <w:name w:val="Body Text"/>
    <w:basedOn w:val="1"/>
    <w:link w:val="94"/>
    <w:qFormat/>
    <w:uiPriority w:val="99"/>
    <w:pPr>
      <w:spacing w:after="120"/>
    </w:pPr>
  </w:style>
  <w:style w:type="paragraph" w:styleId="9">
    <w:name w:val="Body Text Indent"/>
    <w:basedOn w:val="1"/>
    <w:next w:val="10"/>
    <w:link w:val="91"/>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3"/>
    <w:qFormat/>
    <w:uiPriority w:val="0"/>
    <w:rPr>
      <w:rFonts w:ascii="宋体" w:hAnsi="Courier New" w:cs="Times New Roman"/>
      <w:kern w:val="0"/>
      <w:sz w:val="20"/>
      <w:szCs w:val="21"/>
    </w:rPr>
  </w:style>
  <w:style w:type="paragraph" w:styleId="12">
    <w:name w:val="Date"/>
    <w:basedOn w:val="1"/>
    <w:next w:val="1"/>
    <w:link w:val="111"/>
    <w:semiHidden/>
    <w:unhideWhenUsed/>
    <w:qFormat/>
    <w:uiPriority w:val="99"/>
    <w:pPr>
      <w:ind w:left="100" w:leftChars="2500"/>
    </w:pPr>
  </w:style>
  <w:style w:type="paragraph" w:styleId="13">
    <w:name w:val="Balloon Text"/>
    <w:basedOn w:val="1"/>
    <w:link w:val="35"/>
    <w:qFormat/>
    <w:uiPriority w:val="99"/>
    <w:rPr>
      <w:sz w:val="18"/>
      <w:szCs w:val="18"/>
    </w:rPr>
  </w:style>
  <w:style w:type="paragraph" w:styleId="14">
    <w:name w:val="footer"/>
    <w:basedOn w:val="1"/>
    <w:link w:val="59"/>
    <w:qFormat/>
    <w:uiPriority w:val="0"/>
    <w:pPr>
      <w:tabs>
        <w:tab w:val="center" w:pos="4153"/>
        <w:tab w:val="right" w:pos="8306"/>
      </w:tabs>
      <w:snapToGrid w:val="0"/>
      <w:jc w:val="left"/>
    </w:pPr>
    <w:rPr>
      <w:sz w:val="18"/>
      <w:szCs w:val="18"/>
    </w:rPr>
  </w:style>
  <w:style w:type="paragraph" w:styleId="15">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400" w:lineRule="exact"/>
      <w:jc w:val="center"/>
    </w:pPr>
    <w:rPr>
      <w:rFonts w:hint="eastAsia" w:ascii="宋体" w:hAnsi="宋体" w:cs="Times New Roman"/>
      <w:b/>
      <w:bCs/>
    </w:rPr>
  </w:style>
  <w:style w:type="paragraph" w:styleId="17">
    <w:name w:val="footnote text"/>
    <w:basedOn w:val="1"/>
    <w:link w:val="76"/>
    <w:qFormat/>
    <w:uiPriority w:val="99"/>
    <w:pPr>
      <w:snapToGrid w:val="0"/>
      <w:jc w:val="left"/>
    </w:pPr>
    <w:rPr>
      <w:sz w:val="18"/>
    </w:rPr>
  </w:style>
  <w:style w:type="paragraph" w:styleId="18">
    <w:name w:val="Body Text Indent 3"/>
    <w:basedOn w:val="1"/>
    <w:link w:val="96"/>
    <w:qFormat/>
    <w:uiPriority w:val="99"/>
    <w:pPr>
      <w:spacing w:after="120"/>
      <w:ind w:left="420" w:leftChars="200"/>
    </w:pPr>
    <w:rPr>
      <w:rFonts w:hint="eastAsia" w:ascii="等线" w:hAnsi="等线" w:eastAsia="等线" w:cs="Times New Roman"/>
      <w:sz w:val="16"/>
      <w:szCs w:val="16"/>
    </w:rPr>
  </w:style>
  <w:style w:type="paragraph" w:styleId="19">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cs="Times New Roman"/>
      <w:smallCaps/>
      <w:sz w:val="20"/>
    </w:rPr>
  </w:style>
  <w:style w:type="paragraph" w:styleId="20">
    <w:name w:val="Normal (Web)"/>
    <w:basedOn w:val="1"/>
    <w:link w:val="90"/>
    <w:qFormat/>
    <w:uiPriority w:val="99"/>
    <w:pPr>
      <w:widowControl/>
      <w:spacing w:before="100" w:beforeAutospacing="1" w:after="100" w:afterAutospacing="1"/>
      <w:jc w:val="left"/>
    </w:pPr>
    <w:rPr>
      <w:rFonts w:ascii="宋体" w:hAnsi="宋体"/>
      <w:kern w:val="0"/>
      <w:sz w:val="24"/>
      <w:szCs w:val="24"/>
    </w:rPr>
  </w:style>
  <w:style w:type="paragraph" w:styleId="21">
    <w:name w:val="Title"/>
    <w:basedOn w:val="1"/>
    <w:next w:val="1"/>
    <w:link w:val="75"/>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36"/>
    <w:qFormat/>
    <w:uiPriority w:val="99"/>
    <w:rPr>
      <w:b/>
      <w:bCs/>
    </w:rPr>
  </w:style>
  <w:style w:type="paragraph" w:styleId="23">
    <w:name w:val="Body Text First Indent"/>
    <w:basedOn w:val="8"/>
    <w:link w:val="97"/>
    <w:qFormat/>
    <w:uiPriority w:val="0"/>
    <w:pPr>
      <w:ind w:firstLine="420" w:firstLineChars="100"/>
    </w:pPr>
    <w:rPr>
      <w:rFonts w:cs="Times New Roman"/>
    </w:rPr>
  </w:style>
  <w:style w:type="paragraph" w:styleId="24">
    <w:name w:val="Body Text First Indent 2"/>
    <w:basedOn w:val="9"/>
    <w:next w:val="1"/>
    <w:link w:val="50"/>
    <w:qFormat/>
    <w:uiPriority w:val="0"/>
    <w:pPr>
      <w:ind w:firstLine="420" w:firstLine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annotation reference"/>
    <w:basedOn w:val="27"/>
    <w:qFormat/>
    <w:uiPriority w:val="99"/>
    <w:rPr>
      <w:sz w:val="21"/>
      <w:szCs w:val="21"/>
    </w:rPr>
  </w:style>
  <w:style w:type="character" w:customStyle="1" w:styleId="31">
    <w:name w:val="页眉 字符"/>
    <w:basedOn w:val="27"/>
    <w:qFormat/>
    <w:uiPriority w:val="0"/>
    <w:rPr>
      <w:sz w:val="18"/>
      <w:szCs w:val="18"/>
    </w:rPr>
  </w:style>
  <w:style w:type="character" w:customStyle="1" w:styleId="32">
    <w:name w:val="页脚 字符"/>
    <w:basedOn w:val="27"/>
    <w:qFormat/>
    <w:uiPriority w:val="0"/>
    <w:rPr>
      <w:sz w:val="18"/>
      <w:szCs w:val="18"/>
    </w:rPr>
  </w:style>
  <w:style w:type="paragraph" w:styleId="33">
    <w:name w:val="List Paragraph"/>
    <w:basedOn w:val="1"/>
    <w:link w:val="41"/>
    <w:qFormat/>
    <w:uiPriority w:val="34"/>
    <w:pPr>
      <w:ind w:firstLine="420" w:firstLineChars="200"/>
    </w:pPr>
  </w:style>
  <w:style w:type="character" w:customStyle="1" w:styleId="34">
    <w:name w:val="批注文字 字符"/>
    <w:basedOn w:val="27"/>
    <w:qFormat/>
    <w:uiPriority w:val="99"/>
  </w:style>
  <w:style w:type="character" w:customStyle="1" w:styleId="35">
    <w:name w:val="批注框文本 字符"/>
    <w:basedOn w:val="27"/>
    <w:link w:val="13"/>
    <w:qFormat/>
    <w:uiPriority w:val="99"/>
    <w:rPr>
      <w:sz w:val="18"/>
      <w:szCs w:val="18"/>
    </w:rPr>
  </w:style>
  <w:style w:type="character" w:customStyle="1" w:styleId="36">
    <w:name w:val="批注主题 字符"/>
    <w:basedOn w:val="34"/>
    <w:link w:val="22"/>
    <w:qFormat/>
    <w:uiPriority w:val="99"/>
    <w:rPr>
      <w:b/>
      <w:bCs/>
    </w:rPr>
  </w:style>
  <w:style w:type="character" w:customStyle="1" w:styleId="37">
    <w:name w:val="标题 Char"/>
    <w:basedOn w:val="27"/>
    <w:qFormat/>
    <w:uiPriority w:val="0"/>
    <w:rPr>
      <w:rFonts w:ascii="Cambria" w:hAnsi="Cambria" w:eastAsia="宋体" w:cs="宋体"/>
      <w:b/>
      <w:bCs/>
      <w:sz w:val="32"/>
      <w:szCs w:val="32"/>
    </w:rPr>
  </w:style>
  <w:style w:type="character" w:customStyle="1" w:styleId="38">
    <w:name w:val="标题 2 字符"/>
    <w:basedOn w:val="27"/>
    <w:autoRedefine/>
    <w:qFormat/>
    <w:uiPriority w:val="0"/>
    <w:rPr>
      <w:rFonts w:ascii="Arial" w:hAnsi="Arial" w:eastAsia="黑体" w:cs="Times New Roman"/>
      <w:b/>
      <w:bCs/>
      <w:sz w:val="32"/>
      <w:szCs w:val="32"/>
    </w:rPr>
  </w:style>
  <w:style w:type="character" w:customStyle="1" w:styleId="39">
    <w:name w:val="纯文本 字符"/>
    <w:basedOn w:val="27"/>
    <w:qFormat/>
    <w:uiPriority w:val="0"/>
    <w:rPr>
      <w:rFonts w:ascii="宋体" w:hAnsi="Courier New" w:eastAsia="宋体" w:cs="Times New Roman"/>
      <w:kern w:val="0"/>
      <w:sz w:val="20"/>
      <w:szCs w:val="21"/>
    </w:rPr>
  </w:style>
  <w:style w:type="paragraph" w:customStyle="1" w:styleId="40">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1">
    <w:name w:val="列表段落 字符4"/>
    <w:link w:val="33"/>
    <w:qFormat/>
    <w:uiPriority w:val="99"/>
  </w:style>
  <w:style w:type="paragraph" w:customStyle="1" w:styleId="42">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43">
    <w:name w:val="列出段落1"/>
    <w:basedOn w:val="1"/>
    <w:link w:val="44"/>
    <w:qFormat/>
    <w:uiPriority w:val="99"/>
    <w:pPr>
      <w:ind w:firstLine="420" w:firstLineChars="200"/>
    </w:pPr>
    <w:rPr>
      <w:rFonts w:ascii="Times New Roman" w:hAnsi="Times New Roman" w:cs="Times New Roman"/>
      <w:szCs w:val="21"/>
    </w:rPr>
  </w:style>
  <w:style w:type="character" w:customStyle="1" w:styleId="44">
    <w:name w:val="List Paragraph Char"/>
    <w:link w:val="43"/>
    <w:qFormat/>
    <w:uiPriority w:val="99"/>
    <w:rPr>
      <w:rFonts w:ascii="Times New Roman" w:hAnsi="Times New Roman" w:eastAsia="宋体" w:cs="Times New Roman"/>
      <w:szCs w:val="21"/>
    </w:rPr>
  </w:style>
  <w:style w:type="paragraph" w:customStyle="1" w:styleId="45">
    <w:name w:val="_Style 121"/>
    <w:basedOn w:val="1"/>
    <w:next w:val="33"/>
    <w:qFormat/>
    <w:uiPriority w:val="34"/>
    <w:pPr>
      <w:ind w:firstLine="420" w:firstLineChars="200"/>
    </w:pPr>
    <w:rPr>
      <w:rFonts w:cs="Times New Roman"/>
    </w:rPr>
  </w:style>
  <w:style w:type="paragraph" w:customStyle="1" w:styleId="46">
    <w:name w:val="start-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7">
    <w:name w:val="start-font-3"/>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48">
    <w:name w:val="纯文本 Char1"/>
    <w:qFormat/>
    <w:uiPriority w:val="0"/>
    <w:rPr>
      <w:rFonts w:ascii="宋体" w:hAnsi="Courier New" w:eastAsia="宋体" w:cs="Times New Roman"/>
      <w:kern w:val="0"/>
      <w:sz w:val="20"/>
      <w:szCs w:val="21"/>
    </w:rPr>
  </w:style>
  <w:style w:type="character" w:customStyle="1" w:styleId="49">
    <w:name w:val="正文文本缩进 字符"/>
    <w:basedOn w:val="27"/>
    <w:qFormat/>
    <w:uiPriority w:val="99"/>
    <w:rPr>
      <w:kern w:val="2"/>
      <w:sz w:val="21"/>
      <w:szCs w:val="24"/>
    </w:rPr>
  </w:style>
  <w:style w:type="character" w:customStyle="1" w:styleId="50">
    <w:name w:val="正文文本首行缩进 2 字符"/>
    <w:basedOn w:val="49"/>
    <w:link w:val="24"/>
    <w:autoRedefine/>
    <w:qFormat/>
    <w:uiPriority w:val="99"/>
    <w:rPr>
      <w:kern w:val="2"/>
      <w:sz w:val="21"/>
      <w:szCs w:val="24"/>
    </w:rPr>
  </w:style>
  <w:style w:type="paragraph" w:customStyle="1" w:styleId="51">
    <w:name w:val="msolistparagraph"/>
    <w:basedOn w:val="1"/>
    <w:qFormat/>
    <w:uiPriority w:val="0"/>
    <w:pPr>
      <w:ind w:firstLine="420" w:firstLineChars="200"/>
    </w:pPr>
    <w:rPr>
      <w:rFonts w:ascii="Times New Roman" w:hAnsi="Times New Roman" w:cs="Times New Roman"/>
    </w:rPr>
  </w:style>
  <w:style w:type="character" w:customStyle="1" w:styleId="52">
    <w:name w:val="列出段落 Char"/>
    <w:basedOn w:val="27"/>
    <w:qFormat/>
    <w:uiPriority w:val="34"/>
    <w:rPr>
      <w:kern w:val="2"/>
      <w:sz w:val="21"/>
      <w:szCs w:val="22"/>
    </w:rPr>
  </w:style>
  <w:style w:type="character" w:customStyle="1" w:styleId="53">
    <w:name w:val="正文文本 字符"/>
    <w:basedOn w:val="27"/>
    <w:qFormat/>
    <w:uiPriority w:val="99"/>
    <w:rPr>
      <w:rFonts w:hint="default" w:ascii="Calibri" w:hAnsi="Calibri" w:eastAsia="宋体" w:cs="Times New Roman"/>
      <w:kern w:val="2"/>
      <w:sz w:val="21"/>
      <w:szCs w:val="22"/>
    </w:rPr>
  </w:style>
  <w:style w:type="character" w:customStyle="1" w:styleId="54">
    <w:name w:val="纯文本 Char"/>
    <w:basedOn w:val="27"/>
    <w:qFormat/>
    <w:uiPriority w:val="0"/>
    <w:rPr>
      <w:rFonts w:hint="eastAsia" w:ascii="宋体" w:hAnsi="Courier New" w:eastAsia="宋体" w:cs="宋体"/>
      <w:szCs w:val="21"/>
    </w:rPr>
  </w:style>
  <w:style w:type="paragraph" w:customStyle="1" w:styleId="55">
    <w:name w:val="_Style 116"/>
    <w:basedOn w:val="1"/>
    <w:next w:val="33"/>
    <w:qFormat/>
    <w:uiPriority w:val="99"/>
    <w:pPr>
      <w:ind w:firstLine="420" w:firstLineChars="200"/>
    </w:pPr>
    <w:rPr>
      <w:kern w:val="0"/>
      <w:sz w:val="20"/>
      <w:szCs w:val="20"/>
    </w:rPr>
  </w:style>
  <w:style w:type="character" w:customStyle="1" w:styleId="56">
    <w:name w:val="普通(网站) 字符"/>
    <w:basedOn w:val="27"/>
    <w:qFormat/>
    <w:uiPriority w:val="0"/>
    <w:rPr>
      <w:rFonts w:hint="eastAsia" w:ascii="宋体" w:hAnsi="宋体" w:eastAsia="宋体" w:cs="宋体"/>
      <w:sz w:val="24"/>
      <w:szCs w:val="24"/>
    </w:rPr>
  </w:style>
  <w:style w:type="character" w:customStyle="1" w:styleId="57">
    <w:name w:val="批注文字 Char"/>
    <w:basedOn w:val="27"/>
    <w:qFormat/>
    <w:uiPriority w:val="0"/>
    <w:rPr>
      <w:kern w:val="2"/>
      <w:sz w:val="21"/>
      <w:szCs w:val="24"/>
    </w:rPr>
  </w:style>
  <w:style w:type="character" w:customStyle="1" w:styleId="58">
    <w:name w:val="标题 1 字符"/>
    <w:basedOn w:val="27"/>
    <w:link w:val="3"/>
    <w:qFormat/>
    <w:uiPriority w:val="0"/>
    <w:rPr>
      <w:b/>
      <w:bCs/>
      <w:kern w:val="44"/>
      <w:sz w:val="44"/>
      <w:szCs w:val="44"/>
    </w:rPr>
  </w:style>
  <w:style w:type="character" w:customStyle="1" w:styleId="59">
    <w:name w:val="页脚 字符1"/>
    <w:basedOn w:val="27"/>
    <w:link w:val="14"/>
    <w:qFormat/>
    <w:uiPriority w:val="0"/>
    <w:rPr>
      <w:kern w:val="2"/>
      <w:sz w:val="18"/>
      <w:szCs w:val="18"/>
    </w:rPr>
  </w:style>
  <w:style w:type="character" w:customStyle="1" w:styleId="60">
    <w:name w:val="页眉 字符1"/>
    <w:basedOn w:val="27"/>
    <w:qFormat/>
    <w:uiPriority w:val="0"/>
    <w:rPr>
      <w:kern w:val="2"/>
      <w:sz w:val="18"/>
      <w:szCs w:val="18"/>
    </w:rPr>
  </w:style>
  <w:style w:type="character" w:customStyle="1" w:styleId="61">
    <w:name w:val="标题 2 字符1"/>
    <w:basedOn w:val="27"/>
    <w:qFormat/>
    <w:uiPriority w:val="0"/>
    <w:rPr>
      <w:rFonts w:hint="default" w:ascii="Cambria" w:hAnsi="Cambria" w:eastAsia="Cambria" w:cs="Cambria"/>
      <w:b/>
      <w:bCs/>
      <w:kern w:val="2"/>
      <w:sz w:val="32"/>
      <w:szCs w:val="32"/>
    </w:rPr>
  </w:style>
  <w:style w:type="character" w:customStyle="1" w:styleId="62">
    <w:name w:val="列出段落 Char1"/>
    <w:basedOn w:val="27"/>
    <w:qFormat/>
    <w:uiPriority w:val="0"/>
    <w:rPr>
      <w:rFonts w:hint="default" w:ascii="Calibri" w:hAnsi="Calibri" w:cs="Calibri"/>
      <w:kern w:val="2"/>
      <w:sz w:val="21"/>
      <w:szCs w:val="22"/>
    </w:rPr>
  </w:style>
  <w:style w:type="character" w:customStyle="1" w:styleId="63">
    <w:name w:val="纯文本 字符2"/>
    <w:basedOn w:val="27"/>
    <w:link w:val="11"/>
    <w:qFormat/>
    <w:uiPriority w:val="0"/>
    <w:rPr>
      <w:rFonts w:hint="eastAsia" w:ascii="宋体" w:hAnsi="Courier New" w:eastAsia="宋体" w:cs="宋体"/>
      <w:szCs w:val="21"/>
      <w:lang w:val="zh-CN"/>
    </w:rPr>
  </w:style>
  <w:style w:type="character" w:customStyle="1" w:styleId="64">
    <w:name w:val="标题 3 字符"/>
    <w:basedOn w:val="27"/>
    <w:link w:val="5"/>
    <w:qFormat/>
    <w:uiPriority w:val="9"/>
    <w:rPr>
      <w:rFonts w:ascii="Calibri" w:hAnsi="Calibri" w:eastAsia="宋体" w:cs="宋体"/>
      <w:b/>
      <w:kern w:val="2"/>
      <w:sz w:val="21"/>
      <w:szCs w:val="21"/>
    </w:rPr>
  </w:style>
  <w:style w:type="paragraph" w:customStyle="1" w:styleId="65">
    <w:name w:val="列表段落2"/>
    <w:basedOn w:val="1"/>
    <w:qFormat/>
    <w:uiPriority w:val="0"/>
    <w:pPr>
      <w:ind w:firstLine="420" w:firstLineChars="200"/>
    </w:pPr>
    <w:rPr>
      <w:rFonts w:ascii="Times New Roman" w:hAnsi="Times New Roman" w:cs="Times New Roman"/>
      <w:szCs w:val="24"/>
    </w:rPr>
  </w:style>
  <w:style w:type="character" w:customStyle="1" w:styleId="66">
    <w:name w:val="正文文本首行缩进 字符"/>
    <w:qFormat/>
    <w:uiPriority w:val="0"/>
    <w:rPr>
      <w:rFonts w:hint="default" w:ascii="Calibri" w:hAnsi="Calibri" w:eastAsia="宋体" w:cs="Times New Roman"/>
      <w:kern w:val="2"/>
      <w:sz w:val="21"/>
      <w:szCs w:val="22"/>
    </w:rPr>
  </w:style>
  <w:style w:type="paragraph" w:customStyle="1" w:styleId="67">
    <w:name w:val="p0"/>
    <w:basedOn w:val="1"/>
    <w:qFormat/>
    <w:uiPriority w:val="0"/>
    <w:pPr>
      <w:widowControl/>
    </w:pPr>
    <w:rPr>
      <w:rFonts w:cs="Times New Roman"/>
      <w:kern w:val="0"/>
      <w:szCs w:val="21"/>
    </w:rPr>
  </w:style>
  <w:style w:type="character" w:customStyle="1" w:styleId="68">
    <w:name w:val="font51"/>
    <w:basedOn w:val="27"/>
    <w:qFormat/>
    <w:uiPriority w:val="0"/>
    <w:rPr>
      <w:rFonts w:hint="eastAsia" w:ascii="宋体" w:hAnsi="宋体" w:eastAsia="宋体" w:cs="宋体"/>
      <w:color w:val="000000"/>
      <w:sz w:val="21"/>
      <w:szCs w:val="21"/>
      <w:u w:val="none"/>
    </w:rPr>
  </w:style>
  <w:style w:type="character" w:customStyle="1" w:styleId="69">
    <w:name w:val="列表段落 字符2"/>
    <w:basedOn w:val="27"/>
    <w:qFormat/>
    <w:uiPriority w:val="0"/>
  </w:style>
  <w:style w:type="character" w:customStyle="1" w:styleId="70">
    <w:name w:val="NormalCharacter"/>
    <w:basedOn w:val="27"/>
    <w:qFormat/>
    <w:uiPriority w:val="0"/>
  </w:style>
  <w:style w:type="character" w:customStyle="1" w:styleId="71">
    <w:name w:val="font31"/>
    <w:basedOn w:val="27"/>
    <w:qFormat/>
    <w:uiPriority w:val="0"/>
    <w:rPr>
      <w:rFonts w:hint="default" w:ascii="Times New Roman" w:hAnsi="Times New Roman" w:cs="Times New Roman"/>
      <w:color w:val="000000"/>
      <w:sz w:val="21"/>
      <w:szCs w:val="21"/>
      <w:u w:val="none"/>
    </w:rPr>
  </w:style>
  <w:style w:type="character" w:customStyle="1" w:styleId="72">
    <w:name w:val="font21"/>
    <w:basedOn w:val="27"/>
    <w:qFormat/>
    <w:uiPriority w:val="0"/>
    <w:rPr>
      <w:rFonts w:hint="eastAsia" w:ascii="宋体" w:hAnsi="宋体" w:eastAsia="宋体" w:cs="宋体"/>
      <w:color w:val="000000"/>
      <w:sz w:val="24"/>
      <w:szCs w:val="24"/>
      <w:u w:val="none"/>
    </w:rPr>
  </w:style>
  <w:style w:type="character" w:customStyle="1" w:styleId="73">
    <w:name w:val="font11"/>
    <w:basedOn w:val="27"/>
    <w:qFormat/>
    <w:uiPriority w:val="0"/>
    <w:rPr>
      <w:rFonts w:hint="eastAsia" w:ascii="宋体" w:hAnsi="宋体" w:eastAsia="宋体" w:cs="宋体"/>
      <w:color w:val="000000"/>
      <w:sz w:val="21"/>
      <w:szCs w:val="21"/>
      <w:u w:val="none"/>
    </w:rPr>
  </w:style>
  <w:style w:type="character" w:customStyle="1" w:styleId="74">
    <w:name w:val="纯文本 字符1"/>
    <w:basedOn w:val="27"/>
    <w:qFormat/>
    <w:uiPriority w:val="0"/>
    <w:rPr>
      <w:rFonts w:hint="eastAsia" w:ascii="宋体" w:hAnsi="Courier New" w:eastAsia="宋体" w:cs="宋体"/>
      <w:szCs w:val="21"/>
    </w:rPr>
  </w:style>
  <w:style w:type="character" w:customStyle="1" w:styleId="75">
    <w:name w:val="标题 字符"/>
    <w:basedOn w:val="27"/>
    <w:link w:val="21"/>
    <w:qFormat/>
    <w:uiPriority w:val="0"/>
    <w:rPr>
      <w:rFonts w:hint="default" w:ascii="Cambria" w:hAnsi="Cambria" w:eastAsia="Cambria" w:cs="Times New Roman"/>
      <w:b/>
      <w:bCs/>
      <w:kern w:val="2"/>
      <w:sz w:val="32"/>
      <w:szCs w:val="32"/>
    </w:rPr>
  </w:style>
  <w:style w:type="character" w:customStyle="1" w:styleId="76">
    <w:name w:val="脚注文本 字符"/>
    <w:basedOn w:val="27"/>
    <w:link w:val="17"/>
    <w:qFormat/>
    <w:uiPriority w:val="0"/>
    <w:rPr>
      <w:rFonts w:hint="eastAsia" w:ascii="宋体" w:hAnsi="宋体" w:eastAsia="宋体" w:cs="Times New Roman"/>
      <w:kern w:val="2"/>
      <w:sz w:val="24"/>
      <w:szCs w:val="18"/>
    </w:rPr>
  </w:style>
  <w:style w:type="character" w:customStyle="1" w:styleId="77">
    <w:name w:val="脚注文本 Char1"/>
    <w:basedOn w:val="27"/>
    <w:qFormat/>
    <w:uiPriority w:val="0"/>
    <w:rPr>
      <w:rFonts w:hint="default" w:ascii="Calibri" w:hAnsi="Calibri" w:eastAsia="宋体" w:cs="Times New Roman"/>
      <w:kern w:val="2"/>
      <w:sz w:val="18"/>
      <w:szCs w:val="18"/>
    </w:rPr>
  </w:style>
  <w:style w:type="character" w:customStyle="1" w:styleId="78">
    <w:name w:val="列表段落 字符1"/>
    <w:basedOn w:val="27"/>
    <w:qFormat/>
    <w:uiPriority w:val="0"/>
  </w:style>
  <w:style w:type="paragraph" w:customStyle="1" w:styleId="79">
    <w:name w:val="Table Paragraph"/>
    <w:basedOn w:val="1"/>
    <w:qFormat/>
    <w:uiPriority w:val="0"/>
    <w:rPr>
      <w:rFonts w:hint="eastAsia" w:ascii="宋体" w:hAnsi="宋体" w:cs="Times New Roman"/>
      <w:szCs w:val="24"/>
    </w:rPr>
  </w:style>
  <w:style w:type="character" w:customStyle="1" w:styleId="80">
    <w:name w:val="font41"/>
    <w:basedOn w:val="27"/>
    <w:qFormat/>
    <w:uiPriority w:val="0"/>
    <w:rPr>
      <w:rFonts w:hint="eastAsia" w:ascii="宋体" w:hAnsi="宋体" w:eastAsia="宋体" w:cs="宋体"/>
      <w:color w:val="FF0000"/>
      <w:sz w:val="24"/>
      <w:szCs w:val="24"/>
      <w:u w:val="none"/>
    </w:rPr>
  </w:style>
  <w:style w:type="character" w:customStyle="1" w:styleId="81">
    <w:name w:val="font91"/>
    <w:basedOn w:val="27"/>
    <w:qFormat/>
    <w:uiPriority w:val="0"/>
    <w:rPr>
      <w:rFonts w:hint="default" w:ascii="Times New Roman" w:hAnsi="Times New Roman" w:cs="Times New Roman"/>
      <w:color w:val="000000"/>
      <w:sz w:val="21"/>
      <w:szCs w:val="21"/>
      <w:u w:val="none"/>
    </w:rPr>
  </w:style>
  <w:style w:type="paragraph" w:customStyle="1" w:styleId="82">
    <w:name w:val="正文_0_0"/>
    <w:basedOn w:val="1"/>
    <w:qFormat/>
    <w:uiPriority w:val="0"/>
    <w:rPr>
      <w:rFonts w:cs="Times New Roman"/>
    </w:rPr>
  </w:style>
  <w:style w:type="character" w:customStyle="1" w:styleId="83">
    <w:name w:val="批注文字 字符1"/>
    <w:basedOn w:val="27"/>
    <w:qFormat/>
    <w:uiPriority w:val="0"/>
    <w:rPr>
      <w:szCs w:val="24"/>
    </w:rPr>
  </w:style>
  <w:style w:type="character" w:customStyle="1" w:styleId="84">
    <w:name w:val="列表段落 字符"/>
    <w:basedOn w:val="27"/>
    <w:qFormat/>
    <w:uiPriority w:val="34"/>
    <w:rPr>
      <w:rFonts w:hint="default" w:ascii="Calibri" w:hAnsi="Calibri" w:cs="Calibri"/>
      <w:kern w:val="2"/>
      <w:sz w:val="21"/>
      <w:szCs w:val="22"/>
    </w:rPr>
  </w:style>
  <w:style w:type="paragraph" w:customStyle="1" w:styleId="85">
    <w:name w:val="_Style 24"/>
    <w:basedOn w:val="1"/>
    <w:qFormat/>
    <w:uiPriority w:val="0"/>
    <w:pPr>
      <w:ind w:firstLine="420" w:firstLineChars="200"/>
    </w:pPr>
    <w:rPr>
      <w:rFonts w:cs="Times New Roman"/>
    </w:rPr>
  </w:style>
  <w:style w:type="character" w:customStyle="1" w:styleId="86">
    <w:name w:val="列表段落 字符3"/>
    <w:basedOn w:val="27"/>
    <w:qFormat/>
    <w:uiPriority w:val="0"/>
    <w:rPr>
      <w:rFonts w:hint="default" w:ascii="Calibri" w:hAnsi="Calibri" w:eastAsia="宋体" w:cs="Times New Roman"/>
      <w:kern w:val="2"/>
      <w:sz w:val="21"/>
      <w:szCs w:val="22"/>
    </w:rPr>
  </w:style>
  <w:style w:type="character" w:customStyle="1" w:styleId="87">
    <w:name w:val="列出段落 Char2"/>
    <w:basedOn w:val="27"/>
    <w:qFormat/>
    <w:uiPriority w:val="0"/>
    <w:rPr>
      <w:rFonts w:hint="default" w:ascii="Calibri" w:hAnsi="Calibri" w:eastAsia="宋体" w:cs="Times New Roman"/>
      <w:kern w:val="2"/>
      <w:sz w:val="21"/>
      <w:szCs w:val="22"/>
    </w:rPr>
  </w:style>
  <w:style w:type="character" w:customStyle="1" w:styleId="88">
    <w:name w:val="标题 2 字符2"/>
    <w:basedOn w:val="27"/>
    <w:link w:val="4"/>
    <w:qFormat/>
    <w:uiPriority w:val="0"/>
    <w:rPr>
      <w:rFonts w:ascii="Arial" w:hAnsi="Arial" w:eastAsia="黑体"/>
      <w:bCs/>
      <w:kern w:val="2"/>
      <w:sz w:val="32"/>
      <w:szCs w:val="32"/>
    </w:rPr>
  </w:style>
  <w:style w:type="character" w:customStyle="1" w:styleId="89">
    <w:name w:val="批注文字 字符2"/>
    <w:basedOn w:val="27"/>
    <w:link w:val="7"/>
    <w:qFormat/>
    <w:uiPriority w:val="0"/>
    <w:rPr>
      <w:kern w:val="2"/>
      <w:sz w:val="21"/>
      <w:szCs w:val="24"/>
    </w:rPr>
  </w:style>
  <w:style w:type="character" w:customStyle="1" w:styleId="90">
    <w:name w:val="普通(网站) 字符1"/>
    <w:basedOn w:val="27"/>
    <w:link w:val="20"/>
    <w:qFormat/>
    <w:uiPriority w:val="0"/>
    <w:rPr>
      <w:rFonts w:hint="eastAsia" w:ascii="宋体" w:hAnsi="宋体" w:eastAsia="宋体" w:cs="宋体"/>
      <w:sz w:val="24"/>
      <w:szCs w:val="24"/>
    </w:rPr>
  </w:style>
  <w:style w:type="character" w:customStyle="1" w:styleId="91">
    <w:name w:val="正文文本缩进 字符1"/>
    <w:basedOn w:val="27"/>
    <w:link w:val="9"/>
    <w:qFormat/>
    <w:uiPriority w:val="0"/>
    <w:rPr>
      <w:kern w:val="2"/>
      <w:sz w:val="21"/>
      <w:szCs w:val="22"/>
    </w:rPr>
  </w:style>
  <w:style w:type="paragraph" w:customStyle="1" w:styleId="92">
    <w:name w:val="正文文本首行缩进 21"/>
    <w:basedOn w:val="9"/>
    <w:qFormat/>
    <w:uiPriority w:val="0"/>
    <w:pPr>
      <w:ind w:firstLine="420" w:firstLineChars="200"/>
    </w:pPr>
    <w:rPr>
      <w:rFonts w:ascii="Times New Roman" w:hAnsi="Times New Roman" w:cs="Times New Roman"/>
      <w:kern w:val="0"/>
      <w:sz w:val="20"/>
      <w:szCs w:val="20"/>
    </w:rPr>
  </w:style>
  <w:style w:type="paragraph" w:customStyle="1" w:styleId="93">
    <w:name w:val="_Style 5"/>
    <w:basedOn w:val="1"/>
    <w:next w:val="1"/>
    <w:qFormat/>
    <w:uiPriority w:val="0"/>
    <w:pPr>
      <w:ind w:firstLine="420" w:firstLineChars="200"/>
    </w:pPr>
    <w:rPr>
      <w:rFonts w:ascii="Times New Roman" w:hAnsi="Times New Roman" w:cs="Times New Roman"/>
    </w:rPr>
  </w:style>
  <w:style w:type="character" w:customStyle="1" w:styleId="94">
    <w:name w:val="正文文本 字符1"/>
    <w:basedOn w:val="27"/>
    <w:link w:val="8"/>
    <w:qFormat/>
    <w:uiPriority w:val="0"/>
    <w:rPr>
      <w:rFonts w:hint="default" w:ascii="Calibri" w:hAnsi="Calibri" w:eastAsia="宋体" w:cs="Times New Roman"/>
      <w:kern w:val="2"/>
      <w:sz w:val="21"/>
      <w:szCs w:val="22"/>
    </w:rPr>
  </w:style>
  <w:style w:type="paragraph" w:customStyle="1" w:styleId="95">
    <w:name w:val="列表段落1"/>
    <w:basedOn w:val="1"/>
    <w:qFormat/>
    <w:uiPriority w:val="0"/>
    <w:pPr>
      <w:ind w:firstLine="420" w:firstLineChars="200"/>
    </w:pPr>
    <w:rPr>
      <w:rFonts w:hint="eastAsia" w:ascii="等线" w:hAnsi="等线" w:eastAsia="等线" w:cs="Times New Roman"/>
    </w:rPr>
  </w:style>
  <w:style w:type="character" w:customStyle="1" w:styleId="96">
    <w:name w:val="正文文本缩进 3 字符"/>
    <w:basedOn w:val="27"/>
    <w:link w:val="18"/>
    <w:qFormat/>
    <w:uiPriority w:val="0"/>
    <w:rPr>
      <w:rFonts w:hint="eastAsia" w:ascii="等线" w:hAnsi="等线" w:eastAsia="等线" w:cs="等线"/>
      <w:kern w:val="2"/>
      <w:sz w:val="16"/>
      <w:szCs w:val="16"/>
    </w:rPr>
  </w:style>
  <w:style w:type="character" w:customStyle="1" w:styleId="97">
    <w:name w:val="正文文本首行缩进 字符1"/>
    <w:link w:val="23"/>
    <w:qFormat/>
    <w:uiPriority w:val="0"/>
    <w:rPr>
      <w:rFonts w:hint="default" w:ascii="Calibri" w:hAnsi="Calibri" w:eastAsia="楷体_GB2312" w:cs="Calibri"/>
      <w:kern w:val="2"/>
      <w:sz w:val="32"/>
      <w:szCs w:val="22"/>
    </w:rPr>
  </w:style>
  <w:style w:type="character" w:customStyle="1" w:styleId="98">
    <w:name w:val="表格文字 Char"/>
    <w:basedOn w:val="27"/>
    <w:link w:val="99"/>
    <w:qFormat/>
    <w:uiPriority w:val="0"/>
    <w:rPr>
      <w:bCs/>
      <w:spacing w:val="10"/>
      <w:sz w:val="24"/>
    </w:rPr>
  </w:style>
  <w:style w:type="paragraph" w:customStyle="1" w:styleId="99">
    <w:name w:val="表格文字"/>
    <w:basedOn w:val="1"/>
    <w:link w:val="98"/>
    <w:qFormat/>
    <w:uiPriority w:val="0"/>
    <w:pPr>
      <w:spacing w:before="25" w:after="25"/>
      <w:jc w:val="left"/>
    </w:pPr>
    <w:rPr>
      <w:rFonts w:ascii="Times New Roman" w:hAnsi="Times New Roman" w:cs="Times New Roman"/>
      <w:bCs/>
      <w:spacing w:val="10"/>
      <w:kern w:val="0"/>
      <w:sz w:val="24"/>
      <w:szCs w:val="20"/>
    </w:rPr>
  </w:style>
  <w:style w:type="paragraph" w:customStyle="1" w:styleId="100">
    <w:name w:val="_Style 3"/>
    <w:basedOn w:val="1"/>
    <w:qFormat/>
    <w:uiPriority w:val="0"/>
    <w:rPr>
      <w:rFonts w:ascii="Times New Roman" w:hAnsi="Times New Roman" w:cs="Times New Roman"/>
    </w:rPr>
  </w:style>
  <w:style w:type="paragraph" w:customStyle="1" w:styleId="101">
    <w:name w:val="列表段落3"/>
    <w:basedOn w:val="1"/>
    <w:qFormat/>
    <w:uiPriority w:val="0"/>
    <w:pPr>
      <w:ind w:firstLine="420" w:firstLineChars="200"/>
    </w:pPr>
    <w:rPr>
      <w:rFonts w:cs="Times New Roman"/>
    </w:rPr>
  </w:style>
  <w:style w:type="character" w:customStyle="1" w:styleId="102">
    <w:name w:val="15"/>
    <w:basedOn w:val="27"/>
    <w:qFormat/>
    <w:uiPriority w:val="0"/>
    <w:rPr>
      <w:rFonts w:hint="default" w:ascii="Times New Roman" w:hAnsi="Times New Roman" w:cs="Times New Roman"/>
      <w:b/>
      <w:bCs/>
    </w:rPr>
  </w:style>
  <w:style w:type="character" w:customStyle="1" w:styleId="103">
    <w:name w:val="正文首行缩进 2 Char1"/>
    <w:basedOn w:val="27"/>
    <w:qFormat/>
    <w:uiPriority w:val="0"/>
  </w:style>
  <w:style w:type="character" w:customStyle="1" w:styleId="104">
    <w:name w:val="页眉 字符2"/>
    <w:basedOn w:val="27"/>
    <w:link w:val="15"/>
    <w:qFormat/>
    <w:uiPriority w:val="0"/>
    <w:rPr>
      <w:sz w:val="18"/>
      <w:szCs w:val="18"/>
    </w:rPr>
  </w:style>
  <w:style w:type="character" w:customStyle="1" w:styleId="105">
    <w:name w:val="页眉 Char1"/>
    <w:qFormat/>
    <w:uiPriority w:val="99"/>
    <w:rPr>
      <w:sz w:val="18"/>
      <w:szCs w:val="18"/>
      <w:lang w:val="zh-CN" w:eastAsia="zh-CN"/>
    </w:rPr>
  </w:style>
  <w:style w:type="character" w:customStyle="1" w:styleId="106">
    <w:name w:val="标题 2 Char"/>
    <w:basedOn w:val="27"/>
    <w:qFormat/>
    <w:uiPriority w:val="0"/>
    <w:rPr>
      <w:rFonts w:ascii="Arial" w:hAnsi="Arial" w:eastAsia="黑体" w:cs="Times New Roman"/>
      <w:b/>
      <w:bCs/>
      <w:sz w:val="32"/>
      <w:szCs w:val="32"/>
    </w:rPr>
  </w:style>
  <w:style w:type="paragraph" w:customStyle="1" w:styleId="107">
    <w:name w:val="正文1"/>
    <w:basedOn w:val="1"/>
    <w:qFormat/>
    <w:uiPriority w:val="0"/>
    <w:pPr>
      <w:widowControl/>
      <w:overflowPunct w:val="0"/>
      <w:autoSpaceDE w:val="0"/>
      <w:autoSpaceDN w:val="0"/>
      <w:adjustRightInd w:val="0"/>
      <w:textAlignment w:val="baseline"/>
    </w:pPr>
    <w:rPr>
      <w:rFonts w:ascii="宋体" w:cs="Times New Roman"/>
      <w:kern w:val="0"/>
      <w:szCs w:val="20"/>
    </w:rPr>
  </w:style>
  <w:style w:type="paragraph" w:customStyle="1" w:styleId="108">
    <w:name w:val="样式 正文首行缩进 + 宋体 小四 首行缩进:  1 字符"/>
    <w:basedOn w:val="1"/>
    <w:next w:val="1"/>
    <w:qFormat/>
    <w:uiPriority w:val="0"/>
    <w:pPr>
      <w:spacing w:after="120" w:line="360" w:lineRule="auto"/>
      <w:ind w:firstLine="150" w:firstLineChars="150"/>
    </w:pPr>
    <w:rPr>
      <w:rFonts w:ascii="宋体" w:hAnsi="宋体" w:cs="Times New Roman"/>
      <w:sz w:val="24"/>
      <w:szCs w:val="20"/>
    </w:rPr>
  </w:style>
  <w:style w:type="paragraph" w:customStyle="1" w:styleId="109">
    <w:name w:val="AOHead3"/>
    <w:basedOn w:val="1"/>
    <w:next w:val="1"/>
    <w:qFormat/>
    <w:uiPriority w:val="0"/>
    <w:pPr>
      <w:spacing w:line="360" w:lineRule="auto"/>
      <w:ind w:left="1260" w:firstLine="480" w:firstLineChars="200"/>
      <w:outlineLvl w:val="2"/>
    </w:pPr>
    <w:rPr>
      <w:rFonts w:ascii="Times New Roman" w:hAnsi="Times New Roman"/>
      <w:color w:val="0000FF"/>
      <w:sz w:val="24"/>
      <w:szCs w:val="24"/>
    </w:rPr>
  </w:style>
  <w:style w:type="paragraph" w:customStyle="1" w:styleId="110">
    <w:name w:val="修订1"/>
    <w:qFormat/>
    <w:uiPriority w:val="99"/>
    <w:rPr>
      <w:rFonts w:ascii="Calibri" w:hAnsi="Calibri" w:eastAsia="宋体" w:cs="宋体"/>
      <w:kern w:val="2"/>
      <w:sz w:val="21"/>
      <w:szCs w:val="22"/>
      <w:lang w:val="en-US" w:eastAsia="zh-CN" w:bidi="ar-SA"/>
    </w:rPr>
  </w:style>
  <w:style w:type="character" w:customStyle="1" w:styleId="111">
    <w:name w:val="日期 字符"/>
    <w:basedOn w:val="27"/>
    <w:link w:val="12"/>
    <w:semiHidden/>
    <w:qFormat/>
    <w:uiPriority w:val="99"/>
    <w:rPr>
      <w:rFonts w:ascii="Calibri" w:hAnsi="Calibri" w:cs="宋体"/>
      <w:kern w:val="2"/>
      <w:sz w:val="21"/>
      <w:szCs w:val="22"/>
    </w:rPr>
  </w:style>
  <w:style w:type="paragraph" w:customStyle="1" w:styleId="112">
    <w:name w:val="修订2"/>
    <w:hidden/>
    <w:unhideWhenUsed/>
    <w:qFormat/>
    <w:uiPriority w:val="99"/>
    <w:rPr>
      <w:rFonts w:ascii="Calibri" w:hAnsi="Calibri" w:eastAsia="宋体" w:cs="宋体"/>
      <w:kern w:val="2"/>
      <w:sz w:val="21"/>
      <w:szCs w:val="22"/>
      <w:lang w:val="en-US" w:eastAsia="zh-CN" w:bidi="ar-SA"/>
    </w:rPr>
  </w:style>
  <w:style w:type="paragraph" w:customStyle="1" w:styleId="113">
    <w:name w:val="修订3"/>
    <w:hidden/>
    <w:unhideWhenUsed/>
    <w:qFormat/>
    <w:uiPriority w:val="99"/>
    <w:rPr>
      <w:rFonts w:ascii="Calibri" w:hAnsi="Calibri" w:eastAsia="宋体" w:cs="宋体"/>
      <w:kern w:val="2"/>
      <w:sz w:val="21"/>
      <w:szCs w:val="22"/>
      <w:lang w:val="en-US" w:eastAsia="zh-CN" w:bidi="ar-SA"/>
    </w:rPr>
  </w:style>
  <w:style w:type="paragraph" w:customStyle="1" w:styleId="114">
    <w:name w:val="修订4"/>
    <w:hidden/>
    <w:unhideWhenUsed/>
    <w:qFormat/>
    <w:uiPriority w:val="99"/>
    <w:rPr>
      <w:rFonts w:ascii="Calibri" w:hAnsi="Calibri" w:eastAsia="宋体" w:cs="宋体"/>
      <w:kern w:val="2"/>
      <w:sz w:val="21"/>
      <w:szCs w:val="22"/>
      <w:lang w:val="en-US" w:eastAsia="zh-CN" w:bidi="ar-SA"/>
    </w:rPr>
  </w:style>
  <w:style w:type="paragraph" w:customStyle="1" w:styleId="115">
    <w:name w:val="修订5"/>
    <w:hidden/>
    <w:unhideWhenUsed/>
    <w:qFormat/>
    <w:uiPriority w:val="99"/>
    <w:rPr>
      <w:rFonts w:ascii="Calibri" w:hAnsi="Calibri" w:eastAsia="宋体" w:cs="宋体"/>
      <w:kern w:val="2"/>
      <w:sz w:val="21"/>
      <w:szCs w:val="22"/>
      <w:lang w:val="en-US" w:eastAsia="zh-CN" w:bidi="ar-SA"/>
    </w:rPr>
  </w:style>
  <w:style w:type="paragraph" w:customStyle="1" w:styleId="116">
    <w:name w:val="修订6"/>
    <w:hidden/>
    <w:unhideWhenUsed/>
    <w:qFormat/>
    <w:uiPriority w:val="99"/>
    <w:rPr>
      <w:rFonts w:ascii="Calibri" w:hAnsi="Calibri" w:eastAsia="宋体" w:cs="宋体"/>
      <w:kern w:val="2"/>
      <w:sz w:val="21"/>
      <w:szCs w:val="22"/>
      <w:lang w:val="en-US" w:eastAsia="zh-CN" w:bidi="ar-SA"/>
    </w:rPr>
  </w:style>
  <w:style w:type="paragraph" w:customStyle="1" w:styleId="117">
    <w:name w:val="修订7"/>
    <w:hidden/>
    <w:unhideWhenUsed/>
    <w:qFormat/>
    <w:uiPriority w:val="99"/>
    <w:rPr>
      <w:rFonts w:ascii="Calibri" w:hAnsi="Calibri" w:eastAsia="宋体" w:cs="宋体"/>
      <w:kern w:val="2"/>
      <w:sz w:val="21"/>
      <w:szCs w:val="22"/>
      <w:lang w:val="en-US" w:eastAsia="zh-CN" w:bidi="ar-SA"/>
    </w:rPr>
  </w:style>
  <w:style w:type="paragraph" w:customStyle="1" w:styleId="118">
    <w:name w:val="修订8"/>
    <w:hidden/>
    <w:unhideWhenUsed/>
    <w:qFormat/>
    <w:uiPriority w:val="99"/>
    <w:rPr>
      <w:rFonts w:ascii="Calibri" w:hAnsi="Calibri" w:eastAsia="宋体" w:cs="宋体"/>
      <w:kern w:val="2"/>
      <w:sz w:val="21"/>
      <w:szCs w:val="22"/>
      <w:lang w:val="en-US" w:eastAsia="zh-CN" w:bidi="ar-SA"/>
    </w:rPr>
  </w:style>
  <w:style w:type="paragraph" w:customStyle="1" w:styleId="119">
    <w:name w:val="修订9"/>
    <w:hidden/>
    <w:unhideWhenUsed/>
    <w:qFormat/>
    <w:uiPriority w:val="99"/>
    <w:rPr>
      <w:rFonts w:ascii="Calibri" w:hAnsi="Calibri" w:eastAsia="宋体" w:cs="宋体"/>
      <w:kern w:val="2"/>
      <w:sz w:val="21"/>
      <w:szCs w:val="22"/>
      <w:lang w:val="en-US" w:eastAsia="zh-CN" w:bidi="ar-SA"/>
    </w:rPr>
  </w:style>
  <w:style w:type="paragraph" w:customStyle="1" w:styleId="120">
    <w:name w:val="修订10"/>
    <w:hidden/>
    <w:unhideWhenUsed/>
    <w:qFormat/>
    <w:uiPriority w:val="99"/>
    <w:rPr>
      <w:rFonts w:ascii="Calibri" w:hAnsi="Calibri" w:eastAsia="宋体" w:cs="宋体"/>
      <w:kern w:val="2"/>
      <w:sz w:val="21"/>
      <w:szCs w:val="22"/>
      <w:lang w:val="en-US" w:eastAsia="zh-CN" w:bidi="ar-SA"/>
    </w:rPr>
  </w:style>
  <w:style w:type="paragraph" w:customStyle="1" w:styleId="121">
    <w:name w:val="修订11"/>
    <w:hidden/>
    <w:unhideWhenUsed/>
    <w:qFormat/>
    <w:uiPriority w:val="99"/>
    <w:rPr>
      <w:rFonts w:ascii="Calibri" w:hAnsi="Calibri" w:eastAsia="宋体" w:cs="宋体"/>
      <w:kern w:val="2"/>
      <w:sz w:val="21"/>
      <w:szCs w:val="22"/>
      <w:lang w:val="en-US" w:eastAsia="zh-CN" w:bidi="ar-SA"/>
    </w:rPr>
  </w:style>
  <w:style w:type="paragraph" w:customStyle="1" w:styleId="122">
    <w:name w:val="修订12"/>
    <w:hidden/>
    <w:unhideWhenUsed/>
    <w:qFormat/>
    <w:uiPriority w:val="99"/>
    <w:rPr>
      <w:rFonts w:ascii="Calibri" w:hAnsi="Calibri" w:eastAsia="宋体" w:cs="宋体"/>
      <w:kern w:val="2"/>
      <w:sz w:val="21"/>
      <w:szCs w:val="22"/>
      <w:lang w:val="en-US" w:eastAsia="zh-CN" w:bidi="ar-SA"/>
    </w:rPr>
  </w:style>
  <w:style w:type="paragraph" w:customStyle="1" w:styleId="123">
    <w:name w:val="修订13"/>
    <w:hidden/>
    <w:unhideWhenUsed/>
    <w:qFormat/>
    <w:uiPriority w:val="99"/>
    <w:rPr>
      <w:rFonts w:ascii="Calibri" w:hAnsi="Calibri" w:eastAsia="宋体" w:cs="宋体"/>
      <w:kern w:val="2"/>
      <w:sz w:val="21"/>
      <w:szCs w:val="22"/>
      <w:lang w:val="en-US" w:eastAsia="zh-CN" w:bidi="ar-SA"/>
    </w:rPr>
  </w:style>
  <w:style w:type="paragraph" w:customStyle="1" w:styleId="124">
    <w:name w:val="修订14"/>
    <w:hidden/>
    <w:unhideWhenUsed/>
    <w:qFormat/>
    <w:uiPriority w:val="99"/>
    <w:rPr>
      <w:rFonts w:ascii="Calibri" w:hAnsi="Calibri" w:eastAsia="宋体" w:cs="宋体"/>
      <w:kern w:val="2"/>
      <w:sz w:val="21"/>
      <w:szCs w:val="22"/>
      <w:lang w:val="en-US" w:eastAsia="zh-CN" w:bidi="ar-SA"/>
    </w:rPr>
  </w:style>
  <w:style w:type="paragraph" w:customStyle="1" w:styleId="125">
    <w:name w:val="修订15"/>
    <w:hidden/>
    <w:unhideWhenUsed/>
    <w:qFormat/>
    <w:uiPriority w:val="99"/>
    <w:rPr>
      <w:rFonts w:ascii="Calibri" w:hAnsi="Calibri" w:eastAsia="宋体" w:cs="宋体"/>
      <w:kern w:val="2"/>
      <w:sz w:val="21"/>
      <w:szCs w:val="22"/>
      <w:lang w:val="en-US" w:eastAsia="zh-CN" w:bidi="ar-SA"/>
    </w:rPr>
  </w:style>
  <w:style w:type="paragraph" w:customStyle="1" w:styleId="126">
    <w:name w:val="修订16"/>
    <w:hidden/>
    <w:unhideWhenUsed/>
    <w:qFormat/>
    <w:uiPriority w:val="99"/>
    <w:rPr>
      <w:rFonts w:ascii="Calibri" w:hAnsi="Calibri" w:eastAsia="宋体" w:cs="宋体"/>
      <w:kern w:val="2"/>
      <w:sz w:val="21"/>
      <w:szCs w:val="22"/>
      <w:lang w:val="en-US" w:eastAsia="zh-CN" w:bidi="ar-SA"/>
    </w:rPr>
  </w:style>
  <w:style w:type="paragraph" w:customStyle="1" w:styleId="127">
    <w:name w:val="引文目录标题1"/>
    <w:basedOn w:val="1"/>
    <w:next w:val="1"/>
    <w:qFormat/>
    <w:uiPriority w:val="0"/>
    <w:rPr>
      <w:rFonts w:ascii="Arial" w:hAnsi="Arial" w:cs="Times New Roman"/>
      <w:sz w:val="24"/>
      <w:szCs w:val="24"/>
    </w:rPr>
  </w:style>
  <w:style w:type="table" w:customStyle="1" w:styleId="128">
    <w:name w:val="网格型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9">
    <w:name w:val="fontstyle11"/>
    <w:basedOn w:val="27"/>
    <w:qFormat/>
    <w:uiPriority w:val="0"/>
    <w:rPr>
      <w:rFonts w:ascii="宋体" w:hAnsi="宋体" w:eastAsia="宋体" w:cs="宋体"/>
      <w:color w:val="000000"/>
      <w:sz w:val="36"/>
      <w:szCs w:val="36"/>
    </w:rPr>
  </w:style>
  <w:style w:type="character" w:customStyle="1" w:styleId="130">
    <w:name w:val="fontstyle01"/>
    <w:basedOn w:val="27"/>
    <w:qFormat/>
    <w:uiPriority w:val="0"/>
    <w:rPr>
      <w:rFonts w:ascii="黑体" w:hAnsi="宋体" w:eastAsia="黑体" w:cs="黑体"/>
      <w:color w:val="000000"/>
      <w:sz w:val="18"/>
      <w:szCs w:val="18"/>
    </w:rPr>
  </w:style>
  <w:style w:type="character" w:customStyle="1" w:styleId="131">
    <w:name w:val="fontstyle31"/>
    <w:basedOn w:val="27"/>
    <w:qFormat/>
    <w:uiPriority w:val="0"/>
    <w:rPr>
      <w:rFonts w:ascii="TimesNewRomanPSMT" w:hAnsi="TimesNewRomanPSMT" w:eastAsia="TimesNewRomanPSMT" w:cs="TimesNewRomanPSMT"/>
      <w:color w:val="000000"/>
      <w:sz w:val="18"/>
      <w:szCs w:val="18"/>
    </w:rPr>
  </w:style>
  <w:style w:type="character" w:customStyle="1" w:styleId="132">
    <w:name w:val="fontstyle41"/>
    <w:basedOn w:val="27"/>
    <w:qFormat/>
    <w:uiPriority w:val="0"/>
    <w:rPr>
      <w:rFonts w:ascii="TimesNewRomanPS-BoldMT" w:hAnsi="TimesNewRomanPS-BoldMT" w:eastAsia="TimesNewRomanPS-BoldMT" w:cs="TimesNewRomanPS-BoldMT"/>
      <w:b/>
      <w:color w:val="000000"/>
      <w:sz w:val="28"/>
      <w:szCs w:val="28"/>
    </w:rPr>
  </w:style>
  <w:style w:type="character" w:customStyle="1" w:styleId="133">
    <w:name w:val="fontstyle51"/>
    <w:basedOn w:val="27"/>
    <w:qFormat/>
    <w:uiPriority w:val="0"/>
    <w:rPr>
      <w:rFonts w:ascii="hakuyoxingshu7000" w:hAnsi="hakuyoxingshu7000" w:eastAsia="hakuyoxingshu7000" w:cs="hakuyoxingshu7000"/>
      <w:color w:val="000000"/>
      <w:sz w:val="22"/>
      <w:szCs w:val="22"/>
    </w:rPr>
  </w:style>
  <w:style w:type="character" w:customStyle="1" w:styleId="134">
    <w:name w:val="fontstyle61"/>
    <w:basedOn w:val="27"/>
    <w:qFormat/>
    <w:uiPriority w:val="0"/>
    <w:rPr>
      <w:rFonts w:ascii="Arial-BoldMT" w:hAnsi="Arial-BoldMT" w:eastAsia="Arial-BoldMT" w:cs="Arial-BoldMT"/>
      <w:b/>
      <w:color w:val="000000"/>
      <w:sz w:val="32"/>
      <w:szCs w:val="32"/>
    </w:rPr>
  </w:style>
  <w:style w:type="paragraph" w:customStyle="1" w:styleId="135">
    <w:name w:val="修订17"/>
    <w:hidden/>
    <w:unhideWhenUsed/>
    <w:qFormat/>
    <w:uiPriority w:val="99"/>
    <w:rPr>
      <w:rFonts w:ascii="Calibri" w:hAnsi="Calibri" w:eastAsia="宋体" w:cs="宋体"/>
      <w:kern w:val="2"/>
      <w:sz w:val="21"/>
      <w:szCs w:val="22"/>
      <w:lang w:val="en-US" w:eastAsia="zh-CN" w:bidi="ar-SA"/>
    </w:rPr>
  </w:style>
  <w:style w:type="paragraph" w:customStyle="1" w:styleId="136">
    <w:name w:val="修订18"/>
    <w:hidden/>
    <w:unhideWhenUsed/>
    <w:qFormat/>
    <w:uiPriority w:val="99"/>
    <w:rPr>
      <w:rFonts w:ascii="Calibri" w:hAnsi="Calibri" w:eastAsia="宋体" w:cs="宋体"/>
      <w:kern w:val="2"/>
      <w:sz w:val="21"/>
      <w:szCs w:val="22"/>
      <w:lang w:val="en-US" w:eastAsia="zh-CN" w:bidi="ar-SA"/>
    </w:rPr>
  </w:style>
  <w:style w:type="paragraph" w:customStyle="1" w:styleId="137">
    <w:name w:val="修订19"/>
    <w:hidden/>
    <w:unhideWhenUsed/>
    <w:qFormat/>
    <w:uiPriority w:val="99"/>
    <w:rPr>
      <w:rFonts w:ascii="Calibri" w:hAnsi="Calibri" w:eastAsia="宋体" w:cs="宋体"/>
      <w:kern w:val="2"/>
      <w:sz w:val="21"/>
      <w:szCs w:val="22"/>
      <w:lang w:val="en-US" w:eastAsia="zh-CN" w:bidi="ar-SA"/>
    </w:rPr>
  </w:style>
  <w:style w:type="paragraph" w:customStyle="1" w:styleId="138">
    <w:name w:val="列出段落2"/>
    <w:basedOn w:val="1"/>
    <w:qFormat/>
    <w:uiPriority w:val="0"/>
    <w:pPr>
      <w:numPr>
        <w:ilvl w:val="0"/>
        <w:numId w:val="2"/>
      </w:numPr>
      <w:autoSpaceDE w:val="0"/>
      <w:spacing w:line="360" w:lineRule="auto"/>
    </w:pPr>
    <w:rPr>
      <w:rFonts w:ascii="宋体" w:hAnsi="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15</Pages>
  <Words>7913</Words>
  <Characters>8222</Characters>
  <Lines>251</Lines>
  <Paragraphs>293</Paragraphs>
  <TotalTime>22</TotalTime>
  <ScaleCrop>false</ScaleCrop>
  <LinksUpToDate>false</LinksUpToDate>
  <CharactersWithSpaces>8376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2025-05-30T02:18:00Z</dcterms:created>
  <dc:creator>dreamsummit</dc:creator>
  <cp:lastModifiedBy>云采链</cp:lastModifiedBy>
  <cp:lastPrinted>2018-10-16T20:01:00Z</cp:lastPrinted>
  <dcterms:modified xsi:type="dcterms:W3CDTF">2025-06-04T01:22:01Z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D370066693E32CC395723E68DC4A0FD1_43</vt:lpwstr>
  </property>
  <property fmtid="{D5CDD505-2E9C-101B-9397-08002B2CF9AE}" pid="4" name="KSOTemplateDocerSaveRecord">
    <vt:lpwstr>eyJoZGlkIjoiOTUyZTMzMGFmZDU3N2E2OTgxMzI3ZWIyZWQ1MDI2NWYiLCJ1c2VySWQiOiI0MDkwNDAzNDUifQ==</vt:lpwstr>
  </property>
</Properties>
</file>