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89A7A">
      <w:pPr>
        <w:snapToGrid w:val="0"/>
        <w:spacing w:before="156" w:beforeLines="50"/>
        <w:jc w:val="center"/>
        <w:rPr>
          <w:rFonts w:ascii="宋体" w:hAnsi="宋体"/>
          <w:b/>
          <w:color w:val="000000"/>
          <w:sz w:val="84"/>
          <w:szCs w:val="84"/>
        </w:rPr>
      </w:pPr>
    </w:p>
    <w:p w14:paraId="25DB19B5">
      <w:pPr>
        <w:snapToGrid w:val="0"/>
        <w:spacing w:before="156" w:beforeLines="50"/>
        <w:jc w:val="center"/>
        <w:rPr>
          <w:rFonts w:ascii="宋体" w:hAnsi="宋体"/>
          <w:b/>
          <w:color w:val="000000"/>
          <w:sz w:val="84"/>
          <w:szCs w:val="84"/>
        </w:rPr>
      </w:pPr>
    </w:p>
    <w:p w14:paraId="6175F0FF">
      <w:pPr>
        <w:snapToGrid w:val="0"/>
        <w:spacing w:before="156" w:beforeLines="50"/>
        <w:jc w:val="center"/>
        <w:rPr>
          <w:rFonts w:ascii="宋体" w:hAnsi="宋体"/>
          <w:b/>
          <w:bCs/>
          <w:color w:val="000000"/>
          <w:sz w:val="84"/>
          <w:szCs w:val="84"/>
        </w:rPr>
      </w:pPr>
      <w:r>
        <w:rPr>
          <w:rFonts w:hint="eastAsia" w:ascii="宋体" w:hAnsi="宋体"/>
          <w:b/>
          <w:color w:val="000000"/>
          <w:sz w:val="84"/>
          <w:szCs w:val="84"/>
        </w:rPr>
        <w:t>竞价文</w:t>
      </w:r>
      <w:bookmarkStart w:id="1" w:name="_GoBack"/>
      <w:bookmarkEnd w:id="1"/>
      <w:r>
        <w:rPr>
          <w:rFonts w:hint="eastAsia" w:ascii="宋体" w:hAnsi="宋体"/>
          <w:b/>
          <w:color w:val="000000"/>
          <w:sz w:val="84"/>
          <w:szCs w:val="84"/>
        </w:rPr>
        <w:t>件</w:t>
      </w:r>
    </w:p>
    <w:p w14:paraId="04AB41FA">
      <w:pPr>
        <w:spacing w:line="360" w:lineRule="auto"/>
        <w:jc w:val="center"/>
        <w:rPr>
          <w:rFonts w:ascii="宋体" w:hAnsi="宋体"/>
          <w:b/>
          <w:bCs/>
          <w:color w:val="000000"/>
          <w:sz w:val="24"/>
          <w:szCs w:val="24"/>
        </w:rPr>
      </w:pPr>
    </w:p>
    <w:p w14:paraId="390ED768">
      <w:pPr>
        <w:spacing w:line="360" w:lineRule="auto"/>
        <w:rPr>
          <w:rFonts w:ascii="宋体" w:hAnsi="宋体"/>
          <w:color w:val="000000"/>
          <w:sz w:val="30"/>
          <w:szCs w:val="30"/>
        </w:rPr>
      </w:pPr>
    </w:p>
    <w:p w14:paraId="096A847B">
      <w:pPr>
        <w:spacing w:line="360" w:lineRule="auto"/>
        <w:rPr>
          <w:rFonts w:ascii="宋体" w:hAnsi="宋体"/>
          <w:color w:val="000000"/>
          <w:sz w:val="30"/>
          <w:szCs w:val="30"/>
        </w:rPr>
      </w:pPr>
    </w:p>
    <w:p w14:paraId="5669120A">
      <w:pPr>
        <w:spacing w:line="360" w:lineRule="auto"/>
        <w:rPr>
          <w:rFonts w:ascii="宋体" w:hAnsi="宋体"/>
          <w:color w:val="000000"/>
          <w:sz w:val="30"/>
          <w:szCs w:val="30"/>
        </w:rPr>
      </w:pPr>
    </w:p>
    <w:p w14:paraId="17E5DBAF">
      <w:pPr>
        <w:spacing w:line="360" w:lineRule="auto"/>
        <w:rPr>
          <w:rFonts w:ascii="宋体" w:hAnsi="宋体"/>
          <w:color w:val="000000"/>
          <w:sz w:val="30"/>
          <w:szCs w:val="30"/>
        </w:rPr>
      </w:pPr>
    </w:p>
    <w:p w14:paraId="68297814">
      <w:pPr>
        <w:spacing w:line="360" w:lineRule="auto"/>
        <w:jc w:val="left"/>
        <w:rPr>
          <w:rFonts w:ascii="宋体" w:hAnsi="宋体"/>
          <w:b/>
          <w:bCs/>
          <w:color w:val="000000"/>
          <w:sz w:val="28"/>
          <w:szCs w:val="32"/>
        </w:rPr>
      </w:pPr>
      <w:r>
        <w:rPr>
          <w:rFonts w:hint="eastAsia" w:ascii="宋体" w:hAnsi="宋体"/>
          <w:b/>
          <w:bCs/>
          <w:color w:val="000000"/>
          <w:sz w:val="28"/>
          <w:szCs w:val="32"/>
        </w:rPr>
        <w:t>采购方式：线上竞价</w:t>
      </w:r>
    </w:p>
    <w:p w14:paraId="19F07740">
      <w:pPr>
        <w:spacing w:line="360" w:lineRule="auto"/>
        <w:ind w:left="1405" w:hanging="1405" w:hangingChars="500"/>
        <w:jc w:val="left"/>
        <w:rPr>
          <w:rFonts w:ascii="宋体" w:hAnsi="宋体"/>
          <w:b/>
          <w:bCs/>
          <w:color w:val="000000"/>
          <w:sz w:val="28"/>
          <w:szCs w:val="32"/>
          <w:u w:val="single"/>
        </w:rPr>
      </w:pPr>
      <w:r>
        <w:rPr>
          <w:rFonts w:hint="eastAsia" w:ascii="宋体" w:hAnsi="宋体"/>
          <w:b/>
          <w:bCs/>
          <w:color w:val="000000"/>
          <w:sz w:val="28"/>
          <w:szCs w:val="32"/>
        </w:rPr>
        <w:t>项目名称：</w:t>
      </w:r>
      <w:r>
        <w:rPr>
          <w:rFonts w:hint="eastAsia" w:ascii="宋体" w:hAnsi="宋体"/>
          <w:b/>
          <w:bCs/>
          <w:sz w:val="28"/>
          <w:szCs w:val="32"/>
          <w:u w:val="single"/>
        </w:rPr>
        <w:t>广东省肇庆监狱2025年教育活动物资采购项目</w:t>
      </w:r>
    </w:p>
    <w:p w14:paraId="391B9FE0">
      <w:pPr>
        <w:snapToGrid w:val="0"/>
        <w:spacing w:before="156" w:beforeLines="50" w:after="156" w:afterLines="50" w:line="360" w:lineRule="auto"/>
        <w:jc w:val="center"/>
        <w:rPr>
          <w:rFonts w:ascii="宋体" w:hAnsi="宋体"/>
          <w:color w:val="000000"/>
          <w:sz w:val="30"/>
          <w:szCs w:val="30"/>
        </w:rPr>
      </w:pPr>
    </w:p>
    <w:p w14:paraId="73D1351B">
      <w:pPr>
        <w:autoSpaceDE w:val="0"/>
        <w:autoSpaceDN w:val="0"/>
        <w:adjustRightInd w:val="0"/>
        <w:snapToGrid w:val="0"/>
        <w:spacing w:before="156" w:beforeLines="50" w:after="156" w:afterLines="50" w:line="360" w:lineRule="auto"/>
        <w:jc w:val="center"/>
        <w:rPr>
          <w:rFonts w:ascii="宋体" w:hAnsi="宋体"/>
          <w:color w:val="000000"/>
          <w:kern w:val="0"/>
          <w:sz w:val="30"/>
          <w:szCs w:val="30"/>
        </w:rPr>
      </w:pPr>
    </w:p>
    <w:p w14:paraId="3BEF39C1">
      <w:pPr>
        <w:autoSpaceDE w:val="0"/>
        <w:autoSpaceDN w:val="0"/>
        <w:adjustRightInd w:val="0"/>
        <w:snapToGrid w:val="0"/>
        <w:spacing w:before="156" w:beforeLines="50" w:after="156" w:afterLines="50" w:line="360" w:lineRule="auto"/>
        <w:jc w:val="left"/>
        <w:rPr>
          <w:rFonts w:ascii="宋体" w:hAnsi="宋体"/>
          <w:color w:val="000000"/>
          <w:kern w:val="0"/>
          <w:sz w:val="30"/>
          <w:szCs w:val="30"/>
        </w:rPr>
      </w:pPr>
    </w:p>
    <w:p w14:paraId="63877F25">
      <w:pPr>
        <w:autoSpaceDE w:val="0"/>
        <w:autoSpaceDN w:val="0"/>
        <w:adjustRightInd w:val="0"/>
        <w:snapToGrid w:val="0"/>
        <w:spacing w:line="360" w:lineRule="auto"/>
        <w:ind w:left="420" w:firstLine="420"/>
        <w:jc w:val="center"/>
        <w:rPr>
          <w:rFonts w:ascii="宋体" w:hAnsi="宋体"/>
          <w:b/>
          <w:bCs/>
          <w:color w:val="000000"/>
          <w:sz w:val="28"/>
          <w:szCs w:val="32"/>
        </w:rPr>
      </w:pPr>
      <w:r>
        <w:rPr>
          <w:rFonts w:hint="eastAsia" w:ascii="宋体" w:hAnsi="宋体"/>
          <w:b/>
          <w:bCs/>
          <w:color w:val="000000"/>
          <w:sz w:val="28"/>
          <w:szCs w:val="32"/>
        </w:rPr>
        <w:t>广东省肇庆监狱</w:t>
      </w:r>
    </w:p>
    <w:p w14:paraId="6025AD12">
      <w:pPr>
        <w:autoSpaceDE w:val="0"/>
        <w:autoSpaceDN w:val="0"/>
        <w:adjustRightInd w:val="0"/>
        <w:snapToGrid w:val="0"/>
        <w:spacing w:line="360" w:lineRule="auto"/>
        <w:ind w:left="420" w:firstLine="420"/>
        <w:jc w:val="center"/>
        <w:rPr>
          <w:rFonts w:ascii="宋体" w:hAnsi="宋体"/>
          <w:b/>
          <w:color w:val="000000"/>
          <w:sz w:val="28"/>
        </w:rPr>
      </w:pPr>
      <w:r>
        <w:rPr>
          <w:rFonts w:hint="eastAsia" w:ascii="宋体" w:hAnsi="宋体"/>
          <w:b/>
          <w:color w:val="000000"/>
          <w:sz w:val="28"/>
        </w:rPr>
        <w:t>采联国际招标采购集团有限公司</w:t>
      </w:r>
    </w:p>
    <w:p w14:paraId="206D6455">
      <w:pPr>
        <w:autoSpaceDE w:val="0"/>
        <w:autoSpaceDN w:val="0"/>
        <w:adjustRightInd w:val="0"/>
        <w:snapToGrid w:val="0"/>
        <w:spacing w:line="360" w:lineRule="auto"/>
        <w:ind w:left="420" w:firstLine="420"/>
        <w:jc w:val="center"/>
        <w:rPr>
          <w:rFonts w:ascii="宋体" w:hAnsi="宋体"/>
          <w:b/>
          <w:color w:val="000000"/>
          <w:sz w:val="28"/>
        </w:rPr>
      </w:pPr>
      <w:r>
        <w:rPr>
          <w:rFonts w:hint="eastAsia" w:ascii="宋体" w:hAnsi="宋体"/>
          <w:b/>
          <w:color w:val="000000"/>
          <w:sz w:val="28"/>
        </w:rPr>
        <w:t>二〇二五年五</w:t>
      </w:r>
      <w:r>
        <w:rPr>
          <w:rFonts w:hint="eastAsia" w:ascii="宋体" w:hAnsi="宋体"/>
          <w:b/>
          <w:sz w:val="28"/>
        </w:rPr>
        <w:t>月</w:t>
      </w:r>
    </w:p>
    <w:p w14:paraId="1FAECDB9">
      <w:pPr>
        <w:widowControl/>
        <w:jc w:val="left"/>
        <w:rPr>
          <w:rFonts w:ascii="宋体" w:hAnsi="宋体"/>
          <w:color w:val="000000"/>
          <w:sz w:val="28"/>
        </w:rPr>
      </w:pPr>
      <w:r>
        <w:rPr>
          <w:rFonts w:hint="eastAsia" w:ascii="宋体" w:hAnsi="宋体"/>
          <w:color w:val="000000"/>
          <w:sz w:val="28"/>
        </w:rPr>
        <w:br w:type="page"/>
      </w:r>
    </w:p>
    <w:p w14:paraId="1016F891">
      <w:pPr>
        <w:pStyle w:val="21"/>
        <w:spacing w:before="0" w:after="0"/>
        <w:rPr>
          <w:rFonts w:ascii="宋体" w:hAnsi="宋体"/>
          <w:color w:val="000000"/>
        </w:rPr>
      </w:pPr>
      <w:r>
        <w:rPr>
          <w:rFonts w:hint="eastAsia" w:ascii="宋体" w:hAnsi="宋体"/>
          <w:color w:val="000000"/>
        </w:rPr>
        <w:t>第一章 竞价须知</w:t>
      </w:r>
    </w:p>
    <w:p w14:paraId="5C4A9BA8">
      <w:pPr>
        <w:pStyle w:val="33"/>
        <w:numPr>
          <w:ilvl w:val="0"/>
          <w:numId w:val="2"/>
        </w:numPr>
        <w:spacing w:line="360" w:lineRule="auto"/>
        <w:ind w:firstLineChars="0"/>
        <w:rPr>
          <w:rFonts w:ascii="宋体" w:hAnsi="宋体"/>
          <w:color w:val="000000"/>
        </w:rPr>
      </w:pPr>
      <w:r>
        <w:rPr>
          <w:rFonts w:hint="eastAsia" w:ascii="宋体" w:hAnsi="宋体"/>
          <w:color w:val="000000"/>
          <w:szCs w:val="21"/>
        </w:rPr>
        <w:t>本项目通过云采链线上采购一体化平台（www.choicelink.cn）进行竞价，参与竞价的供应商必须登录平台进行注册，注册成功后方可参与项目竞价。</w:t>
      </w:r>
    </w:p>
    <w:p w14:paraId="354252B9">
      <w:pPr>
        <w:pStyle w:val="33"/>
        <w:numPr>
          <w:ilvl w:val="0"/>
          <w:numId w:val="2"/>
        </w:numPr>
        <w:spacing w:line="360" w:lineRule="auto"/>
        <w:ind w:firstLineChars="0"/>
        <w:rPr>
          <w:rFonts w:ascii="宋体" w:hAnsi="宋体"/>
          <w:color w:val="000000"/>
        </w:rPr>
      </w:pPr>
      <w:r>
        <w:rPr>
          <w:rFonts w:hint="eastAsia" w:ascii="宋体" w:hAnsi="宋体"/>
          <w:color w:val="000000"/>
        </w:rPr>
        <w:t>语言要求</w:t>
      </w:r>
    </w:p>
    <w:p w14:paraId="4C6C631D">
      <w:pPr>
        <w:spacing w:line="360" w:lineRule="auto"/>
        <w:ind w:left="420" w:leftChars="200"/>
        <w:rPr>
          <w:rFonts w:ascii="宋体" w:hAnsi="宋体"/>
          <w:color w:val="000000"/>
        </w:rPr>
      </w:pPr>
      <w:r>
        <w:rPr>
          <w:rFonts w:hint="eastAsia" w:ascii="宋体" w:hAnsi="宋体"/>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5233C8E">
      <w:pPr>
        <w:pStyle w:val="33"/>
        <w:numPr>
          <w:ilvl w:val="0"/>
          <w:numId w:val="2"/>
        </w:numPr>
        <w:spacing w:line="360" w:lineRule="auto"/>
        <w:ind w:firstLineChars="0"/>
        <w:rPr>
          <w:rFonts w:ascii="宋体" w:hAnsi="宋体"/>
          <w:b/>
          <w:bCs/>
          <w:color w:val="000000"/>
        </w:rPr>
      </w:pPr>
      <w:r>
        <w:rPr>
          <w:rFonts w:hint="eastAsia" w:ascii="宋体" w:hAnsi="宋体"/>
          <w:b/>
          <w:bCs/>
          <w:color w:val="000000"/>
          <w:szCs w:val="21"/>
        </w:rPr>
        <w:t>在云采链平台参与项目竞价后放弃成交资格超过三次（含三次）的供应商连同该供应商同一法人名下所有公司将被列入平台黑名单，永久不得参与平台的项目竞价。</w:t>
      </w:r>
    </w:p>
    <w:p w14:paraId="63D6F870">
      <w:pPr>
        <w:pStyle w:val="33"/>
        <w:numPr>
          <w:ilvl w:val="0"/>
          <w:numId w:val="2"/>
        </w:numPr>
        <w:spacing w:line="360" w:lineRule="auto"/>
        <w:ind w:firstLineChars="0"/>
        <w:rPr>
          <w:rFonts w:ascii="宋体" w:hAnsi="宋体"/>
          <w:color w:val="000000"/>
        </w:rPr>
      </w:pPr>
      <w:r>
        <w:rPr>
          <w:rFonts w:hint="eastAsia" w:ascii="宋体" w:hAnsi="宋体"/>
          <w:color w:val="000000"/>
        </w:rPr>
        <w:t>竞价须知</w:t>
      </w:r>
    </w:p>
    <w:p w14:paraId="4905CD69">
      <w:pPr>
        <w:pStyle w:val="33"/>
        <w:numPr>
          <w:ilvl w:val="0"/>
          <w:numId w:val="3"/>
        </w:numPr>
        <w:spacing w:line="360" w:lineRule="auto"/>
        <w:ind w:left="420" w:hanging="420" w:firstLineChars="0"/>
        <w:rPr>
          <w:rFonts w:ascii="宋体" w:hAnsi="宋体"/>
          <w:b/>
          <w:color w:val="000000"/>
        </w:rPr>
      </w:pPr>
      <w:r>
        <w:rPr>
          <w:rStyle w:val="28"/>
          <w:rFonts w:hint="eastAsia" w:ascii="宋体" w:hAnsi="宋体"/>
          <w:bCs w:val="0"/>
          <w:color w:val="000000"/>
        </w:rPr>
        <w:t>竞价说明</w:t>
      </w:r>
    </w:p>
    <w:p w14:paraId="7EA5FE1F">
      <w:pPr>
        <w:pStyle w:val="33"/>
        <w:numPr>
          <w:ilvl w:val="0"/>
          <w:numId w:val="4"/>
        </w:numPr>
        <w:tabs>
          <w:tab w:val="left" w:pos="851"/>
        </w:tabs>
        <w:spacing w:line="360" w:lineRule="auto"/>
        <w:ind w:left="760" w:hanging="340" w:firstLineChars="0"/>
        <w:rPr>
          <w:rFonts w:ascii="宋体" w:hAnsi="宋体"/>
          <w:color w:val="000000"/>
        </w:rPr>
      </w:pPr>
      <w:r>
        <w:rPr>
          <w:rFonts w:hint="eastAsia" w:ascii="宋体" w:hAnsi="宋体"/>
          <w:color w:val="000000"/>
          <w:szCs w:val="21"/>
        </w:rPr>
        <w:t>参与竞价的供应商应承担所有与准备和参加竞价有关的费用，不论竞价的结果如何，采购人和代理机构均无义务和责任承担这些费用。</w:t>
      </w:r>
    </w:p>
    <w:p w14:paraId="4112E851">
      <w:pPr>
        <w:pStyle w:val="33"/>
        <w:numPr>
          <w:ilvl w:val="0"/>
          <w:numId w:val="4"/>
        </w:numPr>
        <w:spacing w:line="360" w:lineRule="auto"/>
        <w:ind w:left="760" w:hanging="340" w:firstLineChars="0"/>
        <w:rPr>
          <w:rFonts w:ascii="宋体" w:hAnsi="宋体"/>
          <w:color w:val="000000"/>
        </w:rPr>
      </w:pPr>
      <w:r>
        <w:rPr>
          <w:rFonts w:hint="eastAsia" w:ascii="宋体" w:hAnsi="宋体"/>
          <w:color w:val="000000"/>
          <w:szCs w:val="21"/>
        </w:rPr>
        <w:t>参与竞价的</w:t>
      </w:r>
      <w:r>
        <w:rPr>
          <w:rFonts w:hint="eastAsia" w:ascii="宋体" w:hAnsi="宋体"/>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0D674B6A">
      <w:pPr>
        <w:pStyle w:val="33"/>
        <w:numPr>
          <w:ilvl w:val="0"/>
          <w:numId w:val="4"/>
        </w:numPr>
        <w:spacing w:line="360" w:lineRule="auto"/>
        <w:ind w:left="760" w:hanging="340" w:firstLineChars="0"/>
        <w:rPr>
          <w:rFonts w:ascii="宋体" w:hAnsi="宋体"/>
          <w:color w:val="000000"/>
        </w:rPr>
      </w:pPr>
      <w:r>
        <w:rPr>
          <w:rFonts w:hint="eastAsia" w:ascii="宋体" w:hAnsi="宋体"/>
          <w:color w:val="000000"/>
          <w:szCs w:val="21"/>
        </w:rPr>
        <w:t>参与竞价的</w:t>
      </w:r>
      <w:r>
        <w:rPr>
          <w:rFonts w:hint="eastAsia" w:ascii="宋体" w:hAnsi="宋体"/>
          <w:color w:val="000000"/>
          <w:szCs w:val="21"/>
          <w:lang w:val="zh-CN"/>
        </w:rPr>
        <w:t>供应商需对</w:t>
      </w:r>
      <w:r>
        <w:rPr>
          <w:rFonts w:hint="eastAsia" w:ascii="宋体" w:hAnsi="宋体"/>
          <w:color w:val="000000"/>
        </w:rPr>
        <w:t>采购</w:t>
      </w:r>
      <w:r>
        <w:rPr>
          <w:rFonts w:hint="eastAsia" w:ascii="宋体" w:hAnsi="宋体"/>
          <w:color w:val="000000"/>
          <w:szCs w:val="21"/>
          <w:lang w:val="zh-CN"/>
        </w:rPr>
        <w:t>需求书的所有条款进行整体响应，</w:t>
      </w:r>
      <w:r>
        <w:rPr>
          <w:rFonts w:hint="eastAsia" w:ascii="宋体" w:hAnsi="宋体"/>
          <w:color w:val="000000"/>
        </w:rPr>
        <w:t>采购</w:t>
      </w:r>
      <w:r>
        <w:rPr>
          <w:rFonts w:hint="eastAsia" w:ascii="宋体" w:hAnsi="宋体"/>
          <w:color w:val="000000"/>
          <w:szCs w:val="21"/>
          <w:lang w:val="zh-CN"/>
        </w:rPr>
        <w:t>需求书条款若有一条负偏离或不响应，</w:t>
      </w:r>
      <w:r>
        <w:rPr>
          <w:rFonts w:hint="eastAsia" w:ascii="宋体" w:hAnsi="宋体"/>
          <w:bCs/>
          <w:color w:val="000000"/>
          <w:szCs w:val="21"/>
        </w:rPr>
        <w:t>不推荐为成交候选人</w:t>
      </w:r>
      <w:r>
        <w:rPr>
          <w:rFonts w:hint="eastAsia" w:ascii="宋体" w:hAnsi="宋体"/>
          <w:color w:val="000000"/>
          <w:szCs w:val="21"/>
          <w:lang w:val="zh-CN"/>
        </w:rPr>
        <w:t>。</w:t>
      </w:r>
    </w:p>
    <w:p w14:paraId="4EC4C8C5">
      <w:pPr>
        <w:pStyle w:val="33"/>
        <w:numPr>
          <w:ilvl w:val="0"/>
          <w:numId w:val="4"/>
        </w:numPr>
        <w:spacing w:line="360" w:lineRule="auto"/>
        <w:ind w:left="760" w:hanging="340" w:firstLineChars="0"/>
        <w:rPr>
          <w:rFonts w:ascii="宋体" w:hAnsi="宋体"/>
          <w:color w:val="000000"/>
        </w:rPr>
      </w:pPr>
      <w:r>
        <w:rPr>
          <w:rFonts w:hint="eastAsia" w:ascii="宋体" w:hAnsi="宋体"/>
          <w:color w:val="000000"/>
          <w:szCs w:val="21"/>
        </w:rPr>
        <w:t>若成交供应商自身原因无法完成本项目，则采购人有权利保留追究责任。</w:t>
      </w:r>
    </w:p>
    <w:p w14:paraId="6E570E4C">
      <w:pPr>
        <w:pStyle w:val="33"/>
        <w:numPr>
          <w:ilvl w:val="0"/>
          <w:numId w:val="4"/>
        </w:numPr>
        <w:spacing w:line="360" w:lineRule="auto"/>
        <w:ind w:left="760" w:hanging="340" w:firstLineChars="0"/>
        <w:rPr>
          <w:rFonts w:ascii="宋体" w:hAnsi="宋体"/>
          <w:color w:val="000000"/>
        </w:rPr>
      </w:pPr>
      <w:r>
        <w:rPr>
          <w:rFonts w:hint="eastAsia" w:ascii="宋体" w:hAnsi="宋体"/>
          <w:color w:val="000000"/>
        </w:rPr>
        <w:t>成交供应商因自身原因被取消成交资格，采购人可重新启动采购或按竞价公告规定顺延推选符合要求的供应商作为成交供应商。</w:t>
      </w:r>
    </w:p>
    <w:p w14:paraId="1CCC668F">
      <w:pPr>
        <w:pStyle w:val="33"/>
        <w:numPr>
          <w:ilvl w:val="0"/>
          <w:numId w:val="4"/>
        </w:numPr>
        <w:spacing w:line="360" w:lineRule="auto"/>
        <w:ind w:left="760" w:hanging="340" w:firstLineChars="0"/>
        <w:rPr>
          <w:rFonts w:ascii="宋体" w:hAnsi="宋体"/>
          <w:color w:val="000000"/>
        </w:rPr>
      </w:pPr>
      <w:r>
        <w:rPr>
          <w:rFonts w:hint="eastAsia" w:ascii="宋体" w:hAnsi="宋体"/>
          <w:color w:val="000000"/>
        </w:rPr>
        <w:t>若本项目竞价采购失败，采购人将重新采购，届时采购人有权根据项目具体情况，决定重新采购项目的采购方式。</w:t>
      </w:r>
    </w:p>
    <w:p w14:paraId="6887339E">
      <w:pPr>
        <w:pStyle w:val="33"/>
        <w:numPr>
          <w:ilvl w:val="0"/>
          <w:numId w:val="4"/>
        </w:numPr>
        <w:spacing w:line="360" w:lineRule="auto"/>
        <w:ind w:left="760" w:hanging="340" w:firstLineChars="0"/>
        <w:rPr>
          <w:rFonts w:ascii="宋体" w:hAnsi="宋体"/>
          <w:color w:val="000000"/>
        </w:rPr>
      </w:pPr>
      <w:r>
        <w:rPr>
          <w:rFonts w:hint="eastAsia" w:ascii="宋体" w:hAnsi="宋体"/>
          <w:color w:val="000000"/>
        </w:rPr>
        <w:t>成交供应商若无正当理由恶意放弃成交资格，采购人有权将拒绝其参加本项目重新组织的竞价采购活动。</w:t>
      </w:r>
    </w:p>
    <w:p w14:paraId="25D43307">
      <w:pPr>
        <w:pStyle w:val="33"/>
        <w:numPr>
          <w:ilvl w:val="0"/>
          <w:numId w:val="4"/>
        </w:numPr>
        <w:spacing w:line="360" w:lineRule="auto"/>
        <w:ind w:left="760" w:hanging="340" w:firstLineChars="0"/>
        <w:rPr>
          <w:rFonts w:ascii="宋体" w:hAnsi="宋体"/>
          <w:color w:val="000000"/>
        </w:rPr>
      </w:pPr>
      <w:r>
        <w:rPr>
          <w:rFonts w:hint="eastAsia" w:ascii="宋体" w:hAnsi="宋体"/>
          <w:color w:val="000000"/>
        </w:rPr>
        <w:t>如采购人或代理机构在审核或复核</w:t>
      </w:r>
      <w:r>
        <w:rPr>
          <w:rFonts w:hint="eastAsia" w:ascii="宋体" w:hAnsi="宋体"/>
          <w:color w:val="000000"/>
          <w:szCs w:val="21"/>
        </w:rPr>
        <w:t>参与竞价的</w:t>
      </w:r>
      <w:r>
        <w:rPr>
          <w:rFonts w:hint="eastAsia" w:ascii="宋体" w:hAnsi="宋体"/>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58B66C55">
      <w:pPr>
        <w:pStyle w:val="33"/>
        <w:numPr>
          <w:ilvl w:val="0"/>
          <w:numId w:val="4"/>
        </w:numPr>
        <w:spacing w:line="360" w:lineRule="auto"/>
        <w:ind w:left="840" w:hanging="420" w:firstLineChars="0"/>
        <w:rPr>
          <w:rFonts w:ascii="宋体" w:hAnsi="宋体"/>
          <w:color w:val="000000"/>
        </w:rPr>
      </w:pPr>
      <w:r>
        <w:rPr>
          <w:rFonts w:hint="eastAsia" w:ascii="宋体" w:hAnsi="宋体"/>
          <w:color w:val="000000"/>
          <w:szCs w:val="21"/>
        </w:rPr>
        <w:t>参与竞价的供应商向我司咨询的有关项目事项，一切以竞价文件规定和竞价公告规定以及本公司的书面答复为准，其他一切形式均为个人意见，不代表本公司的意见。</w:t>
      </w:r>
    </w:p>
    <w:p w14:paraId="6966DC15">
      <w:pPr>
        <w:pStyle w:val="33"/>
        <w:numPr>
          <w:ilvl w:val="0"/>
          <w:numId w:val="4"/>
        </w:numPr>
        <w:spacing w:line="360" w:lineRule="auto"/>
        <w:ind w:left="840" w:hanging="420" w:firstLineChars="0"/>
        <w:rPr>
          <w:rFonts w:ascii="宋体" w:hAnsi="宋体"/>
          <w:color w:val="000000"/>
        </w:rPr>
      </w:pPr>
      <w:r>
        <w:rPr>
          <w:rFonts w:hint="eastAsia" w:ascii="宋体" w:hAnsi="宋体"/>
          <w:color w:val="000000"/>
          <w:szCs w:val="21"/>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2A15FE5A">
      <w:pPr>
        <w:pStyle w:val="33"/>
        <w:numPr>
          <w:ilvl w:val="0"/>
          <w:numId w:val="4"/>
        </w:numPr>
        <w:spacing w:line="360" w:lineRule="auto"/>
        <w:ind w:left="840" w:hanging="420" w:firstLineChars="0"/>
        <w:rPr>
          <w:rFonts w:ascii="宋体" w:hAnsi="宋体"/>
          <w:color w:val="000000"/>
        </w:rPr>
      </w:pPr>
      <w:r>
        <w:rPr>
          <w:rFonts w:hint="eastAsia" w:ascii="宋体" w:hAnsi="宋体"/>
          <w:color w:val="000000"/>
          <w:kern w:val="0"/>
          <w:szCs w:val="21"/>
        </w:rPr>
        <w:t>采购人有权拒绝接受任何不合格的货物或服务，由此产生的费用及相关后果均由成交供应商自行承担。</w:t>
      </w:r>
    </w:p>
    <w:p w14:paraId="28CB8BAD">
      <w:pPr>
        <w:pStyle w:val="33"/>
        <w:numPr>
          <w:ilvl w:val="0"/>
          <w:numId w:val="4"/>
        </w:numPr>
        <w:spacing w:line="360" w:lineRule="auto"/>
        <w:ind w:left="840" w:hanging="420" w:firstLineChars="0"/>
        <w:rPr>
          <w:rFonts w:ascii="宋体" w:hAnsi="宋体"/>
          <w:color w:val="000000"/>
        </w:rPr>
      </w:pPr>
      <w:r>
        <w:rPr>
          <w:rFonts w:hint="eastAsia" w:ascii="宋体" w:hAnsi="宋体"/>
          <w:color w:val="000000"/>
        </w:rPr>
        <w:t>供应商认为竞价结果损害其权益的，应按照云采链平台相关指引在规定的时间内向采购人或代理机构提交书面质疑，不提交的视为无异议，逾期提交将不予受理。</w:t>
      </w:r>
    </w:p>
    <w:p w14:paraId="23BA428B">
      <w:pPr>
        <w:pStyle w:val="33"/>
        <w:numPr>
          <w:ilvl w:val="0"/>
          <w:numId w:val="4"/>
        </w:numPr>
        <w:spacing w:line="360" w:lineRule="auto"/>
        <w:ind w:left="840" w:hanging="420" w:firstLineChars="0"/>
        <w:rPr>
          <w:rFonts w:ascii="宋体" w:hAnsi="宋体"/>
          <w:color w:val="000000"/>
        </w:rPr>
      </w:pPr>
      <w:r>
        <w:rPr>
          <w:rFonts w:hint="eastAsia" w:ascii="宋体" w:hAnsi="宋体"/>
          <w:color w:val="000000"/>
          <w:szCs w:val="21"/>
        </w:rPr>
        <w:t>本竞价公告和竞价文件的解释权归“云采链</w:t>
      </w:r>
      <w:r>
        <w:rPr>
          <w:rFonts w:hint="eastAsia" w:ascii="宋体" w:hAnsi="宋体"/>
          <w:color w:val="000000"/>
        </w:rPr>
        <w:t>线上采购一体化平台</w:t>
      </w:r>
      <w:r>
        <w:rPr>
          <w:rFonts w:hint="eastAsia" w:ascii="宋体" w:hAnsi="宋体"/>
          <w:color w:val="000000"/>
          <w:szCs w:val="21"/>
        </w:rPr>
        <w:t>”所有。</w:t>
      </w:r>
    </w:p>
    <w:p w14:paraId="3B97880B">
      <w:pPr>
        <w:pStyle w:val="33"/>
        <w:numPr>
          <w:ilvl w:val="0"/>
          <w:numId w:val="3"/>
        </w:numPr>
        <w:spacing w:line="360" w:lineRule="auto"/>
        <w:ind w:left="420" w:hanging="420" w:firstLineChars="0"/>
        <w:rPr>
          <w:rFonts w:ascii="宋体" w:hAnsi="宋体"/>
          <w:color w:val="000000"/>
        </w:rPr>
      </w:pPr>
      <w:r>
        <w:rPr>
          <w:rFonts w:hint="eastAsia" w:ascii="宋体" w:hAnsi="宋体"/>
          <w:b/>
          <w:color w:val="000000"/>
        </w:rPr>
        <w:t>竞价文件的澄清或修改</w:t>
      </w:r>
    </w:p>
    <w:p w14:paraId="3F4AD4A7">
      <w:pPr>
        <w:pStyle w:val="33"/>
        <w:numPr>
          <w:ilvl w:val="0"/>
          <w:numId w:val="5"/>
        </w:numPr>
        <w:spacing w:line="360" w:lineRule="auto"/>
        <w:ind w:left="704" w:hanging="284" w:firstLineChars="0"/>
        <w:rPr>
          <w:rFonts w:ascii="宋体" w:hAnsi="宋体"/>
          <w:color w:val="000000"/>
        </w:rPr>
      </w:pPr>
      <w:r>
        <w:rPr>
          <w:rFonts w:hint="eastAsia" w:ascii="宋体" w:hAnsi="宋体"/>
          <w:color w:val="000000"/>
        </w:rPr>
        <w:t>采购人或者采购代理机构可以对已发出的竞价文件进行必要的澄清或者修改。澄清或者修改的内容将在云采链平台上发布澄清（更正/变更）公告。</w:t>
      </w:r>
    </w:p>
    <w:p w14:paraId="34CCEF86">
      <w:pPr>
        <w:pStyle w:val="33"/>
        <w:numPr>
          <w:ilvl w:val="0"/>
          <w:numId w:val="5"/>
        </w:numPr>
        <w:spacing w:line="360" w:lineRule="auto"/>
        <w:ind w:left="704" w:hanging="284" w:firstLineChars="0"/>
        <w:rPr>
          <w:rFonts w:ascii="宋体" w:hAnsi="宋体"/>
          <w:color w:val="000000"/>
        </w:rPr>
      </w:pPr>
      <w:r>
        <w:rPr>
          <w:rFonts w:hint="eastAsia" w:ascii="宋体" w:hAnsi="宋体"/>
          <w:color w:val="000000"/>
        </w:rPr>
        <w:t>无论澄清或者修改的内容是否影响竞价，平台将以短信形式通知所有的报名供应商；报名供应商应按要求履行相应的义务；</w:t>
      </w:r>
      <w:r>
        <w:rPr>
          <w:rFonts w:hint="eastAsia" w:ascii="宋体" w:hAnsi="宋体"/>
          <w:color w:val="000000"/>
          <w:szCs w:val="21"/>
        </w:rPr>
        <w:t>如报名截止时间少于一个工作日的，</w:t>
      </w:r>
      <w:r>
        <w:rPr>
          <w:rFonts w:hint="eastAsia" w:ascii="宋体" w:hAnsi="宋体"/>
          <w:color w:val="000000"/>
        </w:rPr>
        <w:t>采购人或者采购代理机构应当相应顺延报名的截止时间。</w:t>
      </w:r>
    </w:p>
    <w:p w14:paraId="350DADE3">
      <w:pPr>
        <w:pStyle w:val="33"/>
        <w:numPr>
          <w:ilvl w:val="0"/>
          <w:numId w:val="5"/>
        </w:numPr>
        <w:spacing w:line="360" w:lineRule="auto"/>
        <w:ind w:left="704" w:hanging="284" w:firstLineChars="0"/>
        <w:rPr>
          <w:rFonts w:ascii="宋体" w:hAnsi="宋体"/>
          <w:color w:val="000000"/>
        </w:rPr>
      </w:pPr>
      <w:r>
        <w:rPr>
          <w:rFonts w:hint="eastAsia" w:ascii="宋体" w:hAnsi="宋体"/>
          <w:color w:val="000000"/>
        </w:rPr>
        <w:t>采购人或者采购代理机构发出的澄清或修改（更正/变更）的内容为竞价文件的组成部分，并对供应商具有约束力。</w:t>
      </w:r>
    </w:p>
    <w:p w14:paraId="68D4BEDF">
      <w:pPr>
        <w:pStyle w:val="33"/>
        <w:numPr>
          <w:ilvl w:val="0"/>
          <w:numId w:val="3"/>
        </w:numPr>
        <w:spacing w:line="360" w:lineRule="auto"/>
        <w:ind w:left="420" w:hanging="420" w:firstLineChars="0"/>
        <w:rPr>
          <w:rStyle w:val="28"/>
          <w:rFonts w:ascii="宋体" w:hAnsi="宋体"/>
          <w:bCs w:val="0"/>
        </w:rPr>
      </w:pPr>
      <w:r>
        <w:rPr>
          <w:rStyle w:val="28"/>
          <w:rFonts w:hint="eastAsia" w:ascii="宋体" w:hAnsi="宋体"/>
          <w:bCs w:val="0"/>
        </w:rPr>
        <w:t>报名要求</w:t>
      </w:r>
      <w:r>
        <w:rPr>
          <w:rStyle w:val="28"/>
          <w:rFonts w:hint="eastAsia" w:ascii="宋体" w:hAnsi="宋体"/>
          <w:b w:val="0"/>
        </w:rPr>
        <w:t>（参与竞价的供应商资质要求: 报名时需要提供以下</w:t>
      </w:r>
      <w:r>
        <w:rPr>
          <w:rStyle w:val="28"/>
          <w:rFonts w:hint="eastAsia" w:ascii="宋体" w:hAnsi="宋体"/>
          <w:bCs w:val="0"/>
          <w:u w:val="single"/>
        </w:rPr>
        <w:t>盖章</w:t>
      </w:r>
      <w:r>
        <w:rPr>
          <w:rStyle w:val="28"/>
          <w:rFonts w:hint="eastAsia" w:ascii="宋体" w:hAnsi="宋体"/>
          <w:b w:val="0"/>
        </w:rPr>
        <w:t>资料，并对上传的报名文件资料承担责任）</w:t>
      </w:r>
    </w:p>
    <w:p w14:paraId="44AB4FF2">
      <w:pPr>
        <w:pStyle w:val="33"/>
        <w:widowControl/>
        <w:numPr>
          <w:ilvl w:val="0"/>
          <w:numId w:val="6"/>
        </w:numPr>
        <w:spacing w:line="360" w:lineRule="auto"/>
        <w:ind w:left="760" w:hanging="312" w:firstLineChars="0"/>
        <w:jc w:val="left"/>
        <w:rPr>
          <w:rFonts w:ascii="宋体" w:hAnsi="宋体"/>
          <w:color w:val="000000"/>
          <w:kern w:val="0"/>
          <w:szCs w:val="20"/>
        </w:rPr>
      </w:pPr>
      <w:r>
        <w:rPr>
          <w:rFonts w:hint="eastAsia" w:ascii="宋体" w:hAnsi="宋体"/>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B26D612">
      <w:pPr>
        <w:pStyle w:val="33"/>
        <w:widowControl/>
        <w:numPr>
          <w:ilvl w:val="0"/>
          <w:numId w:val="6"/>
        </w:numPr>
        <w:spacing w:line="360" w:lineRule="auto"/>
        <w:ind w:left="840" w:hanging="312" w:firstLineChars="0"/>
        <w:jc w:val="left"/>
        <w:rPr>
          <w:rFonts w:ascii="宋体" w:hAnsi="宋体"/>
          <w:color w:val="000000"/>
          <w:kern w:val="0"/>
          <w:szCs w:val="20"/>
        </w:rPr>
      </w:pPr>
      <w:r>
        <w:rPr>
          <w:rFonts w:hint="eastAsia" w:ascii="宋体" w:hAnsi="宋体"/>
          <w:color w:val="000000"/>
          <w:kern w:val="0"/>
          <w:szCs w:val="20"/>
        </w:rPr>
        <w:t>供应商须是：具有良好的商业信誉和健全的财务会计制度；有依法缴纳税收和社会保障资金的良好记录；具有履行合同所必需的设备和专业技术能力；参加采购活动前3年内在经营活动中没有重大违法记录的书面声明；具备法律、行政法规规定的其他条件；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1BEF649B">
      <w:pPr>
        <w:pStyle w:val="33"/>
        <w:widowControl/>
        <w:numPr>
          <w:ilvl w:val="0"/>
          <w:numId w:val="6"/>
        </w:numPr>
        <w:spacing w:line="360" w:lineRule="auto"/>
        <w:ind w:left="840" w:hanging="312" w:firstLineChars="0"/>
        <w:jc w:val="left"/>
        <w:rPr>
          <w:rFonts w:ascii="宋体" w:hAnsi="宋体"/>
          <w:color w:val="000000"/>
          <w:kern w:val="0"/>
          <w:szCs w:val="20"/>
        </w:rPr>
      </w:pPr>
      <w:r>
        <w:rPr>
          <w:rFonts w:hint="eastAsia" w:ascii="宋体" w:hAnsi="宋体"/>
          <w:color w:val="000000"/>
          <w:kern w:val="0"/>
          <w:szCs w:val="21"/>
        </w:rPr>
        <w:t>供应商完全响应本项目</w:t>
      </w:r>
      <w:r>
        <w:rPr>
          <w:rFonts w:hint="eastAsia" w:ascii="宋体" w:hAnsi="宋体"/>
          <w:color w:val="000000"/>
        </w:rPr>
        <w:t>采购</w:t>
      </w:r>
      <w:r>
        <w:rPr>
          <w:rFonts w:hint="eastAsia" w:ascii="宋体" w:hAnsi="宋体"/>
          <w:color w:val="000000"/>
          <w:kern w:val="0"/>
          <w:szCs w:val="21"/>
        </w:rPr>
        <w:t>需求的条款、内容及要求的，提供</w:t>
      </w:r>
      <w:r>
        <w:rPr>
          <w:rFonts w:hint="eastAsia" w:ascii="宋体" w:hAnsi="宋体"/>
          <w:color w:val="000000"/>
        </w:rPr>
        <w:t>采购</w:t>
      </w:r>
      <w:r>
        <w:rPr>
          <w:rFonts w:hint="eastAsia" w:ascii="宋体" w:hAnsi="宋体"/>
          <w:color w:val="000000"/>
          <w:kern w:val="0"/>
          <w:szCs w:val="21"/>
        </w:rPr>
        <w:t>需求书响应声明函，格式详见附件；</w:t>
      </w:r>
    </w:p>
    <w:p w14:paraId="49F34FB9">
      <w:pPr>
        <w:pStyle w:val="33"/>
        <w:numPr>
          <w:ilvl w:val="0"/>
          <w:numId w:val="3"/>
        </w:numPr>
        <w:spacing w:line="360" w:lineRule="auto"/>
        <w:ind w:left="420" w:hanging="420" w:firstLineChars="0"/>
        <w:rPr>
          <w:rStyle w:val="28"/>
          <w:rFonts w:ascii="宋体" w:hAnsi="宋体"/>
          <w:bCs w:val="0"/>
          <w:color w:val="000000"/>
        </w:rPr>
      </w:pPr>
      <w:r>
        <w:rPr>
          <w:rStyle w:val="28"/>
          <w:rFonts w:hint="eastAsia" w:ascii="宋体" w:hAnsi="宋体"/>
          <w:bCs w:val="0"/>
          <w:color w:val="000000"/>
        </w:rPr>
        <w:t>报价要求</w:t>
      </w:r>
      <w:r>
        <w:rPr>
          <w:rStyle w:val="28"/>
          <w:rFonts w:hint="eastAsia" w:ascii="宋体" w:hAnsi="宋体"/>
          <w:color w:val="000000"/>
          <w:szCs w:val="21"/>
        </w:rPr>
        <w:t>（</w:t>
      </w:r>
      <w:r>
        <w:rPr>
          <w:rStyle w:val="28"/>
          <w:rFonts w:hint="eastAsia" w:ascii="宋体" w:hAnsi="宋体"/>
          <w:b w:val="0"/>
          <w:color w:val="000000"/>
          <w:szCs w:val="21"/>
        </w:rPr>
        <w:t>报价时需要提供以下</w:t>
      </w:r>
      <w:r>
        <w:rPr>
          <w:rStyle w:val="28"/>
          <w:rFonts w:hint="eastAsia" w:ascii="宋体" w:hAnsi="宋体"/>
          <w:color w:val="000000"/>
          <w:szCs w:val="21"/>
          <w:u w:val="double"/>
        </w:rPr>
        <w:t>盖章</w:t>
      </w:r>
      <w:r>
        <w:rPr>
          <w:rStyle w:val="28"/>
          <w:rFonts w:hint="eastAsia" w:ascii="宋体" w:hAnsi="宋体"/>
          <w:b w:val="0"/>
          <w:color w:val="000000"/>
          <w:szCs w:val="21"/>
        </w:rPr>
        <w:t>资料，</w:t>
      </w:r>
      <w:r>
        <w:rPr>
          <w:rFonts w:hint="eastAsia" w:ascii="宋体" w:hAnsi="宋体"/>
          <w:color w:val="000000"/>
          <w:szCs w:val="21"/>
        </w:rPr>
        <w:t>并对上传的竞价文件资料承担责任</w:t>
      </w:r>
      <w:r>
        <w:rPr>
          <w:rStyle w:val="28"/>
          <w:rFonts w:hint="eastAsia" w:ascii="宋体" w:hAnsi="宋体"/>
          <w:color w:val="000000"/>
          <w:szCs w:val="21"/>
        </w:rPr>
        <w:t>）</w:t>
      </w:r>
    </w:p>
    <w:p w14:paraId="164635A4">
      <w:pPr>
        <w:pStyle w:val="33"/>
        <w:numPr>
          <w:ilvl w:val="0"/>
          <w:numId w:val="7"/>
        </w:numPr>
        <w:spacing w:line="360" w:lineRule="auto"/>
        <w:ind w:left="732" w:hanging="312" w:firstLineChars="0"/>
        <w:rPr>
          <w:rFonts w:ascii="宋体" w:hAnsi="宋体"/>
          <w:szCs w:val="21"/>
        </w:rPr>
      </w:pPr>
      <w:r>
        <w:rPr>
          <w:rFonts w:hint="eastAsia" w:ascii="宋体" w:hAnsi="宋体"/>
          <w:color w:val="000000"/>
          <w:szCs w:val="21"/>
        </w:rPr>
        <w:t>通过报名供应商应根据本公告要求，在规定的竞价时间内对采购项目进行报价，同时按本公告要求完整、真实、准确地填写并上传相应报价附件</w:t>
      </w:r>
      <w:r>
        <w:rPr>
          <w:rFonts w:hint="eastAsia" w:ascii="宋体" w:hAnsi="宋体"/>
          <w:b/>
          <w:bCs/>
          <w:color w:val="000000"/>
          <w:szCs w:val="21"/>
        </w:rPr>
        <w:t>（</w:t>
      </w:r>
      <w:r>
        <w:rPr>
          <w:rFonts w:hint="eastAsia" w:ascii="宋体" w:hAnsi="宋体"/>
          <w:b/>
          <w:szCs w:val="21"/>
        </w:rPr>
        <w:t>上传</w:t>
      </w:r>
      <w:r>
        <w:rPr>
          <w:rFonts w:hint="eastAsia" w:ascii="宋体" w:hAnsi="宋体"/>
          <w:b/>
          <w:bCs/>
          <w:szCs w:val="21"/>
          <w:shd w:val="clear" w:color="auto" w:fill="FFFFFF"/>
        </w:rPr>
        <w:t>报价表）。</w:t>
      </w:r>
    </w:p>
    <w:p w14:paraId="1E84885B">
      <w:pPr>
        <w:pStyle w:val="33"/>
        <w:numPr>
          <w:ilvl w:val="0"/>
          <w:numId w:val="7"/>
        </w:numPr>
        <w:spacing w:line="360" w:lineRule="auto"/>
        <w:ind w:left="732" w:hanging="312" w:firstLineChars="0"/>
        <w:rPr>
          <w:rFonts w:ascii="宋体" w:hAnsi="宋体"/>
          <w:color w:val="000000"/>
        </w:rPr>
      </w:pPr>
      <w:r>
        <w:rPr>
          <w:rFonts w:hint="eastAsia" w:ascii="宋体" w:hAnsi="宋体"/>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5D6FD23D">
      <w:pPr>
        <w:pStyle w:val="33"/>
        <w:numPr>
          <w:ilvl w:val="0"/>
          <w:numId w:val="3"/>
        </w:numPr>
        <w:spacing w:line="360" w:lineRule="auto"/>
        <w:ind w:left="420" w:hanging="420" w:firstLineChars="0"/>
        <w:rPr>
          <w:rStyle w:val="28"/>
          <w:rFonts w:ascii="宋体" w:hAnsi="宋体"/>
          <w:bCs w:val="0"/>
          <w:color w:val="000000"/>
        </w:rPr>
      </w:pPr>
      <w:r>
        <w:rPr>
          <w:rStyle w:val="28"/>
          <w:rFonts w:hint="eastAsia" w:ascii="宋体" w:hAnsi="宋体"/>
          <w:bCs w:val="0"/>
          <w:color w:val="000000"/>
        </w:rPr>
        <w:t>确定成交候选人</w:t>
      </w:r>
    </w:p>
    <w:p w14:paraId="25E15D6E">
      <w:pPr>
        <w:pStyle w:val="33"/>
        <w:numPr>
          <w:ilvl w:val="0"/>
          <w:numId w:val="8"/>
        </w:numPr>
        <w:spacing w:line="360" w:lineRule="auto"/>
        <w:ind w:left="732" w:hanging="312" w:firstLineChars="0"/>
        <w:rPr>
          <w:rFonts w:ascii="宋体" w:hAnsi="宋体"/>
          <w:bCs/>
          <w:color w:val="000000"/>
        </w:rPr>
      </w:pPr>
      <w:r>
        <w:rPr>
          <w:rFonts w:hint="eastAsia" w:ascii="宋体" w:hAnsi="宋体"/>
          <w:szCs w:val="21"/>
        </w:rPr>
        <w:t>本项目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r>
        <w:rPr>
          <w:rFonts w:hint="eastAsia" w:ascii="宋体" w:hAnsi="宋体"/>
          <w:bCs/>
          <w:color w:val="000000"/>
        </w:rPr>
        <w:t>。</w:t>
      </w:r>
    </w:p>
    <w:p w14:paraId="51CA14AF">
      <w:pPr>
        <w:pStyle w:val="33"/>
        <w:numPr>
          <w:ilvl w:val="0"/>
          <w:numId w:val="3"/>
        </w:numPr>
        <w:spacing w:line="360" w:lineRule="auto"/>
        <w:ind w:left="420" w:hanging="420" w:firstLineChars="0"/>
        <w:rPr>
          <w:rFonts w:ascii="宋体" w:hAnsi="宋体"/>
          <w:b/>
          <w:color w:val="000000"/>
          <w:szCs w:val="21"/>
        </w:rPr>
      </w:pPr>
      <w:r>
        <w:rPr>
          <w:rFonts w:hint="eastAsia" w:ascii="宋体" w:hAnsi="宋体"/>
          <w:b/>
          <w:color w:val="000000"/>
          <w:szCs w:val="21"/>
        </w:rPr>
        <w:t>无效报价</w:t>
      </w:r>
    </w:p>
    <w:p w14:paraId="5088619A">
      <w:pPr>
        <w:pStyle w:val="33"/>
        <w:numPr>
          <w:ilvl w:val="0"/>
          <w:numId w:val="9"/>
        </w:numPr>
        <w:spacing w:line="360" w:lineRule="auto"/>
        <w:ind w:left="732" w:hanging="312" w:firstLineChars="0"/>
        <w:rPr>
          <w:rFonts w:ascii="宋体" w:hAnsi="宋体"/>
          <w:color w:val="000000"/>
          <w:szCs w:val="21"/>
        </w:rPr>
      </w:pPr>
      <w:r>
        <w:rPr>
          <w:rFonts w:hint="eastAsia" w:ascii="宋体" w:hAnsi="宋体"/>
          <w:color w:val="000000"/>
          <w:szCs w:val="21"/>
        </w:rPr>
        <w:t>下浮率报价没有大于或等于100%，也没有为负数，且是固定唯一值的，否则为无效报价。</w:t>
      </w:r>
    </w:p>
    <w:p w14:paraId="1B153D98">
      <w:pPr>
        <w:pStyle w:val="33"/>
        <w:numPr>
          <w:ilvl w:val="0"/>
          <w:numId w:val="9"/>
        </w:numPr>
        <w:spacing w:line="360" w:lineRule="auto"/>
        <w:ind w:left="732" w:hanging="312" w:firstLineChars="0"/>
        <w:rPr>
          <w:rFonts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供应商须提供本项目要求的资质文件，如果不按公告规定或竞价文件要求等相关规定提供符合要求的资质文件，将被视为无效报价。</w:t>
      </w:r>
    </w:p>
    <w:p w14:paraId="18E8B23C">
      <w:pPr>
        <w:pStyle w:val="33"/>
        <w:numPr>
          <w:ilvl w:val="0"/>
          <w:numId w:val="9"/>
        </w:numPr>
        <w:spacing w:line="360" w:lineRule="auto"/>
        <w:ind w:left="732" w:hanging="312" w:firstLineChars="0"/>
        <w:rPr>
          <w:rFonts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供应商须对本项目采购内容进行整体报价，任何只对其中一部分内容进行的报价都被视为无效报价。</w:t>
      </w:r>
    </w:p>
    <w:p w14:paraId="320A5C3F">
      <w:pPr>
        <w:pStyle w:val="33"/>
        <w:numPr>
          <w:ilvl w:val="0"/>
          <w:numId w:val="9"/>
        </w:numPr>
        <w:spacing w:line="360" w:lineRule="auto"/>
        <w:ind w:left="732" w:hanging="312" w:firstLineChars="0"/>
        <w:rPr>
          <w:rFonts w:ascii="宋体" w:hAnsi="宋体"/>
          <w:color w:val="000000"/>
          <w:szCs w:val="21"/>
        </w:rPr>
      </w:pPr>
      <w:r>
        <w:rPr>
          <w:rFonts w:hint="eastAsia" w:ascii="宋体" w:hAnsi="宋体"/>
          <w:color w:val="000000"/>
          <w:u w:val="double"/>
        </w:rPr>
        <w:t>报价表以及有报价供应商落款的报价文件必须加盖报价供应商公章，否则视为无效报价。</w:t>
      </w:r>
    </w:p>
    <w:p w14:paraId="5281BC6B">
      <w:pPr>
        <w:pStyle w:val="20"/>
        <w:numPr>
          <w:ilvl w:val="0"/>
          <w:numId w:val="9"/>
        </w:numPr>
        <w:shd w:val="clear" w:color="auto" w:fill="FFFFFF"/>
        <w:spacing w:before="0" w:beforeAutospacing="0" w:after="0" w:afterAutospacing="0" w:line="360" w:lineRule="auto"/>
        <w:ind w:left="732" w:hanging="312"/>
        <w:rPr>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626456A">
      <w:pPr>
        <w:pStyle w:val="20"/>
        <w:numPr>
          <w:ilvl w:val="0"/>
          <w:numId w:val="9"/>
        </w:numPr>
        <w:shd w:val="clear" w:color="auto" w:fill="FFFFFF"/>
        <w:spacing w:before="0" w:beforeAutospacing="0" w:after="0" w:afterAutospacing="0" w:line="360" w:lineRule="auto"/>
        <w:ind w:left="840" w:hanging="420"/>
        <w:rPr>
          <w:b/>
          <w:bCs/>
          <w:color w:val="000000"/>
          <w:sz w:val="21"/>
          <w:szCs w:val="21"/>
          <w:u w:val="double"/>
        </w:rPr>
      </w:pPr>
      <w:r>
        <w:rPr>
          <w:rFonts w:hint="eastAsia"/>
          <w:b/>
          <w:bCs/>
          <w:color w:val="000000"/>
          <w:sz w:val="21"/>
          <w:szCs w:val="21"/>
          <w:u w:val="double"/>
        </w:rPr>
        <w:t>按有关法律、法规、规章属于报价无效的。</w:t>
      </w:r>
    </w:p>
    <w:p w14:paraId="1541C69B">
      <w:pPr>
        <w:pStyle w:val="20"/>
        <w:numPr>
          <w:ilvl w:val="0"/>
          <w:numId w:val="9"/>
        </w:numPr>
        <w:shd w:val="clear" w:color="auto" w:fill="FFFFFF"/>
        <w:spacing w:before="0" w:beforeAutospacing="0" w:after="0" w:afterAutospacing="0" w:line="360" w:lineRule="auto"/>
        <w:ind w:left="840" w:hanging="420"/>
        <w:rPr>
          <w:color w:val="000000"/>
          <w:sz w:val="21"/>
          <w:szCs w:val="21"/>
        </w:rPr>
      </w:pPr>
      <w:r>
        <w:rPr>
          <w:rFonts w:hint="eastAsia"/>
          <w:b/>
          <w:color w:val="000000"/>
          <w:sz w:val="21"/>
          <w:szCs w:val="21"/>
        </w:rPr>
        <w:t>有下列情形之一的，视为串通竞价，其报价无效：</w:t>
      </w:r>
    </w:p>
    <w:p w14:paraId="176CECA5">
      <w:pPr>
        <w:pStyle w:val="33"/>
        <w:widowControl/>
        <w:numPr>
          <w:ilvl w:val="0"/>
          <w:numId w:val="10"/>
        </w:numPr>
        <w:spacing w:line="360" w:lineRule="auto"/>
        <w:ind w:left="1418" w:hanging="567" w:firstLineChars="0"/>
        <w:jc w:val="left"/>
        <w:rPr>
          <w:rFonts w:ascii="宋体" w:hAnsi="宋体"/>
          <w:color w:val="000000"/>
          <w:szCs w:val="21"/>
        </w:rPr>
      </w:pPr>
      <w:r>
        <w:rPr>
          <w:rFonts w:hint="eastAsia" w:ascii="宋体" w:hAnsi="宋体"/>
          <w:color w:val="000000"/>
          <w:szCs w:val="21"/>
        </w:rPr>
        <w:t>存在单位负责人为同一人或存在控股、管理关系的不同单位参与同一竞价项目；</w:t>
      </w:r>
    </w:p>
    <w:p w14:paraId="48BF4298">
      <w:pPr>
        <w:pStyle w:val="33"/>
        <w:widowControl/>
        <w:numPr>
          <w:ilvl w:val="0"/>
          <w:numId w:val="10"/>
        </w:numPr>
        <w:spacing w:line="360" w:lineRule="auto"/>
        <w:ind w:left="1418" w:hanging="567" w:firstLineChars="0"/>
        <w:jc w:val="left"/>
        <w:rPr>
          <w:rFonts w:ascii="宋体" w:hAnsi="宋体"/>
          <w:color w:val="000000"/>
          <w:szCs w:val="21"/>
        </w:rPr>
      </w:pPr>
      <w:r>
        <w:rPr>
          <w:rFonts w:hint="eastAsia" w:ascii="宋体" w:hAnsi="宋体"/>
          <w:color w:val="000000"/>
          <w:szCs w:val="21"/>
        </w:rPr>
        <w:t>不同供应商的响应文件由同一单位或者个人编制；</w:t>
      </w:r>
    </w:p>
    <w:p w14:paraId="6C6A9416">
      <w:pPr>
        <w:pStyle w:val="33"/>
        <w:widowControl/>
        <w:numPr>
          <w:ilvl w:val="0"/>
          <w:numId w:val="10"/>
        </w:numPr>
        <w:spacing w:line="360" w:lineRule="auto"/>
        <w:ind w:left="1418" w:hanging="567" w:firstLineChars="0"/>
        <w:jc w:val="left"/>
        <w:rPr>
          <w:rFonts w:ascii="宋体" w:hAnsi="宋体"/>
          <w:color w:val="000000"/>
          <w:szCs w:val="21"/>
        </w:rPr>
      </w:pPr>
      <w:r>
        <w:rPr>
          <w:rFonts w:hint="eastAsia" w:ascii="宋体" w:hAnsi="宋体"/>
          <w:color w:val="000000"/>
          <w:szCs w:val="21"/>
        </w:rPr>
        <w:t>不同供应商委托同一单位或者个人办理竞价事宜；</w:t>
      </w:r>
    </w:p>
    <w:p w14:paraId="4FC00C26">
      <w:pPr>
        <w:pStyle w:val="33"/>
        <w:widowControl/>
        <w:numPr>
          <w:ilvl w:val="0"/>
          <w:numId w:val="10"/>
        </w:numPr>
        <w:spacing w:line="360" w:lineRule="auto"/>
        <w:ind w:left="1418" w:hanging="567" w:firstLineChars="0"/>
        <w:jc w:val="left"/>
        <w:rPr>
          <w:rFonts w:ascii="宋体" w:hAnsi="宋体"/>
          <w:b/>
          <w:bCs/>
          <w:color w:val="000000"/>
          <w:szCs w:val="21"/>
          <w:u w:val="double"/>
        </w:rPr>
      </w:pPr>
      <w:r>
        <w:rPr>
          <w:rFonts w:hint="eastAsia" w:ascii="宋体" w:hAnsi="宋体"/>
          <w:b/>
          <w:bCs/>
          <w:color w:val="000000"/>
          <w:szCs w:val="21"/>
          <w:u w:val="double"/>
        </w:rPr>
        <w:t>不同供应商使用同一IP地址参与竞价；</w:t>
      </w:r>
    </w:p>
    <w:p w14:paraId="159EE6E6">
      <w:pPr>
        <w:pStyle w:val="33"/>
        <w:widowControl/>
        <w:numPr>
          <w:ilvl w:val="0"/>
          <w:numId w:val="10"/>
        </w:numPr>
        <w:spacing w:line="360" w:lineRule="auto"/>
        <w:ind w:left="1418" w:hanging="567" w:firstLineChars="0"/>
        <w:jc w:val="left"/>
        <w:rPr>
          <w:rFonts w:ascii="宋体" w:hAnsi="宋体"/>
          <w:color w:val="000000"/>
          <w:szCs w:val="21"/>
        </w:rPr>
      </w:pPr>
      <w:r>
        <w:rPr>
          <w:rFonts w:hint="eastAsia" w:ascii="宋体" w:hAnsi="宋体"/>
          <w:color w:val="000000"/>
          <w:szCs w:val="21"/>
        </w:rPr>
        <w:t>不同供应商的响应文件载明的项目管理成员或者联系人员为同一人；</w:t>
      </w:r>
    </w:p>
    <w:p w14:paraId="0C0CB7E9">
      <w:pPr>
        <w:pStyle w:val="33"/>
        <w:widowControl/>
        <w:numPr>
          <w:ilvl w:val="0"/>
          <w:numId w:val="10"/>
        </w:numPr>
        <w:spacing w:line="360" w:lineRule="auto"/>
        <w:ind w:left="1418" w:hanging="567" w:firstLineChars="0"/>
        <w:jc w:val="left"/>
        <w:rPr>
          <w:rFonts w:ascii="宋体" w:hAnsi="宋体"/>
          <w:color w:val="000000"/>
          <w:szCs w:val="21"/>
        </w:rPr>
      </w:pPr>
      <w:r>
        <w:rPr>
          <w:rFonts w:hint="eastAsia" w:ascii="宋体" w:hAnsi="宋体"/>
          <w:color w:val="000000"/>
          <w:szCs w:val="21"/>
        </w:rPr>
        <w:t>不同供应商的响应文件异常一致(格式相同，字体一样，表格颜色相同等)或者报价呈规律性差异；</w:t>
      </w:r>
    </w:p>
    <w:p w14:paraId="5EF81B84">
      <w:pPr>
        <w:pStyle w:val="33"/>
        <w:widowControl/>
        <w:numPr>
          <w:ilvl w:val="0"/>
          <w:numId w:val="10"/>
        </w:numPr>
        <w:spacing w:line="360" w:lineRule="auto"/>
        <w:ind w:left="1418" w:hanging="567" w:firstLineChars="0"/>
        <w:jc w:val="left"/>
        <w:rPr>
          <w:rFonts w:ascii="宋体" w:hAnsi="宋体"/>
          <w:color w:val="000000"/>
          <w:szCs w:val="21"/>
        </w:rPr>
      </w:pPr>
      <w:r>
        <w:rPr>
          <w:rFonts w:hint="eastAsia" w:ascii="宋体" w:hAnsi="宋体"/>
          <w:color w:val="000000"/>
          <w:szCs w:val="21"/>
        </w:rPr>
        <w:t>不同供应商的响应文件相互混淆；</w:t>
      </w:r>
    </w:p>
    <w:p w14:paraId="6F4487CB">
      <w:pPr>
        <w:pStyle w:val="33"/>
        <w:widowControl/>
        <w:numPr>
          <w:ilvl w:val="0"/>
          <w:numId w:val="10"/>
        </w:numPr>
        <w:spacing w:line="360" w:lineRule="auto"/>
        <w:ind w:left="1418" w:hanging="567" w:firstLineChars="0"/>
        <w:jc w:val="left"/>
        <w:rPr>
          <w:rFonts w:ascii="宋体" w:hAnsi="宋体"/>
          <w:color w:val="000000"/>
          <w:szCs w:val="21"/>
        </w:rPr>
      </w:pPr>
      <w:r>
        <w:rPr>
          <w:rFonts w:hint="eastAsia" w:ascii="宋体" w:hAnsi="宋体"/>
          <w:color w:val="000000"/>
          <w:szCs w:val="21"/>
        </w:rPr>
        <w:t>不同供应商的平台保障金从同一单位或者个人的账户转出（如有）。</w:t>
      </w:r>
    </w:p>
    <w:p w14:paraId="331A65B7">
      <w:pPr>
        <w:pStyle w:val="33"/>
        <w:numPr>
          <w:ilvl w:val="0"/>
          <w:numId w:val="3"/>
        </w:numPr>
        <w:spacing w:line="360" w:lineRule="auto"/>
        <w:ind w:left="420" w:hanging="420" w:firstLineChars="0"/>
        <w:rPr>
          <w:rFonts w:ascii="宋体" w:hAnsi="宋体"/>
          <w:color w:val="000000"/>
          <w:szCs w:val="21"/>
        </w:rPr>
      </w:pPr>
      <w:r>
        <w:rPr>
          <w:rFonts w:hint="eastAsia" w:ascii="宋体" w:hAnsi="宋体"/>
          <w:b/>
          <w:color w:val="000000"/>
          <w:szCs w:val="21"/>
        </w:rPr>
        <w:t>竞价活动失败</w:t>
      </w:r>
    </w:p>
    <w:p w14:paraId="16BCF7C6">
      <w:pPr>
        <w:pStyle w:val="33"/>
        <w:numPr>
          <w:ilvl w:val="0"/>
          <w:numId w:val="11"/>
        </w:numPr>
        <w:spacing w:line="360" w:lineRule="auto"/>
        <w:ind w:left="840" w:leftChars="200" w:hanging="420" w:firstLineChars="0"/>
        <w:rPr>
          <w:rFonts w:ascii="宋体" w:hAnsi="宋体"/>
          <w:color w:val="000000"/>
        </w:rPr>
      </w:pPr>
      <w:r>
        <w:rPr>
          <w:rFonts w:hint="eastAsia" w:ascii="宋体" w:hAnsi="宋体"/>
          <w:color w:val="000000"/>
          <w:szCs w:val="21"/>
        </w:rPr>
        <w:t>出现下列情况的，本项目竞价活动失败：</w:t>
      </w:r>
    </w:p>
    <w:p w14:paraId="6A7A15AF">
      <w:pPr>
        <w:pStyle w:val="33"/>
        <w:numPr>
          <w:ilvl w:val="0"/>
          <w:numId w:val="12"/>
        </w:numPr>
        <w:spacing w:line="360" w:lineRule="auto"/>
        <w:ind w:left="1260" w:leftChars="600" w:firstLineChars="0"/>
        <w:rPr>
          <w:rFonts w:ascii="宋体" w:hAnsi="宋体"/>
          <w:color w:val="000000"/>
        </w:rPr>
      </w:pPr>
      <w:r>
        <w:rPr>
          <w:rFonts w:hint="eastAsia" w:ascii="宋体" w:hAnsi="宋体"/>
          <w:color w:val="000000"/>
        </w:rPr>
        <w:t>有效报名供应商不足3家；</w:t>
      </w:r>
    </w:p>
    <w:p w14:paraId="689EC199">
      <w:pPr>
        <w:pStyle w:val="33"/>
        <w:numPr>
          <w:ilvl w:val="0"/>
          <w:numId w:val="12"/>
        </w:numPr>
        <w:spacing w:line="360" w:lineRule="auto"/>
        <w:ind w:left="1260" w:leftChars="600" w:firstLineChars="0"/>
        <w:rPr>
          <w:rFonts w:ascii="宋体" w:hAnsi="宋体"/>
          <w:color w:val="000000"/>
          <w:szCs w:val="21"/>
        </w:rPr>
      </w:pPr>
      <w:r>
        <w:rPr>
          <w:rFonts w:hint="eastAsia" w:ascii="宋体" w:hAnsi="宋体"/>
          <w:color w:val="000000"/>
        </w:rPr>
        <w:t>有效报价供应商不足3家。</w:t>
      </w:r>
    </w:p>
    <w:p w14:paraId="2D76016B">
      <w:pPr>
        <w:pStyle w:val="33"/>
        <w:spacing w:line="360" w:lineRule="auto"/>
        <w:ind w:left="840" w:leftChars="200" w:hanging="420" w:firstLineChars="0"/>
        <w:rPr>
          <w:rFonts w:ascii="宋体" w:hAnsi="宋体"/>
          <w:szCs w:val="21"/>
        </w:rPr>
      </w:pPr>
      <w:r>
        <w:rPr>
          <w:rFonts w:hint="eastAsia" w:ascii="宋体" w:hAnsi="宋体"/>
          <w:szCs w:val="21"/>
        </w:rPr>
        <w:t>2.出现影响采购公正的违法、违规行为的。</w:t>
      </w:r>
    </w:p>
    <w:p w14:paraId="232142DC">
      <w:pPr>
        <w:pStyle w:val="33"/>
        <w:spacing w:line="360" w:lineRule="auto"/>
        <w:ind w:left="840" w:leftChars="200" w:hanging="420" w:firstLineChars="0"/>
        <w:rPr>
          <w:rFonts w:ascii="宋体" w:hAnsi="宋体"/>
          <w:szCs w:val="21"/>
        </w:rPr>
      </w:pPr>
      <w:r>
        <w:rPr>
          <w:rFonts w:hint="eastAsia" w:ascii="宋体" w:hAnsi="宋体"/>
          <w:szCs w:val="21"/>
        </w:rPr>
        <w:t>3.因重大变故，采购任务取消的。</w:t>
      </w:r>
    </w:p>
    <w:p w14:paraId="4E0EB55B">
      <w:pPr>
        <w:pStyle w:val="33"/>
        <w:numPr>
          <w:ilvl w:val="0"/>
          <w:numId w:val="3"/>
        </w:numPr>
        <w:spacing w:line="360" w:lineRule="auto"/>
        <w:ind w:left="420" w:hanging="420" w:firstLineChars="0"/>
        <w:rPr>
          <w:rFonts w:ascii="宋体" w:hAnsi="宋体"/>
          <w:b/>
          <w:szCs w:val="21"/>
        </w:rPr>
      </w:pPr>
      <w:r>
        <w:rPr>
          <w:rFonts w:hint="eastAsia" w:ascii="宋体" w:hAnsi="宋体"/>
          <w:b/>
          <w:szCs w:val="21"/>
        </w:rPr>
        <w:t>使用费</w:t>
      </w:r>
    </w:p>
    <w:p w14:paraId="2550502F">
      <w:pPr>
        <w:pStyle w:val="33"/>
        <w:spacing w:line="360" w:lineRule="auto"/>
        <w:ind w:left="647" w:leftChars="200" w:hanging="227" w:firstLineChars="0"/>
        <w:rPr>
          <w:rFonts w:ascii="宋体" w:hAnsi="宋体"/>
          <w:szCs w:val="21"/>
        </w:rPr>
      </w:pPr>
      <w:r>
        <w:rPr>
          <w:rFonts w:hint="eastAsia" w:ascii="宋体" w:hAnsi="宋体"/>
          <w:szCs w:val="21"/>
        </w:rPr>
        <w:t>1.成交供应商须向平台服务商云采链线上采购一体化平台缴纳平台使用费，金额为成交金额的1.2%（四舍五入取整数）。</w:t>
      </w:r>
    </w:p>
    <w:p w14:paraId="1520D2AD">
      <w:pPr>
        <w:pStyle w:val="33"/>
        <w:spacing w:line="360" w:lineRule="auto"/>
        <w:ind w:left="647" w:leftChars="200" w:hanging="227" w:firstLineChars="0"/>
        <w:rPr>
          <w:rFonts w:ascii="宋体" w:hAnsi="宋体"/>
          <w:szCs w:val="21"/>
        </w:rPr>
      </w:pPr>
      <w:r>
        <w:rPr>
          <w:rFonts w:hint="eastAsia" w:ascii="宋体" w:hAnsi="宋体"/>
          <w:szCs w:val="21"/>
        </w:rPr>
        <w:t>2.成交供应商无正当理由放弃成交资格的必须按竞价公告等相关规定缴纳相应的平台使用费。</w:t>
      </w:r>
    </w:p>
    <w:p w14:paraId="273EE1C9">
      <w:pPr>
        <w:pStyle w:val="33"/>
        <w:spacing w:line="360" w:lineRule="auto"/>
        <w:ind w:left="647" w:leftChars="200" w:hanging="227" w:firstLineChars="0"/>
        <w:rPr>
          <w:rFonts w:ascii="宋体" w:hAnsi="宋体"/>
          <w:szCs w:val="21"/>
        </w:rPr>
      </w:pPr>
      <w:r>
        <w:rPr>
          <w:rFonts w:hint="eastAsia" w:ascii="宋体" w:hAnsi="宋体"/>
          <w:szCs w:val="21"/>
        </w:rPr>
        <w:t>3.如确实因不可抗力放弃成交资格的，应在不可抗力发生后三个工作日内予以通知采购代理机构并提供相关的证明；如逾期，采购代理机构不予退还平台使用费。</w:t>
      </w:r>
    </w:p>
    <w:p w14:paraId="32689292">
      <w:pPr>
        <w:pStyle w:val="33"/>
        <w:numPr>
          <w:ilvl w:val="0"/>
          <w:numId w:val="2"/>
        </w:numPr>
        <w:spacing w:line="360" w:lineRule="auto"/>
        <w:ind w:firstLineChars="0"/>
        <w:rPr>
          <w:rFonts w:ascii="宋体" w:hAnsi="宋体"/>
          <w:b/>
          <w:color w:val="000000"/>
        </w:rPr>
      </w:pPr>
      <w:r>
        <w:rPr>
          <w:rFonts w:hint="eastAsia" w:ascii="宋体" w:hAnsi="宋体"/>
          <w:b/>
          <w:color w:val="000000"/>
        </w:rPr>
        <w:t>联系方式</w:t>
      </w:r>
    </w:p>
    <w:p w14:paraId="70CBA781">
      <w:pPr>
        <w:pStyle w:val="33"/>
        <w:spacing w:line="360" w:lineRule="auto"/>
        <w:ind w:left="420" w:firstLine="0" w:firstLineChars="0"/>
        <w:rPr>
          <w:rFonts w:ascii="宋体" w:hAnsi="宋体"/>
          <w:b/>
          <w:color w:val="000000"/>
        </w:rPr>
      </w:pPr>
      <w:r>
        <w:rPr>
          <w:rFonts w:hint="eastAsia" w:ascii="宋体" w:hAnsi="宋体"/>
        </w:rPr>
        <w:t>1、采购人联系人及联系方式：</w:t>
      </w:r>
      <w:r>
        <w:rPr>
          <w:rFonts w:hint="eastAsia" w:ascii="宋体" w:hAnsi="宋体"/>
        </w:rPr>
        <w:br w:type="textWrapping"/>
      </w:r>
      <w:r>
        <w:rPr>
          <w:rFonts w:hint="eastAsia" w:ascii="宋体" w:hAnsi="宋体"/>
        </w:rPr>
        <w:t>广东省肇庆监狱业务咨询部门电话 0758-3173863。</w:t>
      </w:r>
      <w:r>
        <w:rPr>
          <w:rFonts w:hint="eastAsia" w:ascii="宋体" w:hAnsi="宋体"/>
        </w:rPr>
        <w:br w:type="textWrapping"/>
      </w:r>
      <w:r>
        <w:rPr>
          <w:rFonts w:hint="eastAsia" w:ascii="宋体" w:hAnsi="宋体"/>
        </w:rPr>
        <w:t>2、纪检监督部门：</w:t>
      </w:r>
      <w:r>
        <w:rPr>
          <w:rFonts w:hint="eastAsia" w:ascii="宋体" w:hAnsi="宋体"/>
        </w:rPr>
        <w:br w:type="textWrapping"/>
      </w:r>
      <w:r>
        <w:rPr>
          <w:rFonts w:hint="eastAsia" w:ascii="宋体" w:hAnsi="宋体"/>
        </w:rPr>
        <w:t>广东省肇庆监狱纪检监督部门电话 0758—3173809。</w:t>
      </w:r>
    </w:p>
    <w:p w14:paraId="4FE5F01B">
      <w:pPr>
        <w:pStyle w:val="33"/>
        <w:widowControl/>
        <w:spacing w:line="360" w:lineRule="auto"/>
        <w:ind w:left="420" w:firstLine="0" w:firstLineChars="0"/>
        <w:jc w:val="left"/>
        <w:rPr>
          <w:rFonts w:ascii="宋体" w:hAnsi="宋体"/>
          <w:color w:val="000000"/>
        </w:rPr>
      </w:pPr>
      <w:r>
        <w:rPr>
          <w:rFonts w:hint="eastAsia" w:ascii="宋体" w:hAnsi="宋体"/>
          <w:color w:val="000000"/>
        </w:rPr>
        <w:t>3、扫码关注微信公众号“云采链互联服务平台”，即可在线咨询相关事项。</w:t>
      </w:r>
    </w:p>
    <w:p w14:paraId="4339198B">
      <w:pPr>
        <w:pStyle w:val="33"/>
        <w:widowControl/>
        <w:spacing w:line="360" w:lineRule="auto"/>
        <w:ind w:left="420" w:firstLine="0" w:firstLineChars="0"/>
        <w:jc w:val="center"/>
        <w:rPr>
          <w:rFonts w:ascii="宋体" w:hAnsi="宋体"/>
          <w:color w:val="000000"/>
        </w:rPr>
      </w:pPr>
      <w:r>
        <w:rPr>
          <w:rFonts w:hint="eastAsia" w:ascii="宋体" w:hAnsi="宋体"/>
          <w:color w:val="000000"/>
        </w:rPr>
        <w:drawing>
          <wp:inline distT="0" distB="0" distL="0" distR="0">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6" cstate="print"/>
                    <a:srcRect/>
                    <a:stretch>
                      <a:fillRect/>
                    </a:stretch>
                  </pic:blipFill>
                  <pic:spPr>
                    <a:xfrm>
                      <a:off x="0" y="0"/>
                      <a:ext cx="1390650" cy="1390650"/>
                    </a:xfrm>
                    <a:prstGeom prst="rect">
                      <a:avLst/>
                    </a:prstGeom>
                    <a:ln>
                      <a:noFill/>
                    </a:ln>
                  </pic:spPr>
                </pic:pic>
              </a:graphicData>
            </a:graphic>
          </wp:inline>
        </w:drawing>
      </w:r>
    </w:p>
    <w:p w14:paraId="0095CC41">
      <w:pPr>
        <w:rPr>
          <w:rFonts w:ascii="宋体" w:hAnsi="宋体"/>
          <w:color w:val="000000"/>
        </w:rPr>
      </w:pPr>
      <w:r>
        <w:rPr>
          <w:rFonts w:hint="eastAsia" w:ascii="宋体" w:hAnsi="宋体"/>
          <w:color w:val="000000"/>
        </w:rPr>
        <w:br w:type="page"/>
      </w:r>
    </w:p>
    <w:p w14:paraId="0DC99C87">
      <w:pPr>
        <w:snapToGrid w:val="0"/>
        <w:spacing w:line="360" w:lineRule="auto"/>
        <w:jc w:val="center"/>
        <w:outlineLvl w:val="0"/>
        <w:rPr>
          <w:rFonts w:ascii="宋体" w:hAnsi="宋体"/>
          <w:color w:val="000000"/>
          <w:sz w:val="32"/>
          <w:szCs w:val="32"/>
        </w:rPr>
      </w:pPr>
      <w:r>
        <w:rPr>
          <w:rFonts w:hint="eastAsia" w:ascii="宋体" w:hAnsi="宋体"/>
          <w:b/>
          <w:bCs/>
          <w:color w:val="000000"/>
          <w:sz w:val="32"/>
          <w:szCs w:val="32"/>
        </w:rPr>
        <w:t>第二章 采购需求书</w:t>
      </w:r>
    </w:p>
    <w:p w14:paraId="0A86A264">
      <w:pPr>
        <w:snapToGrid w:val="0"/>
        <w:spacing w:line="360" w:lineRule="auto"/>
        <w:rPr>
          <w:rFonts w:ascii="宋体" w:hAnsi="宋体"/>
          <w:b/>
          <w:bCs/>
          <w:color w:val="000000"/>
          <w:szCs w:val="21"/>
        </w:rPr>
      </w:pPr>
      <w:r>
        <w:rPr>
          <w:rFonts w:hint="eastAsia" w:ascii="宋体" w:hAnsi="宋体"/>
          <w:b/>
          <w:bCs/>
          <w:color w:val="000000"/>
        </w:rPr>
        <w:t>说明：</w:t>
      </w:r>
    </w:p>
    <w:p w14:paraId="6A108FE9">
      <w:pPr>
        <w:tabs>
          <w:tab w:val="left" w:pos="420"/>
        </w:tabs>
        <w:snapToGrid w:val="0"/>
        <w:spacing w:line="360" w:lineRule="auto"/>
        <w:ind w:firstLine="422" w:firstLineChars="200"/>
        <w:rPr>
          <w:rFonts w:ascii="宋体" w:hAnsi="宋体"/>
          <w:b/>
          <w:bCs/>
          <w:color w:val="000000"/>
          <w:szCs w:val="21"/>
        </w:rPr>
      </w:pPr>
      <w:r>
        <w:rPr>
          <w:rFonts w:hint="eastAsia" w:ascii="宋体" w:hAnsi="宋体"/>
          <w:b/>
          <w:bCs/>
          <w:color w:val="000000"/>
          <w:szCs w:val="21"/>
        </w:rPr>
        <w:t xml:space="preserve">1.响应供应商须对本项目进行整体响应，任何只对其中一部分进行的响应都被视为无效响应。 </w:t>
      </w:r>
    </w:p>
    <w:p w14:paraId="186DBAF8">
      <w:pPr>
        <w:pStyle w:val="11"/>
        <w:numPr>
          <w:ilvl w:val="0"/>
          <w:numId w:val="13"/>
        </w:numPr>
        <w:tabs>
          <w:tab w:val="left" w:pos="540"/>
        </w:tabs>
        <w:adjustRightInd w:val="0"/>
        <w:snapToGrid w:val="0"/>
        <w:spacing w:line="360" w:lineRule="auto"/>
        <w:rPr>
          <w:rFonts w:hAnsi="宋体" w:cs="宋体"/>
          <w:b/>
          <w:bCs/>
          <w:color w:val="000000"/>
          <w:sz w:val="21"/>
        </w:rPr>
      </w:pPr>
      <w:bookmarkStart w:id="0" w:name="_Hlk186047057"/>
      <w:r>
        <w:rPr>
          <w:rFonts w:hint="eastAsia" w:hAnsi="宋体" w:cs="宋体"/>
          <w:b/>
          <w:bCs/>
          <w:color w:val="000000"/>
          <w:sz w:val="21"/>
        </w:rPr>
        <w:t>项目一览表</w:t>
      </w:r>
    </w:p>
    <w:bookmarkEnd w:id="0"/>
    <w:tbl>
      <w:tblPr>
        <w:tblStyle w:val="25"/>
        <w:tblW w:w="99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928"/>
        <w:gridCol w:w="3655"/>
        <w:gridCol w:w="2281"/>
      </w:tblGrid>
      <w:tr w14:paraId="63389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092" w:type="dxa"/>
            <w:tcBorders>
              <w:top w:val="single" w:color="auto" w:sz="12" w:space="0"/>
              <w:bottom w:val="single" w:color="auto" w:sz="2" w:space="0"/>
            </w:tcBorders>
            <w:shd w:val="clear" w:color="auto" w:fill="EEECE1"/>
            <w:vAlign w:val="center"/>
          </w:tcPr>
          <w:p w14:paraId="44AA8BAB">
            <w:pPr>
              <w:jc w:val="center"/>
              <w:rPr>
                <w:rFonts w:ascii="宋体" w:hAnsi="宋体"/>
                <w:b/>
                <w:color w:val="000000"/>
                <w:szCs w:val="21"/>
              </w:rPr>
            </w:pPr>
            <w:r>
              <w:rPr>
                <w:rFonts w:hint="eastAsia" w:ascii="宋体" w:hAnsi="宋体"/>
                <w:b/>
                <w:color w:val="000000"/>
                <w:szCs w:val="21"/>
              </w:rPr>
              <w:t>项目名称</w:t>
            </w:r>
          </w:p>
        </w:tc>
        <w:tc>
          <w:tcPr>
            <w:tcW w:w="928" w:type="dxa"/>
            <w:tcBorders>
              <w:top w:val="single" w:color="auto" w:sz="12" w:space="0"/>
              <w:bottom w:val="single" w:color="auto" w:sz="2" w:space="0"/>
            </w:tcBorders>
            <w:shd w:val="clear" w:color="auto" w:fill="EEECE1"/>
            <w:vAlign w:val="center"/>
          </w:tcPr>
          <w:p w14:paraId="5DBCF536">
            <w:pPr>
              <w:jc w:val="center"/>
              <w:rPr>
                <w:rFonts w:ascii="宋体" w:hAnsi="宋体"/>
                <w:b/>
                <w:szCs w:val="21"/>
              </w:rPr>
            </w:pPr>
            <w:r>
              <w:rPr>
                <w:rFonts w:hint="eastAsia" w:ascii="宋体" w:hAnsi="宋体"/>
                <w:b/>
                <w:szCs w:val="21"/>
              </w:rPr>
              <w:t>数量</w:t>
            </w:r>
          </w:p>
        </w:tc>
        <w:tc>
          <w:tcPr>
            <w:tcW w:w="3655" w:type="dxa"/>
            <w:tcBorders>
              <w:top w:val="single" w:color="auto" w:sz="12" w:space="0"/>
              <w:bottom w:val="single" w:color="auto" w:sz="2" w:space="0"/>
            </w:tcBorders>
            <w:shd w:val="clear" w:color="auto" w:fill="EEECE1"/>
            <w:vAlign w:val="center"/>
          </w:tcPr>
          <w:p w14:paraId="35180D82">
            <w:pPr>
              <w:jc w:val="center"/>
              <w:rPr>
                <w:rFonts w:ascii="宋体" w:hAnsi="宋体"/>
                <w:b/>
                <w:szCs w:val="21"/>
              </w:rPr>
            </w:pPr>
            <w:r>
              <w:rPr>
                <w:rFonts w:hint="eastAsia" w:ascii="宋体" w:hAnsi="宋体"/>
                <w:b/>
                <w:szCs w:val="21"/>
              </w:rPr>
              <w:t>合同期</w:t>
            </w:r>
          </w:p>
        </w:tc>
        <w:tc>
          <w:tcPr>
            <w:tcW w:w="2281" w:type="dxa"/>
            <w:tcBorders>
              <w:top w:val="single" w:color="auto" w:sz="12" w:space="0"/>
              <w:bottom w:val="single" w:color="auto" w:sz="2" w:space="0"/>
            </w:tcBorders>
            <w:shd w:val="clear" w:color="auto" w:fill="EEECE1"/>
            <w:vAlign w:val="center"/>
          </w:tcPr>
          <w:p w14:paraId="76CAF57C">
            <w:pPr>
              <w:jc w:val="center"/>
              <w:rPr>
                <w:rFonts w:ascii="宋体" w:hAnsi="宋体"/>
                <w:b/>
                <w:szCs w:val="21"/>
              </w:rPr>
            </w:pPr>
            <w:r>
              <w:rPr>
                <w:rFonts w:hint="eastAsia" w:ascii="宋体" w:hAnsi="宋体"/>
                <w:b/>
                <w:szCs w:val="21"/>
              </w:rPr>
              <w:t>预算金额</w:t>
            </w:r>
          </w:p>
        </w:tc>
      </w:tr>
      <w:tr w14:paraId="76989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3092" w:type="dxa"/>
            <w:tcBorders>
              <w:top w:val="single" w:color="auto" w:sz="2" w:space="0"/>
              <w:bottom w:val="single" w:color="auto" w:sz="2" w:space="0"/>
            </w:tcBorders>
            <w:vAlign w:val="center"/>
          </w:tcPr>
          <w:p w14:paraId="0E1C793D">
            <w:pPr>
              <w:jc w:val="center"/>
              <w:rPr>
                <w:rFonts w:ascii="宋体" w:hAnsi="宋体"/>
                <w:color w:val="000000"/>
                <w:szCs w:val="21"/>
              </w:rPr>
            </w:pPr>
            <w:r>
              <w:rPr>
                <w:rFonts w:hint="eastAsia" w:ascii="宋体" w:hAnsi="宋体"/>
                <w:color w:val="000000"/>
                <w:szCs w:val="21"/>
              </w:rPr>
              <w:t>广东省肇庆监狱2025年教育活动物资采购项目</w:t>
            </w:r>
          </w:p>
        </w:tc>
        <w:tc>
          <w:tcPr>
            <w:tcW w:w="928" w:type="dxa"/>
            <w:tcBorders>
              <w:top w:val="single" w:color="auto" w:sz="2" w:space="0"/>
              <w:bottom w:val="single" w:color="auto" w:sz="2" w:space="0"/>
            </w:tcBorders>
            <w:vAlign w:val="center"/>
          </w:tcPr>
          <w:p w14:paraId="7563C72A">
            <w:pPr>
              <w:keepNext/>
              <w:adjustRightInd w:val="0"/>
              <w:jc w:val="center"/>
              <w:textAlignment w:val="center"/>
              <w:rPr>
                <w:rFonts w:ascii="宋体" w:hAnsi="宋体"/>
                <w:szCs w:val="21"/>
              </w:rPr>
            </w:pPr>
            <w:r>
              <w:rPr>
                <w:rFonts w:hint="eastAsia" w:ascii="宋体" w:hAnsi="宋体"/>
                <w:szCs w:val="21"/>
              </w:rPr>
              <w:t>1批</w:t>
            </w:r>
          </w:p>
        </w:tc>
        <w:tc>
          <w:tcPr>
            <w:tcW w:w="3655" w:type="dxa"/>
            <w:tcBorders>
              <w:top w:val="single" w:color="auto" w:sz="2" w:space="0"/>
              <w:bottom w:val="single" w:color="auto" w:sz="2" w:space="0"/>
            </w:tcBorders>
            <w:vAlign w:val="center"/>
          </w:tcPr>
          <w:p w14:paraId="0FDC8455">
            <w:pPr>
              <w:pStyle w:val="11"/>
              <w:tabs>
                <w:tab w:val="left" w:pos="540"/>
              </w:tabs>
              <w:adjustRightInd w:val="0"/>
              <w:snapToGrid w:val="0"/>
              <w:jc w:val="center"/>
              <w:rPr>
                <w:rFonts w:hAnsi="宋体"/>
                <w:sz w:val="21"/>
              </w:rPr>
            </w:pPr>
            <w:r>
              <w:rPr>
                <w:rFonts w:hint="eastAsia" w:hAnsi="宋体"/>
                <w:sz w:val="21"/>
              </w:rPr>
              <w:t>合同服务期为一年。合同期满或采购人累计采购量达到合同金额后</w:t>
            </w:r>
            <w:r>
              <w:rPr>
                <w:rFonts w:hint="eastAsia" w:hAnsi="宋体" w:cs="宋体"/>
                <w:sz w:val="21"/>
                <w:lang w:bidi="ar"/>
              </w:rPr>
              <w:t>则合同终止</w:t>
            </w:r>
            <w:r>
              <w:rPr>
                <w:rFonts w:hint="eastAsia" w:hAnsi="宋体"/>
                <w:sz w:val="21"/>
              </w:rPr>
              <w:t>，以先到者为准。</w:t>
            </w:r>
          </w:p>
        </w:tc>
        <w:tc>
          <w:tcPr>
            <w:tcW w:w="2281" w:type="dxa"/>
            <w:tcBorders>
              <w:top w:val="single" w:color="auto" w:sz="2" w:space="0"/>
              <w:bottom w:val="single" w:color="auto" w:sz="2" w:space="0"/>
            </w:tcBorders>
            <w:vAlign w:val="center"/>
          </w:tcPr>
          <w:p w14:paraId="19CD5DEA">
            <w:pPr>
              <w:pStyle w:val="11"/>
              <w:tabs>
                <w:tab w:val="left" w:pos="540"/>
              </w:tabs>
              <w:adjustRightInd w:val="0"/>
              <w:snapToGrid w:val="0"/>
              <w:jc w:val="center"/>
              <w:rPr>
                <w:rFonts w:hAnsi="宋体"/>
                <w:sz w:val="21"/>
              </w:rPr>
            </w:pPr>
            <w:r>
              <w:rPr>
                <w:rFonts w:hint="eastAsia" w:hAnsi="宋体"/>
                <w:sz w:val="21"/>
              </w:rPr>
              <w:t>人民币</w:t>
            </w:r>
            <w:r>
              <w:rPr>
                <w:rFonts w:hint="eastAsia"/>
                <w:sz w:val="21"/>
                <w:u w:val="single"/>
              </w:rPr>
              <w:t>150000</w:t>
            </w:r>
            <w:r>
              <w:rPr>
                <w:rFonts w:hint="eastAsia" w:hAnsi="宋体"/>
                <w:sz w:val="21"/>
              </w:rPr>
              <w:t>元</w:t>
            </w:r>
          </w:p>
        </w:tc>
      </w:tr>
    </w:tbl>
    <w:p w14:paraId="566CF4BA">
      <w:pPr>
        <w:pStyle w:val="11"/>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项目内容</w:t>
      </w:r>
    </w:p>
    <w:p w14:paraId="2CF55804">
      <w:pPr>
        <w:spacing w:line="360" w:lineRule="auto"/>
        <w:ind w:firstLine="420" w:firstLineChars="200"/>
        <w:rPr>
          <w:rFonts w:ascii="宋体" w:hAnsi="宋体"/>
          <w:szCs w:val="21"/>
        </w:rPr>
      </w:pPr>
      <w:r>
        <w:rPr>
          <w:rFonts w:hint="eastAsia" w:ascii="宋体" w:hAnsi="宋体"/>
          <w:szCs w:val="21"/>
        </w:rPr>
        <w:t>项目名称：</w:t>
      </w:r>
      <w:r>
        <w:rPr>
          <w:rFonts w:hint="eastAsia" w:ascii="宋体" w:hAnsi="宋体"/>
          <w:color w:val="000000"/>
          <w:szCs w:val="21"/>
        </w:rPr>
        <w:t>广东省肇庆监狱2025年教育活动物资采购项目，详见下表清单</w:t>
      </w:r>
      <w:r>
        <w:rPr>
          <w:rFonts w:hint="eastAsia" w:ascii="宋体" w:hAnsi="宋体"/>
          <w:szCs w:val="21"/>
        </w:rPr>
        <w:t>。</w:t>
      </w:r>
    </w:p>
    <w:tbl>
      <w:tblPr>
        <w:tblStyle w:val="25"/>
        <w:tblW w:w="9958" w:type="dxa"/>
        <w:tblInd w:w="0" w:type="dxa"/>
        <w:tblLayout w:type="fixed"/>
        <w:tblCellMar>
          <w:top w:w="0" w:type="dxa"/>
          <w:left w:w="108" w:type="dxa"/>
          <w:bottom w:w="0" w:type="dxa"/>
          <w:right w:w="108" w:type="dxa"/>
        </w:tblCellMar>
      </w:tblPr>
      <w:tblGrid>
        <w:gridCol w:w="937"/>
        <w:gridCol w:w="3828"/>
        <w:gridCol w:w="2407"/>
        <w:gridCol w:w="1495"/>
        <w:gridCol w:w="1291"/>
      </w:tblGrid>
      <w:tr w14:paraId="21B70D00">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5B3E6020">
            <w:pPr>
              <w:jc w:val="center"/>
              <w:rPr>
                <w:rFonts w:ascii="宋体" w:hAnsi="宋体"/>
                <w:b/>
                <w:bCs/>
                <w:color w:val="000000"/>
                <w:szCs w:val="21"/>
              </w:rPr>
            </w:pPr>
            <w:r>
              <w:rPr>
                <w:rFonts w:hint="eastAsia" w:ascii="宋体" w:hAnsi="宋体"/>
                <w:b/>
                <w:bCs/>
                <w:color w:val="000000"/>
                <w:szCs w:val="21"/>
              </w:rPr>
              <w:t>序号</w:t>
            </w:r>
          </w:p>
        </w:tc>
        <w:tc>
          <w:tcPr>
            <w:tcW w:w="3828" w:type="dxa"/>
            <w:tcBorders>
              <w:top w:val="single" w:color="000000" w:sz="4" w:space="0"/>
              <w:left w:val="single" w:color="000000" w:sz="4" w:space="0"/>
              <w:bottom w:val="single" w:color="000000" w:sz="4" w:space="0"/>
              <w:right w:val="single" w:color="000000" w:sz="4" w:space="0"/>
            </w:tcBorders>
            <w:vAlign w:val="center"/>
          </w:tcPr>
          <w:p w14:paraId="02FAA131">
            <w:pPr>
              <w:jc w:val="center"/>
              <w:rPr>
                <w:rFonts w:ascii="宋体" w:hAnsi="宋体"/>
                <w:b/>
                <w:bCs/>
                <w:color w:val="000000"/>
                <w:szCs w:val="21"/>
              </w:rPr>
            </w:pPr>
            <w:r>
              <w:rPr>
                <w:rFonts w:hint="eastAsia" w:ascii="宋体" w:hAnsi="宋体"/>
                <w:b/>
                <w:bCs/>
                <w:color w:val="000000"/>
                <w:szCs w:val="21"/>
              </w:rPr>
              <w:t>商品名称</w:t>
            </w:r>
          </w:p>
        </w:tc>
        <w:tc>
          <w:tcPr>
            <w:tcW w:w="2407" w:type="dxa"/>
            <w:tcBorders>
              <w:top w:val="single" w:color="000000" w:sz="4" w:space="0"/>
              <w:left w:val="single" w:color="000000" w:sz="4" w:space="0"/>
              <w:bottom w:val="single" w:color="000000" w:sz="4" w:space="0"/>
              <w:right w:val="single" w:color="000000" w:sz="4" w:space="0"/>
            </w:tcBorders>
            <w:vAlign w:val="center"/>
          </w:tcPr>
          <w:p w14:paraId="6406880D">
            <w:pPr>
              <w:jc w:val="center"/>
              <w:rPr>
                <w:rFonts w:ascii="宋体" w:hAnsi="宋体"/>
                <w:b/>
                <w:bCs/>
                <w:color w:val="000000"/>
                <w:szCs w:val="21"/>
              </w:rPr>
            </w:pPr>
            <w:r>
              <w:rPr>
                <w:rFonts w:hint="eastAsia" w:ascii="宋体" w:hAnsi="宋体"/>
                <w:b/>
                <w:bCs/>
                <w:color w:val="000000"/>
                <w:szCs w:val="21"/>
              </w:rPr>
              <w:t>规格（以下规格要求均为净含量）</w:t>
            </w:r>
          </w:p>
        </w:tc>
        <w:tc>
          <w:tcPr>
            <w:tcW w:w="1495" w:type="dxa"/>
            <w:tcBorders>
              <w:top w:val="single" w:color="000000" w:sz="4" w:space="0"/>
              <w:left w:val="single" w:color="000000" w:sz="4" w:space="0"/>
              <w:bottom w:val="single" w:color="000000" w:sz="4" w:space="0"/>
              <w:right w:val="single" w:color="000000" w:sz="4" w:space="0"/>
            </w:tcBorders>
            <w:vAlign w:val="center"/>
          </w:tcPr>
          <w:p w14:paraId="696C97FD">
            <w:pPr>
              <w:jc w:val="center"/>
              <w:rPr>
                <w:rFonts w:ascii="宋体" w:hAnsi="宋体"/>
                <w:b/>
                <w:bCs/>
                <w:color w:val="000000"/>
                <w:szCs w:val="21"/>
              </w:rPr>
            </w:pPr>
            <w:r>
              <w:rPr>
                <w:rFonts w:hint="eastAsia" w:ascii="宋体" w:hAnsi="宋体"/>
                <w:b/>
                <w:bCs/>
                <w:color w:val="000000"/>
                <w:szCs w:val="21"/>
              </w:rPr>
              <w:t>商品单位</w:t>
            </w:r>
          </w:p>
        </w:tc>
        <w:tc>
          <w:tcPr>
            <w:tcW w:w="1291" w:type="dxa"/>
            <w:tcBorders>
              <w:top w:val="single" w:color="000000" w:sz="4" w:space="0"/>
              <w:left w:val="single" w:color="000000" w:sz="4" w:space="0"/>
              <w:bottom w:val="single" w:color="000000" w:sz="4" w:space="0"/>
              <w:right w:val="single" w:color="000000" w:sz="4" w:space="0"/>
            </w:tcBorders>
            <w:vAlign w:val="center"/>
          </w:tcPr>
          <w:p w14:paraId="060FA845">
            <w:pPr>
              <w:jc w:val="center"/>
              <w:rPr>
                <w:rFonts w:ascii="宋体" w:hAnsi="宋体"/>
                <w:b/>
                <w:bCs/>
                <w:color w:val="000000"/>
                <w:szCs w:val="21"/>
              </w:rPr>
            </w:pPr>
            <w:r>
              <w:rPr>
                <w:rFonts w:hint="eastAsia" w:ascii="宋体" w:hAnsi="宋体"/>
                <w:b/>
                <w:bCs/>
                <w:color w:val="000000"/>
                <w:szCs w:val="21"/>
              </w:rPr>
              <w:t>单价最高限价（元）</w:t>
            </w:r>
          </w:p>
        </w:tc>
      </w:tr>
      <w:tr w14:paraId="07FC3C65">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067A79BE">
            <w:pPr>
              <w:jc w:val="center"/>
              <w:rPr>
                <w:rFonts w:ascii="宋体" w:hAnsi="宋体"/>
                <w:color w:val="000000"/>
                <w:szCs w:val="21"/>
              </w:rPr>
            </w:pPr>
            <w:r>
              <w:rPr>
                <w:rFonts w:hint="eastAsia" w:ascii="宋体" w:hAnsi="宋体"/>
                <w:color w:val="000000"/>
                <w:szCs w:val="21"/>
              </w:rPr>
              <w:t>1</w:t>
            </w:r>
          </w:p>
        </w:tc>
        <w:tc>
          <w:tcPr>
            <w:tcW w:w="3828" w:type="dxa"/>
            <w:tcBorders>
              <w:top w:val="single" w:color="000000" w:sz="4" w:space="0"/>
              <w:left w:val="single" w:color="000000" w:sz="4" w:space="0"/>
              <w:bottom w:val="single" w:color="000000" w:sz="4" w:space="0"/>
              <w:right w:val="single" w:color="000000" w:sz="4" w:space="0"/>
            </w:tcBorders>
            <w:vAlign w:val="center"/>
          </w:tcPr>
          <w:p w14:paraId="239D1F1B">
            <w:pPr>
              <w:widowControl/>
              <w:jc w:val="center"/>
              <w:textAlignment w:val="center"/>
              <w:rPr>
                <w:rFonts w:ascii="宋体" w:hAnsi="宋体"/>
                <w:color w:val="000000"/>
                <w:szCs w:val="21"/>
              </w:rPr>
            </w:pPr>
            <w:r>
              <w:rPr>
                <w:rFonts w:hint="eastAsia" w:ascii="宋体" w:hAnsi="宋体"/>
                <w:color w:val="000000"/>
                <w:kern w:val="0"/>
                <w:szCs w:val="21"/>
                <w:lang w:bidi="ar"/>
              </w:rPr>
              <w:t>汰渍净白去渍洗衣粉</w:t>
            </w:r>
          </w:p>
        </w:tc>
        <w:tc>
          <w:tcPr>
            <w:tcW w:w="2407" w:type="dxa"/>
            <w:tcBorders>
              <w:top w:val="single" w:color="000000" w:sz="4" w:space="0"/>
              <w:left w:val="single" w:color="000000" w:sz="4" w:space="0"/>
              <w:bottom w:val="single" w:color="000000" w:sz="4" w:space="0"/>
              <w:right w:val="single" w:color="000000" w:sz="4" w:space="0"/>
            </w:tcBorders>
            <w:vAlign w:val="center"/>
          </w:tcPr>
          <w:p w14:paraId="5DBF014F">
            <w:pPr>
              <w:widowControl/>
              <w:jc w:val="center"/>
              <w:textAlignment w:val="center"/>
              <w:rPr>
                <w:rFonts w:ascii="宋体" w:hAnsi="宋体"/>
                <w:color w:val="000000"/>
                <w:szCs w:val="21"/>
              </w:rPr>
            </w:pPr>
            <w:r>
              <w:rPr>
                <w:rFonts w:hint="eastAsia" w:ascii="宋体" w:hAnsi="宋体"/>
                <w:color w:val="000000"/>
                <w:kern w:val="0"/>
                <w:szCs w:val="21"/>
                <w:lang w:bidi="ar"/>
              </w:rPr>
              <w:t>508g</w:t>
            </w:r>
          </w:p>
        </w:tc>
        <w:tc>
          <w:tcPr>
            <w:tcW w:w="1495" w:type="dxa"/>
            <w:tcBorders>
              <w:top w:val="single" w:color="000000" w:sz="4" w:space="0"/>
              <w:left w:val="single" w:color="000000" w:sz="4" w:space="0"/>
              <w:bottom w:val="single" w:color="000000" w:sz="4" w:space="0"/>
              <w:right w:val="single" w:color="000000" w:sz="4" w:space="0"/>
            </w:tcBorders>
            <w:vAlign w:val="center"/>
          </w:tcPr>
          <w:p w14:paraId="03A21DE0">
            <w:pPr>
              <w:widowControl/>
              <w:jc w:val="center"/>
              <w:textAlignment w:val="center"/>
              <w:rPr>
                <w:rFonts w:ascii="宋体" w:hAnsi="宋体"/>
                <w:color w:val="000000"/>
                <w:szCs w:val="21"/>
              </w:rPr>
            </w:pPr>
            <w:r>
              <w:rPr>
                <w:rFonts w:hint="eastAsia" w:ascii="宋体" w:hAnsi="宋体"/>
                <w:color w:val="000000"/>
                <w:kern w:val="0"/>
                <w:szCs w:val="21"/>
                <w:lang w:bidi="ar"/>
              </w:rPr>
              <w:t>包</w:t>
            </w:r>
          </w:p>
        </w:tc>
        <w:tc>
          <w:tcPr>
            <w:tcW w:w="1291" w:type="dxa"/>
            <w:tcBorders>
              <w:top w:val="single" w:color="000000" w:sz="4" w:space="0"/>
              <w:left w:val="single" w:color="000000" w:sz="4" w:space="0"/>
              <w:bottom w:val="single" w:color="000000" w:sz="4" w:space="0"/>
              <w:right w:val="single" w:color="000000" w:sz="4" w:space="0"/>
            </w:tcBorders>
            <w:vAlign w:val="center"/>
          </w:tcPr>
          <w:p w14:paraId="7D60DC9C">
            <w:pPr>
              <w:widowControl/>
              <w:jc w:val="center"/>
              <w:textAlignment w:val="center"/>
              <w:rPr>
                <w:rFonts w:ascii="宋体" w:hAnsi="宋体"/>
                <w:color w:val="000000"/>
                <w:szCs w:val="21"/>
              </w:rPr>
            </w:pPr>
            <w:r>
              <w:rPr>
                <w:rFonts w:hint="eastAsia" w:ascii="宋体" w:hAnsi="宋体"/>
                <w:color w:val="000000"/>
                <w:kern w:val="0"/>
                <w:szCs w:val="21"/>
                <w:lang w:bidi="ar"/>
              </w:rPr>
              <w:t>5.9</w:t>
            </w:r>
          </w:p>
        </w:tc>
      </w:tr>
      <w:tr w14:paraId="5D388592">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72A59B92">
            <w:pPr>
              <w:jc w:val="center"/>
              <w:rPr>
                <w:rFonts w:ascii="宋体" w:hAnsi="宋体"/>
                <w:color w:val="000000"/>
                <w:szCs w:val="21"/>
              </w:rPr>
            </w:pPr>
            <w:r>
              <w:rPr>
                <w:rFonts w:hint="eastAsia" w:ascii="宋体" w:hAnsi="宋体"/>
                <w:color w:val="000000"/>
                <w:szCs w:val="21"/>
              </w:rPr>
              <w:t>2</w:t>
            </w:r>
          </w:p>
        </w:tc>
        <w:tc>
          <w:tcPr>
            <w:tcW w:w="3828" w:type="dxa"/>
            <w:tcBorders>
              <w:top w:val="single" w:color="000000" w:sz="4" w:space="0"/>
              <w:left w:val="single" w:color="000000" w:sz="4" w:space="0"/>
              <w:bottom w:val="single" w:color="000000" w:sz="4" w:space="0"/>
              <w:right w:val="single" w:color="000000" w:sz="4" w:space="0"/>
            </w:tcBorders>
            <w:vAlign w:val="center"/>
          </w:tcPr>
          <w:p w14:paraId="564E28AC">
            <w:pPr>
              <w:widowControl/>
              <w:jc w:val="center"/>
              <w:textAlignment w:val="center"/>
              <w:rPr>
                <w:rFonts w:ascii="宋体" w:hAnsi="宋体"/>
                <w:color w:val="000000"/>
                <w:szCs w:val="21"/>
              </w:rPr>
            </w:pPr>
            <w:r>
              <w:rPr>
                <w:rFonts w:hint="eastAsia" w:ascii="宋体" w:hAnsi="宋体"/>
                <w:color w:val="000000"/>
                <w:kern w:val="0"/>
                <w:szCs w:val="21"/>
                <w:lang w:bidi="ar"/>
              </w:rPr>
              <w:t>上海硫磺皂</w:t>
            </w:r>
          </w:p>
        </w:tc>
        <w:tc>
          <w:tcPr>
            <w:tcW w:w="2407" w:type="dxa"/>
            <w:tcBorders>
              <w:top w:val="single" w:color="000000" w:sz="4" w:space="0"/>
              <w:left w:val="single" w:color="000000" w:sz="4" w:space="0"/>
              <w:bottom w:val="single" w:color="000000" w:sz="4" w:space="0"/>
              <w:right w:val="single" w:color="000000" w:sz="4" w:space="0"/>
            </w:tcBorders>
            <w:vAlign w:val="center"/>
          </w:tcPr>
          <w:p w14:paraId="0F7B3969">
            <w:pPr>
              <w:widowControl/>
              <w:jc w:val="center"/>
              <w:textAlignment w:val="center"/>
              <w:rPr>
                <w:rFonts w:ascii="宋体" w:hAnsi="宋体"/>
                <w:color w:val="000000"/>
                <w:szCs w:val="21"/>
              </w:rPr>
            </w:pPr>
            <w:r>
              <w:rPr>
                <w:rFonts w:hint="eastAsia" w:ascii="宋体" w:hAnsi="宋体"/>
                <w:color w:val="000000"/>
                <w:kern w:val="0"/>
                <w:szCs w:val="21"/>
                <w:lang w:bidi="ar"/>
              </w:rPr>
              <w:t>85g*10（块）</w:t>
            </w:r>
          </w:p>
        </w:tc>
        <w:tc>
          <w:tcPr>
            <w:tcW w:w="1495" w:type="dxa"/>
            <w:tcBorders>
              <w:top w:val="single" w:color="000000" w:sz="4" w:space="0"/>
              <w:left w:val="single" w:color="000000" w:sz="4" w:space="0"/>
              <w:bottom w:val="single" w:color="000000" w:sz="4" w:space="0"/>
              <w:right w:val="single" w:color="000000" w:sz="4" w:space="0"/>
            </w:tcBorders>
            <w:vAlign w:val="center"/>
          </w:tcPr>
          <w:p w14:paraId="1A7AD497">
            <w:pPr>
              <w:widowControl/>
              <w:jc w:val="center"/>
              <w:textAlignment w:val="center"/>
              <w:rPr>
                <w:rFonts w:ascii="宋体" w:hAnsi="宋体"/>
                <w:color w:val="000000"/>
                <w:szCs w:val="21"/>
              </w:rPr>
            </w:pPr>
            <w:r>
              <w:rPr>
                <w:rFonts w:hint="eastAsia" w:ascii="宋体" w:hAnsi="宋体"/>
                <w:color w:val="000000"/>
                <w:kern w:val="0"/>
                <w:szCs w:val="21"/>
                <w:lang w:bidi="ar"/>
              </w:rPr>
              <w:t>组</w:t>
            </w:r>
          </w:p>
        </w:tc>
        <w:tc>
          <w:tcPr>
            <w:tcW w:w="1291" w:type="dxa"/>
            <w:tcBorders>
              <w:top w:val="single" w:color="000000" w:sz="4" w:space="0"/>
              <w:left w:val="single" w:color="000000" w:sz="4" w:space="0"/>
              <w:bottom w:val="single" w:color="000000" w:sz="4" w:space="0"/>
              <w:right w:val="single" w:color="000000" w:sz="4" w:space="0"/>
            </w:tcBorders>
            <w:vAlign w:val="center"/>
          </w:tcPr>
          <w:p w14:paraId="753A6B6F">
            <w:pPr>
              <w:widowControl/>
              <w:jc w:val="center"/>
              <w:textAlignment w:val="center"/>
              <w:rPr>
                <w:rFonts w:ascii="宋体" w:hAnsi="宋体"/>
                <w:color w:val="000000"/>
                <w:szCs w:val="21"/>
              </w:rPr>
            </w:pPr>
            <w:r>
              <w:rPr>
                <w:rFonts w:hint="eastAsia" w:ascii="宋体" w:hAnsi="宋体"/>
                <w:color w:val="000000"/>
                <w:kern w:val="0"/>
                <w:szCs w:val="21"/>
                <w:lang w:bidi="ar"/>
              </w:rPr>
              <w:t>16.8</w:t>
            </w:r>
          </w:p>
        </w:tc>
      </w:tr>
      <w:tr w14:paraId="4D7F29C0">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5C6922CE">
            <w:pPr>
              <w:jc w:val="center"/>
              <w:rPr>
                <w:rFonts w:ascii="宋体" w:hAnsi="宋体"/>
                <w:color w:val="000000"/>
                <w:szCs w:val="21"/>
              </w:rPr>
            </w:pPr>
            <w:r>
              <w:rPr>
                <w:rFonts w:hint="eastAsia" w:ascii="宋体" w:hAnsi="宋体"/>
                <w:color w:val="000000"/>
                <w:szCs w:val="21"/>
              </w:rPr>
              <w:t>3</w:t>
            </w:r>
          </w:p>
        </w:tc>
        <w:tc>
          <w:tcPr>
            <w:tcW w:w="3828" w:type="dxa"/>
            <w:tcBorders>
              <w:top w:val="single" w:color="000000" w:sz="4" w:space="0"/>
              <w:left w:val="single" w:color="000000" w:sz="4" w:space="0"/>
              <w:bottom w:val="single" w:color="000000" w:sz="4" w:space="0"/>
              <w:right w:val="single" w:color="000000" w:sz="4" w:space="0"/>
            </w:tcBorders>
            <w:vAlign w:val="center"/>
          </w:tcPr>
          <w:p w14:paraId="486920D6">
            <w:pPr>
              <w:widowControl/>
              <w:jc w:val="center"/>
              <w:textAlignment w:val="center"/>
              <w:rPr>
                <w:rFonts w:ascii="宋体" w:hAnsi="宋体"/>
                <w:color w:val="000000"/>
                <w:szCs w:val="21"/>
              </w:rPr>
            </w:pPr>
            <w:r>
              <w:rPr>
                <w:rFonts w:hint="eastAsia" w:ascii="宋体" w:hAnsi="宋体"/>
                <w:color w:val="000000"/>
                <w:kern w:val="0"/>
                <w:szCs w:val="21"/>
                <w:lang w:bidi="ar"/>
              </w:rPr>
              <w:t>佳洁士盐白牙膏</w:t>
            </w:r>
          </w:p>
        </w:tc>
        <w:tc>
          <w:tcPr>
            <w:tcW w:w="2407" w:type="dxa"/>
            <w:tcBorders>
              <w:top w:val="single" w:color="000000" w:sz="4" w:space="0"/>
              <w:left w:val="single" w:color="000000" w:sz="4" w:space="0"/>
              <w:bottom w:val="single" w:color="000000" w:sz="4" w:space="0"/>
              <w:right w:val="single" w:color="000000" w:sz="4" w:space="0"/>
            </w:tcBorders>
            <w:vAlign w:val="center"/>
          </w:tcPr>
          <w:p w14:paraId="041D9015">
            <w:pPr>
              <w:widowControl/>
              <w:jc w:val="center"/>
              <w:textAlignment w:val="center"/>
              <w:rPr>
                <w:rFonts w:ascii="宋体" w:hAnsi="宋体"/>
                <w:color w:val="000000"/>
                <w:szCs w:val="21"/>
              </w:rPr>
            </w:pPr>
            <w:r>
              <w:rPr>
                <w:rFonts w:hint="eastAsia" w:ascii="宋体" w:hAnsi="宋体"/>
                <w:color w:val="000000"/>
                <w:kern w:val="0"/>
                <w:szCs w:val="21"/>
                <w:lang w:bidi="ar"/>
              </w:rPr>
              <w:t>140g</w:t>
            </w:r>
          </w:p>
        </w:tc>
        <w:tc>
          <w:tcPr>
            <w:tcW w:w="1495" w:type="dxa"/>
            <w:tcBorders>
              <w:top w:val="single" w:color="000000" w:sz="4" w:space="0"/>
              <w:left w:val="single" w:color="000000" w:sz="4" w:space="0"/>
              <w:bottom w:val="single" w:color="000000" w:sz="4" w:space="0"/>
              <w:right w:val="single" w:color="000000" w:sz="4" w:space="0"/>
            </w:tcBorders>
            <w:vAlign w:val="center"/>
          </w:tcPr>
          <w:p w14:paraId="7D2D1D0A">
            <w:pPr>
              <w:widowControl/>
              <w:jc w:val="center"/>
              <w:textAlignment w:val="center"/>
              <w:rPr>
                <w:rFonts w:ascii="宋体" w:hAnsi="宋体"/>
                <w:color w:val="000000"/>
                <w:szCs w:val="21"/>
              </w:rPr>
            </w:pPr>
            <w:r>
              <w:rPr>
                <w:rFonts w:hint="eastAsia" w:ascii="宋体" w:hAnsi="宋体"/>
                <w:color w:val="000000"/>
                <w:kern w:val="0"/>
                <w:szCs w:val="21"/>
                <w:lang w:bidi="ar"/>
              </w:rPr>
              <w:t>支</w:t>
            </w:r>
          </w:p>
        </w:tc>
        <w:tc>
          <w:tcPr>
            <w:tcW w:w="1291" w:type="dxa"/>
            <w:tcBorders>
              <w:top w:val="single" w:color="000000" w:sz="4" w:space="0"/>
              <w:left w:val="single" w:color="000000" w:sz="4" w:space="0"/>
              <w:bottom w:val="single" w:color="000000" w:sz="4" w:space="0"/>
              <w:right w:val="single" w:color="000000" w:sz="4" w:space="0"/>
            </w:tcBorders>
            <w:vAlign w:val="center"/>
          </w:tcPr>
          <w:p w14:paraId="46BFF74D">
            <w:pPr>
              <w:widowControl/>
              <w:jc w:val="center"/>
              <w:textAlignment w:val="center"/>
              <w:rPr>
                <w:rFonts w:ascii="宋体" w:hAnsi="宋体"/>
                <w:color w:val="000000"/>
                <w:szCs w:val="21"/>
              </w:rPr>
            </w:pPr>
            <w:r>
              <w:rPr>
                <w:rFonts w:hint="eastAsia" w:ascii="宋体" w:hAnsi="宋体"/>
                <w:color w:val="000000"/>
                <w:kern w:val="0"/>
                <w:szCs w:val="21"/>
                <w:lang w:bidi="ar"/>
              </w:rPr>
              <w:t>9.5</w:t>
            </w:r>
          </w:p>
        </w:tc>
      </w:tr>
      <w:tr w14:paraId="45897976">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2271905B">
            <w:pPr>
              <w:jc w:val="center"/>
              <w:rPr>
                <w:rFonts w:ascii="宋体" w:hAnsi="宋体"/>
                <w:color w:val="000000"/>
                <w:szCs w:val="21"/>
              </w:rPr>
            </w:pPr>
            <w:r>
              <w:rPr>
                <w:rFonts w:hint="eastAsia" w:ascii="宋体" w:hAnsi="宋体"/>
                <w:color w:val="000000"/>
                <w:szCs w:val="21"/>
              </w:rPr>
              <w:t>4</w:t>
            </w:r>
          </w:p>
        </w:tc>
        <w:tc>
          <w:tcPr>
            <w:tcW w:w="3828" w:type="dxa"/>
            <w:tcBorders>
              <w:top w:val="single" w:color="000000" w:sz="4" w:space="0"/>
              <w:left w:val="single" w:color="000000" w:sz="4" w:space="0"/>
              <w:bottom w:val="single" w:color="000000" w:sz="4" w:space="0"/>
              <w:right w:val="single" w:color="000000" w:sz="4" w:space="0"/>
            </w:tcBorders>
            <w:vAlign w:val="center"/>
          </w:tcPr>
          <w:p w14:paraId="79BBB238">
            <w:pPr>
              <w:widowControl/>
              <w:jc w:val="center"/>
              <w:textAlignment w:val="center"/>
              <w:rPr>
                <w:rFonts w:ascii="宋体" w:hAnsi="宋体"/>
                <w:color w:val="000000"/>
                <w:szCs w:val="21"/>
              </w:rPr>
            </w:pPr>
            <w:r>
              <w:rPr>
                <w:rFonts w:hint="eastAsia" w:ascii="宋体" w:hAnsi="宋体"/>
                <w:color w:val="000000"/>
                <w:kern w:val="0"/>
                <w:szCs w:val="21"/>
                <w:lang w:bidi="ar"/>
              </w:rPr>
              <w:t>清风金装原木纯品卷纸</w:t>
            </w:r>
          </w:p>
        </w:tc>
        <w:tc>
          <w:tcPr>
            <w:tcW w:w="2407" w:type="dxa"/>
            <w:tcBorders>
              <w:top w:val="single" w:color="000000" w:sz="4" w:space="0"/>
              <w:left w:val="single" w:color="000000" w:sz="4" w:space="0"/>
              <w:bottom w:val="single" w:color="000000" w:sz="4" w:space="0"/>
              <w:right w:val="single" w:color="000000" w:sz="4" w:space="0"/>
            </w:tcBorders>
            <w:vAlign w:val="center"/>
          </w:tcPr>
          <w:p w14:paraId="026423A7">
            <w:pPr>
              <w:widowControl/>
              <w:jc w:val="center"/>
              <w:textAlignment w:val="center"/>
              <w:rPr>
                <w:rFonts w:ascii="宋体" w:hAnsi="宋体"/>
                <w:color w:val="000000"/>
                <w:szCs w:val="21"/>
              </w:rPr>
            </w:pPr>
            <w:r>
              <w:rPr>
                <w:rFonts w:hint="eastAsia" w:ascii="宋体" w:hAnsi="宋体"/>
                <w:color w:val="000000"/>
                <w:kern w:val="0"/>
                <w:szCs w:val="21"/>
                <w:lang w:bidi="ar"/>
              </w:rPr>
              <w:t>125g*10（卷）</w:t>
            </w:r>
          </w:p>
        </w:tc>
        <w:tc>
          <w:tcPr>
            <w:tcW w:w="1495" w:type="dxa"/>
            <w:tcBorders>
              <w:top w:val="single" w:color="000000" w:sz="4" w:space="0"/>
              <w:left w:val="single" w:color="000000" w:sz="4" w:space="0"/>
              <w:bottom w:val="single" w:color="000000" w:sz="4" w:space="0"/>
              <w:right w:val="single" w:color="000000" w:sz="4" w:space="0"/>
            </w:tcBorders>
            <w:vAlign w:val="center"/>
          </w:tcPr>
          <w:p w14:paraId="56B874E4">
            <w:pPr>
              <w:widowControl/>
              <w:jc w:val="center"/>
              <w:textAlignment w:val="center"/>
              <w:rPr>
                <w:rFonts w:ascii="宋体" w:hAnsi="宋体"/>
                <w:color w:val="000000"/>
                <w:szCs w:val="21"/>
              </w:rPr>
            </w:pPr>
            <w:r>
              <w:rPr>
                <w:rFonts w:hint="eastAsia" w:ascii="宋体" w:hAnsi="宋体"/>
                <w:color w:val="000000"/>
                <w:kern w:val="0"/>
                <w:szCs w:val="21"/>
                <w:lang w:bidi="ar"/>
              </w:rPr>
              <w:t>条</w:t>
            </w:r>
          </w:p>
        </w:tc>
        <w:tc>
          <w:tcPr>
            <w:tcW w:w="1291" w:type="dxa"/>
            <w:tcBorders>
              <w:top w:val="single" w:color="000000" w:sz="4" w:space="0"/>
              <w:left w:val="single" w:color="000000" w:sz="4" w:space="0"/>
              <w:bottom w:val="single" w:color="000000" w:sz="4" w:space="0"/>
              <w:right w:val="single" w:color="000000" w:sz="4" w:space="0"/>
            </w:tcBorders>
            <w:vAlign w:val="center"/>
          </w:tcPr>
          <w:p w14:paraId="7D6923A5">
            <w:pPr>
              <w:widowControl/>
              <w:jc w:val="center"/>
              <w:textAlignment w:val="center"/>
              <w:rPr>
                <w:rFonts w:ascii="宋体" w:hAnsi="宋体"/>
                <w:color w:val="000000"/>
                <w:szCs w:val="21"/>
              </w:rPr>
            </w:pPr>
            <w:r>
              <w:rPr>
                <w:rFonts w:hint="eastAsia" w:ascii="宋体" w:hAnsi="宋体"/>
                <w:color w:val="000000"/>
                <w:kern w:val="0"/>
                <w:szCs w:val="21"/>
                <w:lang w:bidi="ar"/>
              </w:rPr>
              <w:t>15.9</w:t>
            </w:r>
          </w:p>
        </w:tc>
      </w:tr>
      <w:tr w14:paraId="5531FBD1">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46057BE8">
            <w:pPr>
              <w:jc w:val="center"/>
              <w:rPr>
                <w:rFonts w:ascii="宋体" w:hAnsi="宋体"/>
                <w:color w:val="000000"/>
                <w:szCs w:val="21"/>
              </w:rPr>
            </w:pPr>
            <w:r>
              <w:rPr>
                <w:rFonts w:hint="eastAsia" w:ascii="宋体" w:hAnsi="宋体"/>
                <w:color w:val="000000"/>
                <w:szCs w:val="21"/>
              </w:rPr>
              <w:t>5</w:t>
            </w:r>
          </w:p>
        </w:tc>
        <w:tc>
          <w:tcPr>
            <w:tcW w:w="3828" w:type="dxa"/>
            <w:tcBorders>
              <w:top w:val="single" w:color="000000" w:sz="4" w:space="0"/>
              <w:left w:val="single" w:color="000000" w:sz="4" w:space="0"/>
              <w:bottom w:val="single" w:color="000000" w:sz="4" w:space="0"/>
              <w:right w:val="single" w:color="000000" w:sz="4" w:space="0"/>
            </w:tcBorders>
            <w:vAlign w:val="center"/>
          </w:tcPr>
          <w:p w14:paraId="5B6F5D87">
            <w:pPr>
              <w:widowControl/>
              <w:jc w:val="center"/>
              <w:textAlignment w:val="center"/>
              <w:rPr>
                <w:rFonts w:ascii="宋体" w:hAnsi="宋体"/>
                <w:color w:val="000000"/>
                <w:szCs w:val="21"/>
              </w:rPr>
            </w:pPr>
            <w:r>
              <w:rPr>
                <w:rFonts w:hint="eastAsia" w:ascii="宋体" w:hAnsi="宋体"/>
                <w:color w:val="000000"/>
                <w:kern w:val="0"/>
                <w:szCs w:val="21"/>
                <w:lang w:bidi="ar"/>
              </w:rPr>
              <w:t>健力宝</w:t>
            </w:r>
          </w:p>
        </w:tc>
        <w:tc>
          <w:tcPr>
            <w:tcW w:w="2407" w:type="dxa"/>
            <w:tcBorders>
              <w:top w:val="single" w:color="000000" w:sz="4" w:space="0"/>
              <w:left w:val="single" w:color="000000" w:sz="4" w:space="0"/>
              <w:bottom w:val="single" w:color="000000" w:sz="4" w:space="0"/>
              <w:right w:val="single" w:color="000000" w:sz="4" w:space="0"/>
            </w:tcBorders>
            <w:vAlign w:val="center"/>
          </w:tcPr>
          <w:p w14:paraId="5A63F39C">
            <w:pPr>
              <w:widowControl/>
              <w:jc w:val="center"/>
              <w:textAlignment w:val="center"/>
              <w:rPr>
                <w:rFonts w:ascii="宋体" w:hAnsi="宋体"/>
                <w:color w:val="000000"/>
                <w:szCs w:val="21"/>
              </w:rPr>
            </w:pPr>
            <w:r>
              <w:rPr>
                <w:rFonts w:hint="eastAsia" w:ascii="宋体" w:hAnsi="宋体"/>
                <w:color w:val="000000"/>
                <w:kern w:val="0"/>
                <w:szCs w:val="21"/>
                <w:lang w:bidi="ar"/>
              </w:rPr>
              <w:t>300ml*12（支）</w:t>
            </w:r>
          </w:p>
        </w:tc>
        <w:tc>
          <w:tcPr>
            <w:tcW w:w="1495" w:type="dxa"/>
            <w:tcBorders>
              <w:top w:val="single" w:color="000000" w:sz="4" w:space="0"/>
              <w:left w:val="single" w:color="000000" w:sz="4" w:space="0"/>
              <w:bottom w:val="single" w:color="000000" w:sz="4" w:space="0"/>
              <w:right w:val="single" w:color="000000" w:sz="4" w:space="0"/>
            </w:tcBorders>
            <w:vAlign w:val="center"/>
          </w:tcPr>
          <w:p w14:paraId="47859345">
            <w:pPr>
              <w:widowControl/>
              <w:jc w:val="center"/>
              <w:textAlignment w:val="center"/>
              <w:rPr>
                <w:rFonts w:ascii="宋体" w:hAnsi="宋体"/>
                <w:color w:val="000000"/>
                <w:szCs w:val="21"/>
              </w:rPr>
            </w:pPr>
            <w:r>
              <w:rPr>
                <w:rFonts w:hint="eastAsia" w:ascii="宋体" w:hAnsi="宋体"/>
                <w:color w:val="000000"/>
                <w:kern w:val="0"/>
                <w:szCs w:val="21"/>
                <w:lang w:bidi="ar"/>
              </w:rPr>
              <w:t>组</w:t>
            </w:r>
          </w:p>
        </w:tc>
        <w:tc>
          <w:tcPr>
            <w:tcW w:w="1291" w:type="dxa"/>
            <w:tcBorders>
              <w:top w:val="single" w:color="000000" w:sz="4" w:space="0"/>
              <w:left w:val="single" w:color="000000" w:sz="4" w:space="0"/>
              <w:bottom w:val="single" w:color="000000" w:sz="4" w:space="0"/>
              <w:right w:val="single" w:color="000000" w:sz="4" w:space="0"/>
            </w:tcBorders>
            <w:vAlign w:val="center"/>
          </w:tcPr>
          <w:p w14:paraId="6A6F919C">
            <w:pPr>
              <w:widowControl/>
              <w:jc w:val="center"/>
              <w:textAlignment w:val="center"/>
              <w:rPr>
                <w:rFonts w:ascii="宋体" w:hAnsi="宋体"/>
                <w:color w:val="000000"/>
                <w:szCs w:val="21"/>
              </w:rPr>
            </w:pPr>
            <w:r>
              <w:rPr>
                <w:rFonts w:hint="eastAsia" w:ascii="宋体" w:hAnsi="宋体"/>
                <w:color w:val="000000"/>
                <w:kern w:val="0"/>
                <w:szCs w:val="21"/>
                <w:lang w:bidi="ar"/>
              </w:rPr>
              <w:t>24.11</w:t>
            </w:r>
          </w:p>
        </w:tc>
      </w:tr>
      <w:tr w14:paraId="7FD93DA2">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79965B36">
            <w:pPr>
              <w:jc w:val="center"/>
              <w:rPr>
                <w:rFonts w:ascii="宋体" w:hAnsi="宋体"/>
                <w:color w:val="000000"/>
                <w:szCs w:val="21"/>
              </w:rPr>
            </w:pPr>
            <w:r>
              <w:rPr>
                <w:rFonts w:hint="eastAsia" w:ascii="宋体" w:hAnsi="宋体"/>
                <w:color w:val="000000"/>
                <w:szCs w:val="21"/>
              </w:rPr>
              <w:t>6</w:t>
            </w:r>
          </w:p>
        </w:tc>
        <w:tc>
          <w:tcPr>
            <w:tcW w:w="3828" w:type="dxa"/>
            <w:tcBorders>
              <w:top w:val="single" w:color="000000" w:sz="4" w:space="0"/>
              <w:left w:val="single" w:color="000000" w:sz="4" w:space="0"/>
              <w:bottom w:val="single" w:color="000000" w:sz="4" w:space="0"/>
              <w:right w:val="single" w:color="000000" w:sz="4" w:space="0"/>
            </w:tcBorders>
            <w:vAlign w:val="center"/>
          </w:tcPr>
          <w:p w14:paraId="1836221A">
            <w:pPr>
              <w:widowControl/>
              <w:jc w:val="center"/>
              <w:textAlignment w:val="center"/>
              <w:rPr>
                <w:rFonts w:ascii="宋体" w:hAnsi="宋体"/>
                <w:color w:val="000000"/>
                <w:szCs w:val="21"/>
              </w:rPr>
            </w:pPr>
            <w:r>
              <w:rPr>
                <w:rFonts w:hint="eastAsia" w:ascii="宋体" w:hAnsi="宋体"/>
                <w:color w:val="000000"/>
                <w:kern w:val="0"/>
                <w:szCs w:val="21"/>
                <w:lang w:bidi="ar"/>
              </w:rPr>
              <w:t>可口可乐</w:t>
            </w:r>
          </w:p>
        </w:tc>
        <w:tc>
          <w:tcPr>
            <w:tcW w:w="2407" w:type="dxa"/>
            <w:tcBorders>
              <w:top w:val="single" w:color="000000" w:sz="4" w:space="0"/>
              <w:left w:val="single" w:color="000000" w:sz="4" w:space="0"/>
              <w:bottom w:val="single" w:color="000000" w:sz="4" w:space="0"/>
              <w:right w:val="single" w:color="000000" w:sz="4" w:space="0"/>
            </w:tcBorders>
            <w:vAlign w:val="center"/>
          </w:tcPr>
          <w:p w14:paraId="6FC7001B">
            <w:pPr>
              <w:widowControl/>
              <w:jc w:val="center"/>
              <w:textAlignment w:val="center"/>
              <w:rPr>
                <w:rFonts w:ascii="宋体" w:hAnsi="宋体"/>
                <w:color w:val="000000"/>
                <w:szCs w:val="21"/>
              </w:rPr>
            </w:pPr>
            <w:r>
              <w:rPr>
                <w:rFonts w:hint="eastAsia" w:ascii="宋体" w:hAnsi="宋体"/>
                <w:color w:val="000000"/>
                <w:kern w:val="0"/>
                <w:szCs w:val="21"/>
                <w:lang w:bidi="ar"/>
              </w:rPr>
              <w:t>300ml*12（支）</w:t>
            </w:r>
          </w:p>
        </w:tc>
        <w:tc>
          <w:tcPr>
            <w:tcW w:w="1495" w:type="dxa"/>
            <w:tcBorders>
              <w:top w:val="single" w:color="000000" w:sz="4" w:space="0"/>
              <w:left w:val="single" w:color="000000" w:sz="4" w:space="0"/>
              <w:bottom w:val="single" w:color="000000" w:sz="4" w:space="0"/>
              <w:right w:val="single" w:color="000000" w:sz="4" w:space="0"/>
            </w:tcBorders>
            <w:vAlign w:val="center"/>
          </w:tcPr>
          <w:p w14:paraId="405C02A5">
            <w:pPr>
              <w:widowControl/>
              <w:jc w:val="center"/>
              <w:textAlignment w:val="center"/>
              <w:rPr>
                <w:rFonts w:ascii="宋体" w:hAnsi="宋体"/>
                <w:color w:val="000000"/>
                <w:szCs w:val="21"/>
              </w:rPr>
            </w:pPr>
            <w:r>
              <w:rPr>
                <w:rFonts w:hint="eastAsia" w:ascii="宋体" w:hAnsi="宋体"/>
                <w:color w:val="000000"/>
                <w:kern w:val="0"/>
                <w:szCs w:val="21"/>
                <w:lang w:bidi="ar"/>
              </w:rPr>
              <w:t>组</w:t>
            </w:r>
          </w:p>
        </w:tc>
        <w:tc>
          <w:tcPr>
            <w:tcW w:w="1291" w:type="dxa"/>
            <w:tcBorders>
              <w:top w:val="single" w:color="000000" w:sz="4" w:space="0"/>
              <w:left w:val="single" w:color="000000" w:sz="4" w:space="0"/>
              <w:bottom w:val="single" w:color="000000" w:sz="4" w:space="0"/>
              <w:right w:val="single" w:color="000000" w:sz="4" w:space="0"/>
            </w:tcBorders>
            <w:vAlign w:val="center"/>
          </w:tcPr>
          <w:p w14:paraId="24DE5114">
            <w:pPr>
              <w:widowControl/>
              <w:jc w:val="center"/>
              <w:textAlignment w:val="center"/>
              <w:rPr>
                <w:rFonts w:ascii="宋体" w:hAnsi="宋体"/>
                <w:color w:val="000000"/>
                <w:szCs w:val="21"/>
              </w:rPr>
            </w:pPr>
            <w:r>
              <w:rPr>
                <w:rFonts w:hint="eastAsia" w:ascii="宋体" w:hAnsi="宋体"/>
                <w:color w:val="000000"/>
                <w:kern w:val="0"/>
                <w:szCs w:val="21"/>
                <w:lang w:bidi="ar"/>
              </w:rPr>
              <w:t>16.98</w:t>
            </w:r>
          </w:p>
        </w:tc>
      </w:tr>
      <w:tr w14:paraId="537FD6CC">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4C1E7A18">
            <w:pPr>
              <w:jc w:val="center"/>
              <w:rPr>
                <w:rFonts w:ascii="宋体" w:hAnsi="宋体"/>
                <w:color w:val="000000"/>
                <w:szCs w:val="21"/>
              </w:rPr>
            </w:pPr>
            <w:r>
              <w:rPr>
                <w:rFonts w:hint="eastAsia" w:ascii="宋体" w:hAnsi="宋体"/>
                <w:color w:val="000000"/>
                <w:szCs w:val="21"/>
              </w:rPr>
              <w:t>7</w:t>
            </w:r>
          </w:p>
        </w:tc>
        <w:tc>
          <w:tcPr>
            <w:tcW w:w="3828" w:type="dxa"/>
            <w:tcBorders>
              <w:top w:val="single" w:color="000000" w:sz="4" w:space="0"/>
              <w:left w:val="single" w:color="000000" w:sz="4" w:space="0"/>
              <w:bottom w:val="single" w:color="000000" w:sz="4" w:space="0"/>
              <w:right w:val="single" w:color="000000" w:sz="4" w:space="0"/>
            </w:tcBorders>
            <w:vAlign w:val="center"/>
          </w:tcPr>
          <w:p w14:paraId="483EC981">
            <w:pPr>
              <w:widowControl/>
              <w:jc w:val="center"/>
              <w:textAlignment w:val="center"/>
              <w:rPr>
                <w:rFonts w:ascii="宋体" w:hAnsi="宋体"/>
                <w:color w:val="000000"/>
                <w:szCs w:val="21"/>
              </w:rPr>
            </w:pPr>
            <w:r>
              <w:rPr>
                <w:rFonts w:hint="eastAsia" w:ascii="宋体" w:hAnsi="宋体"/>
                <w:color w:val="000000"/>
                <w:kern w:val="0"/>
                <w:szCs w:val="21"/>
                <w:lang w:bidi="ar"/>
              </w:rPr>
              <w:t>华丰三鲜伊面（原味）</w:t>
            </w:r>
          </w:p>
        </w:tc>
        <w:tc>
          <w:tcPr>
            <w:tcW w:w="2407" w:type="dxa"/>
            <w:tcBorders>
              <w:top w:val="single" w:color="000000" w:sz="4" w:space="0"/>
              <w:left w:val="single" w:color="000000" w:sz="4" w:space="0"/>
              <w:bottom w:val="single" w:color="000000" w:sz="4" w:space="0"/>
              <w:right w:val="single" w:color="000000" w:sz="4" w:space="0"/>
            </w:tcBorders>
            <w:vAlign w:val="center"/>
          </w:tcPr>
          <w:p w14:paraId="2BC52B16">
            <w:pPr>
              <w:widowControl/>
              <w:jc w:val="center"/>
              <w:textAlignment w:val="center"/>
              <w:rPr>
                <w:rFonts w:ascii="宋体" w:hAnsi="宋体"/>
                <w:color w:val="000000"/>
                <w:szCs w:val="21"/>
              </w:rPr>
            </w:pPr>
            <w:r>
              <w:rPr>
                <w:rFonts w:hint="eastAsia" w:ascii="宋体" w:hAnsi="宋体"/>
                <w:color w:val="000000"/>
                <w:kern w:val="0"/>
                <w:szCs w:val="21"/>
                <w:lang w:bidi="ar"/>
              </w:rPr>
              <w:t>86g*24（包）</w:t>
            </w:r>
          </w:p>
        </w:tc>
        <w:tc>
          <w:tcPr>
            <w:tcW w:w="1495" w:type="dxa"/>
            <w:tcBorders>
              <w:top w:val="single" w:color="000000" w:sz="4" w:space="0"/>
              <w:left w:val="single" w:color="000000" w:sz="4" w:space="0"/>
              <w:bottom w:val="single" w:color="000000" w:sz="4" w:space="0"/>
              <w:right w:val="single" w:color="000000" w:sz="4" w:space="0"/>
            </w:tcBorders>
            <w:vAlign w:val="center"/>
          </w:tcPr>
          <w:p w14:paraId="4612C0EF">
            <w:pPr>
              <w:widowControl/>
              <w:jc w:val="center"/>
              <w:textAlignment w:val="center"/>
              <w:rPr>
                <w:rFonts w:ascii="宋体" w:hAnsi="宋体"/>
                <w:color w:val="000000"/>
                <w:szCs w:val="21"/>
              </w:rPr>
            </w:pPr>
            <w:r>
              <w:rPr>
                <w:rFonts w:hint="eastAsia" w:ascii="宋体" w:hAnsi="宋体"/>
                <w:color w:val="000000"/>
                <w:kern w:val="0"/>
                <w:szCs w:val="21"/>
                <w:lang w:bidi="ar"/>
              </w:rPr>
              <w:t>箱</w:t>
            </w:r>
          </w:p>
        </w:tc>
        <w:tc>
          <w:tcPr>
            <w:tcW w:w="1291" w:type="dxa"/>
            <w:tcBorders>
              <w:top w:val="single" w:color="000000" w:sz="4" w:space="0"/>
              <w:left w:val="single" w:color="000000" w:sz="4" w:space="0"/>
              <w:bottom w:val="single" w:color="000000" w:sz="4" w:space="0"/>
              <w:right w:val="single" w:color="000000" w:sz="4" w:space="0"/>
            </w:tcBorders>
            <w:vAlign w:val="center"/>
          </w:tcPr>
          <w:p w14:paraId="588077C6">
            <w:pPr>
              <w:widowControl/>
              <w:jc w:val="center"/>
              <w:textAlignment w:val="center"/>
              <w:rPr>
                <w:rFonts w:ascii="宋体" w:hAnsi="宋体"/>
                <w:color w:val="000000"/>
                <w:szCs w:val="21"/>
              </w:rPr>
            </w:pPr>
            <w:r>
              <w:rPr>
                <w:rFonts w:hint="eastAsia" w:ascii="宋体" w:hAnsi="宋体"/>
                <w:color w:val="000000"/>
                <w:kern w:val="0"/>
                <w:szCs w:val="21"/>
                <w:lang w:bidi="ar"/>
              </w:rPr>
              <w:t>35.9</w:t>
            </w:r>
          </w:p>
        </w:tc>
      </w:tr>
      <w:tr w14:paraId="1C1A98E6">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6A603137">
            <w:pPr>
              <w:jc w:val="center"/>
              <w:rPr>
                <w:rFonts w:ascii="宋体" w:hAnsi="宋体"/>
                <w:color w:val="000000"/>
                <w:szCs w:val="21"/>
              </w:rPr>
            </w:pPr>
            <w:r>
              <w:rPr>
                <w:rFonts w:hint="eastAsia" w:ascii="宋体" w:hAnsi="宋体"/>
                <w:color w:val="000000"/>
                <w:szCs w:val="21"/>
              </w:rPr>
              <w:t>8</w:t>
            </w:r>
          </w:p>
        </w:tc>
        <w:tc>
          <w:tcPr>
            <w:tcW w:w="3828" w:type="dxa"/>
            <w:tcBorders>
              <w:top w:val="single" w:color="000000" w:sz="4" w:space="0"/>
              <w:left w:val="single" w:color="000000" w:sz="4" w:space="0"/>
              <w:bottom w:val="single" w:color="000000" w:sz="4" w:space="0"/>
              <w:right w:val="single" w:color="000000" w:sz="4" w:space="0"/>
            </w:tcBorders>
            <w:vAlign w:val="center"/>
          </w:tcPr>
          <w:p w14:paraId="074CF469">
            <w:pPr>
              <w:widowControl/>
              <w:jc w:val="center"/>
              <w:textAlignment w:val="center"/>
              <w:rPr>
                <w:rFonts w:ascii="宋体" w:hAnsi="宋体"/>
                <w:color w:val="000000"/>
                <w:szCs w:val="21"/>
              </w:rPr>
            </w:pPr>
            <w:r>
              <w:rPr>
                <w:rFonts w:hint="eastAsia" w:ascii="宋体" w:hAnsi="宋体"/>
                <w:color w:val="000000"/>
                <w:kern w:val="0"/>
                <w:szCs w:val="21"/>
                <w:lang w:bidi="ar"/>
              </w:rPr>
              <w:t>旺旺大师兄雪饼</w:t>
            </w:r>
          </w:p>
        </w:tc>
        <w:tc>
          <w:tcPr>
            <w:tcW w:w="2407" w:type="dxa"/>
            <w:tcBorders>
              <w:top w:val="single" w:color="000000" w:sz="4" w:space="0"/>
              <w:left w:val="single" w:color="000000" w:sz="4" w:space="0"/>
              <w:bottom w:val="single" w:color="000000" w:sz="4" w:space="0"/>
              <w:right w:val="single" w:color="000000" w:sz="4" w:space="0"/>
            </w:tcBorders>
            <w:vAlign w:val="center"/>
          </w:tcPr>
          <w:p w14:paraId="2E490310">
            <w:pPr>
              <w:widowControl/>
              <w:jc w:val="center"/>
              <w:textAlignment w:val="center"/>
              <w:rPr>
                <w:rFonts w:ascii="宋体" w:hAnsi="宋体"/>
                <w:color w:val="000000"/>
                <w:szCs w:val="21"/>
              </w:rPr>
            </w:pPr>
            <w:r>
              <w:rPr>
                <w:rFonts w:hint="eastAsia" w:ascii="宋体" w:hAnsi="宋体"/>
                <w:color w:val="000000"/>
                <w:kern w:val="0"/>
                <w:szCs w:val="21"/>
                <w:lang w:bidi="ar"/>
              </w:rPr>
              <w:t>450g</w:t>
            </w:r>
          </w:p>
        </w:tc>
        <w:tc>
          <w:tcPr>
            <w:tcW w:w="1495" w:type="dxa"/>
            <w:tcBorders>
              <w:top w:val="single" w:color="000000" w:sz="4" w:space="0"/>
              <w:left w:val="single" w:color="000000" w:sz="4" w:space="0"/>
              <w:bottom w:val="single" w:color="000000" w:sz="4" w:space="0"/>
              <w:right w:val="single" w:color="000000" w:sz="4" w:space="0"/>
            </w:tcBorders>
            <w:vAlign w:val="center"/>
          </w:tcPr>
          <w:p w14:paraId="42074904">
            <w:pPr>
              <w:widowControl/>
              <w:jc w:val="center"/>
              <w:textAlignment w:val="center"/>
              <w:rPr>
                <w:rFonts w:ascii="宋体" w:hAnsi="宋体"/>
                <w:color w:val="000000"/>
                <w:szCs w:val="21"/>
              </w:rPr>
            </w:pPr>
            <w:r>
              <w:rPr>
                <w:rFonts w:hint="eastAsia" w:ascii="宋体" w:hAnsi="宋体"/>
                <w:color w:val="000000"/>
                <w:kern w:val="0"/>
                <w:szCs w:val="21"/>
                <w:lang w:bidi="ar"/>
              </w:rPr>
              <w:t>包</w:t>
            </w:r>
          </w:p>
        </w:tc>
        <w:tc>
          <w:tcPr>
            <w:tcW w:w="1291" w:type="dxa"/>
            <w:tcBorders>
              <w:top w:val="single" w:color="000000" w:sz="4" w:space="0"/>
              <w:left w:val="single" w:color="000000" w:sz="4" w:space="0"/>
              <w:bottom w:val="single" w:color="000000" w:sz="4" w:space="0"/>
              <w:right w:val="single" w:color="000000" w:sz="4" w:space="0"/>
            </w:tcBorders>
            <w:vAlign w:val="center"/>
          </w:tcPr>
          <w:p w14:paraId="2C88EDE1">
            <w:pPr>
              <w:widowControl/>
              <w:jc w:val="center"/>
              <w:textAlignment w:val="center"/>
              <w:rPr>
                <w:rFonts w:ascii="宋体" w:hAnsi="宋体"/>
                <w:color w:val="000000"/>
                <w:szCs w:val="21"/>
              </w:rPr>
            </w:pPr>
            <w:r>
              <w:rPr>
                <w:rFonts w:hint="eastAsia" w:ascii="宋体" w:hAnsi="宋体"/>
                <w:color w:val="000000"/>
                <w:kern w:val="0"/>
                <w:szCs w:val="21"/>
                <w:lang w:bidi="ar"/>
              </w:rPr>
              <w:t>18.8</w:t>
            </w:r>
          </w:p>
        </w:tc>
      </w:tr>
      <w:tr w14:paraId="2CC8CC40">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43685FF5">
            <w:pPr>
              <w:jc w:val="center"/>
              <w:rPr>
                <w:rFonts w:ascii="宋体" w:hAnsi="宋体"/>
                <w:color w:val="000000"/>
                <w:szCs w:val="21"/>
              </w:rPr>
            </w:pPr>
            <w:r>
              <w:rPr>
                <w:rFonts w:hint="eastAsia" w:ascii="宋体" w:hAnsi="宋体"/>
                <w:color w:val="000000"/>
                <w:szCs w:val="21"/>
              </w:rPr>
              <w:t>9</w:t>
            </w:r>
          </w:p>
        </w:tc>
        <w:tc>
          <w:tcPr>
            <w:tcW w:w="3828" w:type="dxa"/>
            <w:tcBorders>
              <w:top w:val="single" w:color="000000" w:sz="4" w:space="0"/>
              <w:left w:val="single" w:color="000000" w:sz="4" w:space="0"/>
              <w:bottom w:val="single" w:color="000000" w:sz="4" w:space="0"/>
              <w:right w:val="single" w:color="000000" w:sz="4" w:space="0"/>
            </w:tcBorders>
            <w:vAlign w:val="center"/>
          </w:tcPr>
          <w:p w14:paraId="163620E2">
            <w:pPr>
              <w:widowControl/>
              <w:jc w:val="center"/>
              <w:textAlignment w:val="center"/>
              <w:rPr>
                <w:rFonts w:ascii="宋体" w:hAnsi="宋体"/>
                <w:color w:val="000000"/>
                <w:szCs w:val="21"/>
              </w:rPr>
            </w:pPr>
            <w:r>
              <w:rPr>
                <w:rFonts w:hint="eastAsia" w:ascii="宋体" w:hAnsi="宋体"/>
                <w:color w:val="000000"/>
                <w:kern w:val="0"/>
                <w:szCs w:val="21"/>
                <w:lang w:bidi="ar"/>
              </w:rPr>
              <w:t>旺旺大师兄香米饼</w:t>
            </w:r>
          </w:p>
        </w:tc>
        <w:tc>
          <w:tcPr>
            <w:tcW w:w="2407" w:type="dxa"/>
            <w:tcBorders>
              <w:top w:val="single" w:color="000000" w:sz="4" w:space="0"/>
              <w:left w:val="single" w:color="000000" w:sz="4" w:space="0"/>
              <w:bottom w:val="single" w:color="000000" w:sz="4" w:space="0"/>
              <w:right w:val="single" w:color="000000" w:sz="4" w:space="0"/>
            </w:tcBorders>
            <w:vAlign w:val="center"/>
          </w:tcPr>
          <w:p w14:paraId="359840A4">
            <w:pPr>
              <w:widowControl/>
              <w:jc w:val="center"/>
              <w:textAlignment w:val="center"/>
              <w:rPr>
                <w:rFonts w:ascii="宋体" w:hAnsi="宋体"/>
                <w:color w:val="000000"/>
                <w:szCs w:val="21"/>
              </w:rPr>
            </w:pPr>
            <w:r>
              <w:rPr>
                <w:rFonts w:hint="eastAsia" w:ascii="宋体" w:hAnsi="宋体"/>
                <w:color w:val="000000"/>
                <w:kern w:val="0"/>
                <w:szCs w:val="21"/>
                <w:lang w:bidi="ar"/>
              </w:rPr>
              <w:t>450g</w:t>
            </w:r>
          </w:p>
        </w:tc>
        <w:tc>
          <w:tcPr>
            <w:tcW w:w="1495" w:type="dxa"/>
            <w:tcBorders>
              <w:top w:val="single" w:color="000000" w:sz="4" w:space="0"/>
              <w:left w:val="single" w:color="000000" w:sz="4" w:space="0"/>
              <w:bottom w:val="single" w:color="000000" w:sz="4" w:space="0"/>
              <w:right w:val="single" w:color="000000" w:sz="4" w:space="0"/>
            </w:tcBorders>
            <w:vAlign w:val="center"/>
          </w:tcPr>
          <w:p w14:paraId="2CF49272">
            <w:pPr>
              <w:widowControl/>
              <w:jc w:val="center"/>
              <w:textAlignment w:val="center"/>
              <w:rPr>
                <w:rFonts w:ascii="宋体" w:hAnsi="宋体"/>
                <w:color w:val="000000"/>
                <w:szCs w:val="21"/>
              </w:rPr>
            </w:pPr>
            <w:r>
              <w:rPr>
                <w:rFonts w:hint="eastAsia" w:ascii="宋体" w:hAnsi="宋体"/>
                <w:color w:val="000000"/>
                <w:kern w:val="0"/>
                <w:szCs w:val="21"/>
                <w:lang w:bidi="ar"/>
              </w:rPr>
              <w:t>包</w:t>
            </w:r>
          </w:p>
        </w:tc>
        <w:tc>
          <w:tcPr>
            <w:tcW w:w="1291" w:type="dxa"/>
            <w:tcBorders>
              <w:top w:val="single" w:color="000000" w:sz="4" w:space="0"/>
              <w:left w:val="single" w:color="000000" w:sz="4" w:space="0"/>
              <w:bottom w:val="single" w:color="000000" w:sz="4" w:space="0"/>
              <w:right w:val="single" w:color="000000" w:sz="4" w:space="0"/>
            </w:tcBorders>
            <w:vAlign w:val="center"/>
          </w:tcPr>
          <w:p w14:paraId="3DA2E21A">
            <w:pPr>
              <w:widowControl/>
              <w:jc w:val="center"/>
              <w:textAlignment w:val="center"/>
              <w:rPr>
                <w:rFonts w:ascii="宋体" w:hAnsi="宋体"/>
                <w:color w:val="000000"/>
                <w:szCs w:val="21"/>
              </w:rPr>
            </w:pPr>
            <w:r>
              <w:rPr>
                <w:rFonts w:hint="eastAsia" w:ascii="宋体" w:hAnsi="宋体"/>
                <w:color w:val="000000"/>
                <w:kern w:val="0"/>
                <w:szCs w:val="21"/>
                <w:lang w:bidi="ar"/>
              </w:rPr>
              <w:t>18.8</w:t>
            </w:r>
          </w:p>
        </w:tc>
      </w:tr>
      <w:tr w14:paraId="22CDF580">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2E506DB2">
            <w:pPr>
              <w:jc w:val="center"/>
              <w:rPr>
                <w:rFonts w:ascii="宋体" w:hAnsi="宋体"/>
                <w:color w:val="000000"/>
                <w:szCs w:val="21"/>
              </w:rPr>
            </w:pPr>
            <w:r>
              <w:rPr>
                <w:rFonts w:hint="eastAsia" w:ascii="宋体" w:hAnsi="宋体"/>
                <w:color w:val="000000"/>
                <w:szCs w:val="21"/>
              </w:rPr>
              <w:t>10</w:t>
            </w:r>
          </w:p>
        </w:tc>
        <w:tc>
          <w:tcPr>
            <w:tcW w:w="3828" w:type="dxa"/>
            <w:tcBorders>
              <w:top w:val="single" w:color="000000" w:sz="4" w:space="0"/>
              <w:left w:val="single" w:color="000000" w:sz="4" w:space="0"/>
              <w:bottom w:val="single" w:color="000000" w:sz="4" w:space="0"/>
              <w:right w:val="single" w:color="000000" w:sz="4" w:space="0"/>
            </w:tcBorders>
            <w:vAlign w:val="center"/>
          </w:tcPr>
          <w:p w14:paraId="5E8D1337">
            <w:pPr>
              <w:widowControl/>
              <w:jc w:val="center"/>
              <w:textAlignment w:val="center"/>
              <w:rPr>
                <w:rFonts w:ascii="宋体" w:hAnsi="宋体"/>
                <w:color w:val="000000"/>
                <w:szCs w:val="21"/>
              </w:rPr>
            </w:pPr>
            <w:r>
              <w:rPr>
                <w:rFonts w:hint="eastAsia" w:ascii="宋体" w:hAnsi="宋体"/>
                <w:color w:val="000000"/>
                <w:kern w:val="0"/>
                <w:szCs w:val="21"/>
                <w:lang w:bidi="ar"/>
              </w:rPr>
              <w:t>达利园巧克力派</w:t>
            </w:r>
          </w:p>
        </w:tc>
        <w:tc>
          <w:tcPr>
            <w:tcW w:w="2407" w:type="dxa"/>
            <w:tcBorders>
              <w:top w:val="single" w:color="000000" w:sz="4" w:space="0"/>
              <w:left w:val="single" w:color="000000" w:sz="4" w:space="0"/>
              <w:bottom w:val="single" w:color="000000" w:sz="4" w:space="0"/>
              <w:right w:val="single" w:color="000000" w:sz="4" w:space="0"/>
            </w:tcBorders>
            <w:vAlign w:val="center"/>
          </w:tcPr>
          <w:p w14:paraId="6526FEBE">
            <w:pPr>
              <w:widowControl/>
              <w:jc w:val="center"/>
              <w:textAlignment w:val="center"/>
              <w:rPr>
                <w:rFonts w:ascii="宋体" w:hAnsi="宋体"/>
                <w:color w:val="000000"/>
                <w:szCs w:val="21"/>
              </w:rPr>
            </w:pPr>
            <w:r>
              <w:rPr>
                <w:rFonts w:hint="eastAsia" w:ascii="宋体" w:hAnsi="宋体"/>
                <w:color w:val="000000"/>
                <w:kern w:val="0"/>
                <w:szCs w:val="21"/>
                <w:lang w:bidi="ar"/>
              </w:rPr>
              <w:t>2500g</w:t>
            </w:r>
          </w:p>
        </w:tc>
        <w:tc>
          <w:tcPr>
            <w:tcW w:w="1495" w:type="dxa"/>
            <w:tcBorders>
              <w:top w:val="single" w:color="000000" w:sz="4" w:space="0"/>
              <w:left w:val="single" w:color="000000" w:sz="4" w:space="0"/>
              <w:bottom w:val="single" w:color="000000" w:sz="4" w:space="0"/>
              <w:right w:val="single" w:color="000000" w:sz="4" w:space="0"/>
            </w:tcBorders>
            <w:vAlign w:val="center"/>
          </w:tcPr>
          <w:p w14:paraId="2407B018">
            <w:pPr>
              <w:widowControl/>
              <w:jc w:val="center"/>
              <w:textAlignment w:val="center"/>
              <w:rPr>
                <w:rFonts w:ascii="宋体" w:hAnsi="宋体"/>
                <w:color w:val="000000"/>
                <w:szCs w:val="21"/>
              </w:rPr>
            </w:pPr>
            <w:r>
              <w:rPr>
                <w:rFonts w:hint="eastAsia" w:ascii="宋体" w:hAnsi="宋体"/>
                <w:color w:val="000000"/>
                <w:kern w:val="0"/>
                <w:szCs w:val="21"/>
                <w:lang w:bidi="ar"/>
              </w:rPr>
              <w:t>箱</w:t>
            </w:r>
          </w:p>
        </w:tc>
        <w:tc>
          <w:tcPr>
            <w:tcW w:w="1291" w:type="dxa"/>
            <w:tcBorders>
              <w:top w:val="single" w:color="000000" w:sz="4" w:space="0"/>
              <w:left w:val="single" w:color="000000" w:sz="4" w:space="0"/>
              <w:bottom w:val="single" w:color="000000" w:sz="4" w:space="0"/>
              <w:right w:val="single" w:color="000000" w:sz="4" w:space="0"/>
            </w:tcBorders>
            <w:vAlign w:val="center"/>
          </w:tcPr>
          <w:p w14:paraId="55FB3FDD">
            <w:pPr>
              <w:widowControl/>
              <w:jc w:val="center"/>
              <w:textAlignment w:val="center"/>
              <w:rPr>
                <w:rFonts w:ascii="宋体" w:hAnsi="宋体"/>
                <w:color w:val="000000"/>
                <w:szCs w:val="21"/>
              </w:rPr>
            </w:pPr>
            <w:r>
              <w:rPr>
                <w:rFonts w:hint="eastAsia" w:ascii="宋体" w:hAnsi="宋体"/>
                <w:color w:val="000000"/>
                <w:kern w:val="0"/>
                <w:szCs w:val="21"/>
                <w:lang w:bidi="ar"/>
              </w:rPr>
              <w:t>61.25</w:t>
            </w:r>
          </w:p>
        </w:tc>
      </w:tr>
      <w:tr w14:paraId="682284AF">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524FFEC6">
            <w:pPr>
              <w:jc w:val="center"/>
              <w:rPr>
                <w:rFonts w:ascii="宋体" w:hAnsi="宋体"/>
                <w:color w:val="000000"/>
                <w:szCs w:val="21"/>
              </w:rPr>
            </w:pPr>
            <w:r>
              <w:rPr>
                <w:rFonts w:hint="eastAsia" w:ascii="宋体" w:hAnsi="宋体"/>
                <w:color w:val="000000"/>
                <w:szCs w:val="21"/>
              </w:rPr>
              <w:t>11</w:t>
            </w:r>
          </w:p>
        </w:tc>
        <w:tc>
          <w:tcPr>
            <w:tcW w:w="3828" w:type="dxa"/>
            <w:tcBorders>
              <w:top w:val="single" w:color="000000" w:sz="4" w:space="0"/>
              <w:left w:val="single" w:color="000000" w:sz="4" w:space="0"/>
              <w:bottom w:val="single" w:color="000000" w:sz="4" w:space="0"/>
              <w:right w:val="single" w:color="000000" w:sz="4" w:space="0"/>
            </w:tcBorders>
            <w:vAlign w:val="center"/>
          </w:tcPr>
          <w:p w14:paraId="61EDD283">
            <w:pPr>
              <w:widowControl/>
              <w:jc w:val="center"/>
              <w:textAlignment w:val="center"/>
              <w:rPr>
                <w:rFonts w:ascii="宋体" w:hAnsi="宋体"/>
                <w:color w:val="000000"/>
                <w:szCs w:val="21"/>
              </w:rPr>
            </w:pPr>
            <w:r>
              <w:rPr>
                <w:rFonts w:hint="eastAsia" w:ascii="宋体" w:hAnsi="宋体"/>
                <w:color w:val="000000"/>
                <w:kern w:val="0"/>
                <w:szCs w:val="21"/>
                <w:lang w:bidi="ar"/>
              </w:rPr>
              <w:t>双汇玉米肠</w:t>
            </w:r>
          </w:p>
        </w:tc>
        <w:tc>
          <w:tcPr>
            <w:tcW w:w="2407" w:type="dxa"/>
            <w:tcBorders>
              <w:top w:val="single" w:color="000000" w:sz="4" w:space="0"/>
              <w:left w:val="single" w:color="000000" w:sz="4" w:space="0"/>
              <w:bottom w:val="single" w:color="000000" w:sz="4" w:space="0"/>
              <w:right w:val="single" w:color="000000" w:sz="4" w:space="0"/>
            </w:tcBorders>
            <w:vAlign w:val="center"/>
          </w:tcPr>
          <w:p w14:paraId="7BB1CA98">
            <w:pPr>
              <w:widowControl/>
              <w:jc w:val="center"/>
              <w:textAlignment w:val="center"/>
              <w:rPr>
                <w:rFonts w:ascii="宋体" w:hAnsi="宋体"/>
                <w:color w:val="000000"/>
                <w:szCs w:val="21"/>
              </w:rPr>
            </w:pPr>
            <w:r>
              <w:rPr>
                <w:rFonts w:hint="eastAsia" w:ascii="宋体" w:hAnsi="宋体"/>
                <w:color w:val="000000"/>
                <w:kern w:val="0"/>
                <w:szCs w:val="21"/>
                <w:lang w:bidi="ar"/>
              </w:rPr>
              <w:t>32g*60（条）</w:t>
            </w:r>
          </w:p>
        </w:tc>
        <w:tc>
          <w:tcPr>
            <w:tcW w:w="1495" w:type="dxa"/>
            <w:tcBorders>
              <w:top w:val="single" w:color="000000" w:sz="4" w:space="0"/>
              <w:left w:val="single" w:color="000000" w:sz="4" w:space="0"/>
              <w:bottom w:val="single" w:color="000000" w:sz="4" w:space="0"/>
              <w:right w:val="single" w:color="000000" w:sz="4" w:space="0"/>
            </w:tcBorders>
            <w:vAlign w:val="center"/>
          </w:tcPr>
          <w:p w14:paraId="6EB635B5">
            <w:pPr>
              <w:widowControl/>
              <w:jc w:val="center"/>
              <w:textAlignment w:val="center"/>
              <w:rPr>
                <w:rFonts w:ascii="宋体" w:hAnsi="宋体"/>
                <w:color w:val="000000"/>
                <w:szCs w:val="21"/>
              </w:rPr>
            </w:pPr>
            <w:r>
              <w:rPr>
                <w:rFonts w:hint="eastAsia" w:ascii="宋体" w:hAnsi="宋体"/>
                <w:color w:val="000000"/>
                <w:kern w:val="0"/>
                <w:szCs w:val="21"/>
                <w:lang w:bidi="ar"/>
              </w:rPr>
              <w:t>箱</w:t>
            </w:r>
          </w:p>
        </w:tc>
        <w:tc>
          <w:tcPr>
            <w:tcW w:w="1291" w:type="dxa"/>
            <w:tcBorders>
              <w:top w:val="single" w:color="000000" w:sz="4" w:space="0"/>
              <w:left w:val="single" w:color="000000" w:sz="4" w:space="0"/>
              <w:bottom w:val="single" w:color="000000" w:sz="4" w:space="0"/>
              <w:right w:val="single" w:color="000000" w:sz="4" w:space="0"/>
            </w:tcBorders>
            <w:vAlign w:val="center"/>
          </w:tcPr>
          <w:p w14:paraId="5F3750C5">
            <w:pPr>
              <w:widowControl/>
              <w:jc w:val="center"/>
              <w:textAlignment w:val="center"/>
              <w:rPr>
                <w:rFonts w:ascii="宋体" w:hAnsi="宋体"/>
                <w:color w:val="000000"/>
                <w:szCs w:val="21"/>
              </w:rPr>
            </w:pPr>
            <w:r>
              <w:rPr>
                <w:rFonts w:hint="eastAsia" w:ascii="宋体" w:hAnsi="宋体"/>
                <w:color w:val="000000"/>
                <w:kern w:val="0"/>
                <w:szCs w:val="21"/>
                <w:lang w:bidi="ar"/>
              </w:rPr>
              <w:t>54</w:t>
            </w:r>
          </w:p>
        </w:tc>
      </w:tr>
      <w:tr w14:paraId="21340D91">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0F4915BA">
            <w:pPr>
              <w:jc w:val="center"/>
              <w:rPr>
                <w:rFonts w:ascii="宋体" w:hAnsi="宋体"/>
                <w:color w:val="000000"/>
                <w:szCs w:val="21"/>
              </w:rPr>
            </w:pPr>
            <w:r>
              <w:rPr>
                <w:rFonts w:hint="eastAsia" w:ascii="宋体" w:hAnsi="宋体"/>
                <w:color w:val="000000"/>
                <w:szCs w:val="21"/>
              </w:rPr>
              <w:t>12</w:t>
            </w:r>
          </w:p>
        </w:tc>
        <w:tc>
          <w:tcPr>
            <w:tcW w:w="3828" w:type="dxa"/>
            <w:tcBorders>
              <w:top w:val="single" w:color="000000" w:sz="4" w:space="0"/>
              <w:left w:val="single" w:color="000000" w:sz="4" w:space="0"/>
              <w:bottom w:val="single" w:color="000000" w:sz="4" w:space="0"/>
              <w:right w:val="single" w:color="000000" w:sz="4" w:space="0"/>
            </w:tcBorders>
            <w:vAlign w:val="center"/>
          </w:tcPr>
          <w:p w14:paraId="01D3467C">
            <w:pPr>
              <w:widowControl/>
              <w:jc w:val="center"/>
              <w:textAlignment w:val="center"/>
              <w:rPr>
                <w:rFonts w:ascii="宋体" w:hAnsi="宋体"/>
                <w:color w:val="000000"/>
                <w:szCs w:val="21"/>
              </w:rPr>
            </w:pPr>
            <w:r>
              <w:rPr>
                <w:rFonts w:hint="eastAsia" w:ascii="宋体" w:hAnsi="宋体"/>
                <w:color w:val="000000"/>
                <w:kern w:val="0"/>
                <w:szCs w:val="21"/>
                <w:lang w:bidi="ar"/>
              </w:rPr>
              <w:t>冠华陈皮味花生</w:t>
            </w:r>
          </w:p>
        </w:tc>
        <w:tc>
          <w:tcPr>
            <w:tcW w:w="2407" w:type="dxa"/>
            <w:tcBorders>
              <w:top w:val="single" w:color="000000" w:sz="4" w:space="0"/>
              <w:left w:val="single" w:color="000000" w:sz="4" w:space="0"/>
              <w:bottom w:val="single" w:color="000000" w:sz="4" w:space="0"/>
              <w:right w:val="single" w:color="000000" w:sz="4" w:space="0"/>
            </w:tcBorders>
            <w:vAlign w:val="center"/>
          </w:tcPr>
          <w:p w14:paraId="2143A238">
            <w:pPr>
              <w:widowControl/>
              <w:jc w:val="center"/>
              <w:textAlignment w:val="center"/>
              <w:rPr>
                <w:rFonts w:ascii="宋体" w:hAnsi="宋体"/>
                <w:color w:val="000000"/>
                <w:szCs w:val="21"/>
              </w:rPr>
            </w:pPr>
            <w:r>
              <w:rPr>
                <w:rFonts w:hint="eastAsia" w:ascii="宋体" w:hAnsi="宋体"/>
                <w:color w:val="000000"/>
                <w:kern w:val="0"/>
                <w:szCs w:val="21"/>
                <w:lang w:bidi="ar"/>
              </w:rPr>
              <w:t>2.5kg</w:t>
            </w:r>
          </w:p>
        </w:tc>
        <w:tc>
          <w:tcPr>
            <w:tcW w:w="1495" w:type="dxa"/>
            <w:tcBorders>
              <w:top w:val="single" w:color="000000" w:sz="4" w:space="0"/>
              <w:left w:val="single" w:color="000000" w:sz="4" w:space="0"/>
              <w:bottom w:val="single" w:color="000000" w:sz="4" w:space="0"/>
              <w:right w:val="single" w:color="000000" w:sz="4" w:space="0"/>
            </w:tcBorders>
            <w:vAlign w:val="center"/>
          </w:tcPr>
          <w:p w14:paraId="3AB30767">
            <w:pPr>
              <w:widowControl/>
              <w:jc w:val="center"/>
              <w:textAlignment w:val="center"/>
              <w:rPr>
                <w:rFonts w:ascii="宋体" w:hAnsi="宋体"/>
                <w:color w:val="000000"/>
                <w:szCs w:val="21"/>
              </w:rPr>
            </w:pPr>
            <w:r>
              <w:rPr>
                <w:rFonts w:hint="eastAsia" w:ascii="宋体" w:hAnsi="宋体"/>
                <w:color w:val="000000"/>
                <w:kern w:val="0"/>
                <w:szCs w:val="21"/>
                <w:lang w:bidi="ar"/>
              </w:rPr>
              <w:t>包</w:t>
            </w:r>
          </w:p>
        </w:tc>
        <w:tc>
          <w:tcPr>
            <w:tcW w:w="1291" w:type="dxa"/>
            <w:tcBorders>
              <w:top w:val="single" w:color="000000" w:sz="4" w:space="0"/>
              <w:left w:val="single" w:color="000000" w:sz="4" w:space="0"/>
              <w:bottom w:val="single" w:color="000000" w:sz="4" w:space="0"/>
              <w:right w:val="single" w:color="000000" w:sz="4" w:space="0"/>
            </w:tcBorders>
            <w:vAlign w:val="center"/>
          </w:tcPr>
          <w:p w14:paraId="012FC8B9">
            <w:pPr>
              <w:widowControl/>
              <w:jc w:val="center"/>
              <w:textAlignment w:val="center"/>
              <w:rPr>
                <w:rFonts w:ascii="宋体" w:hAnsi="宋体"/>
                <w:color w:val="000000"/>
                <w:szCs w:val="21"/>
              </w:rPr>
            </w:pPr>
            <w:r>
              <w:rPr>
                <w:rFonts w:hint="eastAsia" w:ascii="宋体" w:hAnsi="宋体"/>
                <w:color w:val="000000"/>
                <w:kern w:val="0"/>
                <w:szCs w:val="21"/>
                <w:lang w:bidi="ar"/>
              </w:rPr>
              <w:t>48</w:t>
            </w:r>
          </w:p>
        </w:tc>
      </w:tr>
      <w:tr w14:paraId="78B9E9B3">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64F93B88">
            <w:pPr>
              <w:jc w:val="center"/>
              <w:rPr>
                <w:rFonts w:ascii="宋体" w:hAnsi="宋体"/>
                <w:color w:val="000000"/>
                <w:szCs w:val="21"/>
              </w:rPr>
            </w:pPr>
            <w:r>
              <w:rPr>
                <w:rFonts w:hint="eastAsia" w:ascii="宋体" w:hAnsi="宋体"/>
                <w:color w:val="000000"/>
                <w:szCs w:val="21"/>
              </w:rPr>
              <w:t>13</w:t>
            </w:r>
          </w:p>
        </w:tc>
        <w:tc>
          <w:tcPr>
            <w:tcW w:w="3828" w:type="dxa"/>
            <w:tcBorders>
              <w:top w:val="single" w:color="000000" w:sz="4" w:space="0"/>
              <w:left w:val="single" w:color="000000" w:sz="4" w:space="0"/>
              <w:bottom w:val="single" w:color="000000" w:sz="4" w:space="0"/>
              <w:right w:val="single" w:color="000000" w:sz="4" w:space="0"/>
            </w:tcBorders>
            <w:vAlign w:val="center"/>
          </w:tcPr>
          <w:p w14:paraId="486DBD2A">
            <w:pPr>
              <w:widowControl/>
              <w:jc w:val="center"/>
              <w:textAlignment w:val="center"/>
              <w:rPr>
                <w:rFonts w:ascii="宋体" w:hAnsi="宋体"/>
                <w:color w:val="000000"/>
                <w:szCs w:val="21"/>
              </w:rPr>
            </w:pPr>
            <w:r>
              <w:rPr>
                <w:rFonts w:hint="eastAsia" w:ascii="宋体" w:hAnsi="宋体"/>
                <w:color w:val="000000"/>
                <w:kern w:val="0"/>
                <w:szCs w:val="21"/>
                <w:lang w:bidi="ar"/>
              </w:rPr>
              <w:t>佳宝九制陈皮</w:t>
            </w:r>
          </w:p>
        </w:tc>
        <w:tc>
          <w:tcPr>
            <w:tcW w:w="2407" w:type="dxa"/>
            <w:tcBorders>
              <w:top w:val="single" w:color="000000" w:sz="4" w:space="0"/>
              <w:left w:val="single" w:color="000000" w:sz="4" w:space="0"/>
              <w:bottom w:val="single" w:color="000000" w:sz="4" w:space="0"/>
              <w:right w:val="single" w:color="000000" w:sz="4" w:space="0"/>
            </w:tcBorders>
            <w:vAlign w:val="center"/>
          </w:tcPr>
          <w:p w14:paraId="34FED3DE">
            <w:pPr>
              <w:widowControl/>
              <w:jc w:val="center"/>
              <w:textAlignment w:val="center"/>
              <w:rPr>
                <w:rFonts w:ascii="宋体" w:hAnsi="宋体"/>
                <w:color w:val="000000"/>
                <w:szCs w:val="21"/>
              </w:rPr>
            </w:pPr>
            <w:r>
              <w:rPr>
                <w:rFonts w:hint="eastAsia" w:ascii="宋体" w:hAnsi="宋体"/>
                <w:color w:val="000000"/>
                <w:kern w:val="0"/>
                <w:szCs w:val="21"/>
                <w:lang w:bidi="ar"/>
              </w:rPr>
              <w:t>45g*10（包）</w:t>
            </w:r>
          </w:p>
        </w:tc>
        <w:tc>
          <w:tcPr>
            <w:tcW w:w="1495" w:type="dxa"/>
            <w:tcBorders>
              <w:top w:val="single" w:color="000000" w:sz="4" w:space="0"/>
              <w:left w:val="single" w:color="000000" w:sz="4" w:space="0"/>
              <w:bottom w:val="single" w:color="000000" w:sz="4" w:space="0"/>
              <w:right w:val="single" w:color="000000" w:sz="4" w:space="0"/>
            </w:tcBorders>
            <w:vAlign w:val="center"/>
          </w:tcPr>
          <w:p w14:paraId="2F12BCCC">
            <w:pPr>
              <w:widowControl/>
              <w:jc w:val="center"/>
              <w:textAlignment w:val="center"/>
              <w:rPr>
                <w:rFonts w:ascii="宋体" w:hAnsi="宋体"/>
                <w:color w:val="000000"/>
                <w:szCs w:val="21"/>
              </w:rPr>
            </w:pPr>
            <w:r>
              <w:rPr>
                <w:rFonts w:hint="eastAsia" w:ascii="宋体" w:hAnsi="宋体"/>
                <w:color w:val="000000"/>
                <w:kern w:val="0"/>
                <w:szCs w:val="21"/>
                <w:lang w:bidi="ar"/>
              </w:rPr>
              <w:t>组</w:t>
            </w:r>
          </w:p>
        </w:tc>
        <w:tc>
          <w:tcPr>
            <w:tcW w:w="1291" w:type="dxa"/>
            <w:tcBorders>
              <w:top w:val="single" w:color="000000" w:sz="4" w:space="0"/>
              <w:left w:val="single" w:color="000000" w:sz="4" w:space="0"/>
              <w:bottom w:val="single" w:color="000000" w:sz="4" w:space="0"/>
              <w:right w:val="single" w:color="000000" w:sz="4" w:space="0"/>
            </w:tcBorders>
            <w:vAlign w:val="center"/>
          </w:tcPr>
          <w:p w14:paraId="7CE1AD15">
            <w:pPr>
              <w:widowControl/>
              <w:jc w:val="center"/>
              <w:textAlignment w:val="center"/>
              <w:rPr>
                <w:rFonts w:ascii="宋体" w:hAnsi="宋体"/>
                <w:color w:val="000000"/>
                <w:szCs w:val="21"/>
              </w:rPr>
            </w:pPr>
            <w:r>
              <w:rPr>
                <w:rFonts w:hint="eastAsia" w:ascii="宋体" w:hAnsi="宋体"/>
                <w:color w:val="000000"/>
                <w:kern w:val="0"/>
                <w:szCs w:val="21"/>
                <w:lang w:bidi="ar"/>
              </w:rPr>
              <w:t>26.98</w:t>
            </w:r>
          </w:p>
        </w:tc>
      </w:tr>
      <w:tr w14:paraId="6FDE69C3">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0F476799">
            <w:pPr>
              <w:jc w:val="center"/>
              <w:rPr>
                <w:rFonts w:ascii="宋体" w:hAnsi="宋体"/>
                <w:color w:val="000000"/>
                <w:szCs w:val="21"/>
              </w:rPr>
            </w:pPr>
            <w:r>
              <w:rPr>
                <w:rFonts w:hint="eastAsia" w:ascii="宋体" w:hAnsi="宋体"/>
                <w:color w:val="000000"/>
                <w:szCs w:val="21"/>
              </w:rPr>
              <w:t>14</w:t>
            </w:r>
          </w:p>
        </w:tc>
        <w:tc>
          <w:tcPr>
            <w:tcW w:w="3828" w:type="dxa"/>
            <w:tcBorders>
              <w:top w:val="single" w:color="000000" w:sz="4" w:space="0"/>
              <w:left w:val="single" w:color="000000" w:sz="4" w:space="0"/>
              <w:bottom w:val="single" w:color="000000" w:sz="4" w:space="0"/>
              <w:right w:val="single" w:color="000000" w:sz="4" w:space="0"/>
            </w:tcBorders>
            <w:vAlign w:val="center"/>
          </w:tcPr>
          <w:p w14:paraId="415E1DE4">
            <w:pPr>
              <w:widowControl/>
              <w:jc w:val="center"/>
              <w:textAlignment w:val="center"/>
              <w:rPr>
                <w:rFonts w:ascii="宋体" w:hAnsi="宋体"/>
                <w:color w:val="000000"/>
                <w:szCs w:val="21"/>
              </w:rPr>
            </w:pPr>
            <w:r>
              <w:rPr>
                <w:rFonts w:hint="eastAsia" w:ascii="宋体" w:hAnsi="宋体"/>
                <w:color w:val="000000"/>
                <w:kern w:val="0"/>
                <w:szCs w:val="21"/>
                <w:lang w:bidi="ar"/>
              </w:rPr>
              <w:t>南北特盐焗鸡蛋</w:t>
            </w:r>
          </w:p>
        </w:tc>
        <w:tc>
          <w:tcPr>
            <w:tcW w:w="2407" w:type="dxa"/>
            <w:tcBorders>
              <w:top w:val="single" w:color="000000" w:sz="4" w:space="0"/>
              <w:left w:val="single" w:color="000000" w:sz="4" w:space="0"/>
              <w:bottom w:val="single" w:color="000000" w:sz="4" w:space="0"/>
              <w:right w:val="single" w:color="000000" w:sz="4" w:space="0"/>
            </w:tcBorders>
            <w:vAlign w:val="center"/>
          </w:tcPr>
          <w:p w14:paraId="52AD8E57">
            <w:pPr>
              <w:widowControl/>
              <w:jc w:val="center"/>
              <w:textAlignment w:val="center"/>
              <w:rPr>
                <w:rFonts w:ascii="宋体" w:hAnsi="宋体"/>
                <w:color w:val="000000"/>
                <w:szCs w:val="21"/>
              </w:rPr>
            </w:pPr>
            <w:r>
              <w:rPr>
                <w:rFonts w:hint="eastAsia" w:ascii="宋体" w:hAnsi="宋体"/>
                <w:color w:val="000000"/>
                <w:kern w:val="0"/>
                <w:szCs w:val="21"/>
                <w:lang w:bidi="ar"/>
              </w:rPr>
              <w:t>30g*20（个）</w:t>
            </w:r>
          </w:p>
        </w:tc>
        <w:tc>
          <w:tcPr>
            <w:tcW w:w="1495" w:type="dxa"/>
            <w:tcBorders>
              <w:top w:val="single" w:color="000000" w:sz="4" w:space="0"/>
              <w:left w:val="single" w:color="000000" w:sz="4" w:space="0"/>
              <w:bottom w:val="single" w:color="000000" w:sz="4" w:space="0"/>
              <w:right w:val="single" w:color="000000" w:sz="4" w:space="0"/>
            </w:tcBorders>
            <w:vAlign w:val="center"/>
          </w:tcPr>
          <w:p w14:paraId="673A89A0">
            <w:pPr>
              <w:widowControl/>
              <w:jc w:val="center"/>
              <w:textAlignment w:val="center"/>
              <w:rPr>
                <w:rFonts w:ascii="宋体" w:hAnsi="宋体"/>
                <w:color w:val="000000"/>
                <w:szCs w:val="21"/>
              </w:rPr>
            </w:pPr>
            <w:r>
              <w:rPr>
                <w:rFonts w:hint="eastAsia" w:ascii="宋体" w:hAnsi="宋体"/>
                <w:color w:val="000000"/>
                <w:kern w:val="0"/>
                <w:szCs w:val="21"/>
                <w:lang w:bidi="ar"/>
              </w:rPr>
              <w:t>盒</w:t>
            </w:r>
          </w:p>
        </w:tc>
        <w:tc>
          <w:tcPr>
            <w:tcW w:w="1291" w:type="dxa"/>
            <w:tcBorders>
              <w:top w:val="single" w:color="000000" w:sz="4" w:space="0"/>
              <w:left w:val="single" w:color="000000" w:sz="4" w:space="0"/>
              <w:bottom w:val="single" w:color="000000" w:sz="4" w:space="0"/>
              <w:right w:val="single" w:color="000000" w:sz="4" w:space="0"/>
            </w:tcBorders>
            <w:vAlign w:val="center"/>
          </w:tcPr>
          <w:p w14:paraId="4BBEC027">
            <w:pPr>
              <w:widowControl/>
              <w:jc w:val="center"/>
              <w:textAlignment w:val="center"/>
              <w:rPr>
                <w:rFonts w:ascii="宋体" w:hAnsi="宋体"/>
                <w:color w:val="000000"/>
                <w:szCs w:val="21"/>
              </w:rPr>
            </w:pPr>
            <w:r>
              <w:rPr>
                <w:rFonts w:hint="eastAsia" w:ascii="宋体" w:hAnsi="宋体"/>
                <w:color w:val="000000"/>
                <w:kern w:val="0"/>
                <w:szCs w:val="21"/>
                <w:lang w:bidi="ar"/>
              </w:rPr>
              <w:t>26.8</w:t>
            </w:r>
          </w:p>
        </w:tc>
      </w:tr>
      <w:tr w14:paraId="45501952">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428C56A0">
            <w:pPr>
              <w:jc w:val="center"/>
              <w:rPr>
                <w:rFonts w:ascii="宋体" w:hAnsi="宋体"/>
                <w:color w:val="000000"/>
                <w:szCs w:val="21"/>
              </w:rPr>
            </w:pPr>
            <w:r>
              <w:rPr>
                <w:rFonts w:hint="eastAsia" w:ascii="宋体" w:hAnsi="宋体"/>
                <w:color w:val="000000"/>
                <w:szCs w:val="21"/>
              </w:rPr>
              <w:t>15</w:t>
            </w:r>
          </w:p>
        </w:tc>
        <w:tc>
          <w:tcPr>
            <w:tcW w:w="3828" w:type="dxa"/>
            <w:tcBorders>
              <w:top w:val="single" w:color="000000" w:sz="4" w:space="0"/>
              <w:left w:val="single" w:color="000000" w:sz="4" w:space="0"/>
              <w:bottom w:val="single" w:color="000000" w:sz="4" w:space="0"/>
              <w:right w:val="single" w:color="000000" w:sz="4" w:space="0"/>
            </w:tcBorders>
            <w:vAlign w:val="center"/>
          </w:tcPr>
          <w:p w14:paraId="1CE40A79">
            <w:pPr>
              <w:widowControl/>
              <w:jc w:val="center"/>
              <w:textAlignment w:val="center"/>
              <w:rPr>
                <w:rFonts w:ascii="宋体" w:hAnsi="宋体"/>
                <w:color w:val="000000"/>
                <w:szCs w:val="21"/>
              </w:rPr>
            </w:pPr>
            <w:r>
              <w:rPr>
                <w:rFonts w:hint="eastAsia" w:ascii="宋体" w:hAnsi="宋体"/>
                <w:color w:val="000000"/>
                <w:kern w:val="0"/>
                <w:szCs w:val="21"/>
                <w:lang w:bidi="ar"/>
              </w:rPr>
              <w:t>南北特盐焗鹌鹑蛋</w:t>
            </w:r>
          </w:p>
        </w:tc>
        <w:tc>
          <w:tcPr>
            <w:tcW w:w="2407" w:type="dxa"/>
            <w:tcBorders>
              <w:top w:val="single" w:color="000000" w:sz="4" w:space="0"/>
              <w:left w:val="single" w:color="000000" w:sz="4" w:space="0"/>
              <w:bottom w:val="single" w:color="000000" w:sz="4" w:space="0"/>
              <w:right w:val="single" w:color="000000" w:sz="4" w:space="0"/>
            </w:tcBorders>
            <w:vAlign w:val="center"/>
          </w:tcPr>
          <w:p w14:paraId="73728F55">
            <w:pPr>
              <w:widowControl/>
              <w:jc w:val="center"/>
              <w:textAlignment w:val="center"/>
              <w:rPr>
                <w:rFonts w:ascii="宋体" w:hAnsi="宋体"/>
                <w:color w:val="000000"/>
                <w:szCs w:val="21"/>
              </w:rPr>
            </w:pPr>
            <w:r>
              <w:rPr>
                <w:rFonts w:hint="eastAsia" w:ascii="宋体" w:hAnsi="宋体"/>
                <w:color w:val="000000"/>
                <w:kern w:val="0"/>
                <w:szCs w:val="21"/>
                <w:lang w:bidi="ar"/>
              </w:rPr>
              <w:t>258g</w:t>
            </w:r>
          </w:p>
        </w:tc>
        <w:tc>
          <w:tcPr>
            <w:tcW w:w="1495" w:type="dxa"/>
            <w:tcBorders>
              <w:top w:val="single" w:color="000000" w:sz="4" w:space="0"/>
              <w:left w:val="single" w:color="000000" w:sz="4" w:space="0"/>
              <w:bottom w:val="single" w:color="000000" w:sz="4" w:space="0"/>
              <w:right w:val="single" w:color="000000" w:sz="4" w:space="0"/>
            </w:tcBorders>
            <w:vAlign w:val="center"/>
          </w:tcPr>
          <w:p w14:paraId="0CF1A5BF">
            <w:pPr>
              <w:widowControl/>
              <w:jc w:val="center"/>
              <w:textAlignment w:val="center"/>
              <w:rPr>
                <w:rFonts w:ascii="宋体" w:hAnsi="宋体"/>
                <w:color w:val="000000"/>
                <w:szCs w:val="21"/>
              </w:rPr>
            </w:pPr>
            <w:r>
              <w:rPr>
                <w:rFonts w:hint="eastAsia" w:ascii="宋体" w:hAnsi="宋体"/>
                <w:color w:val="000000"/>
                <w:kern w:val="0"/>
                <w:szCs w:val="21"/>
                <w:lang w:bidi="ar"/>
              </w:rPr>
              <w:t>组</w:t>
            </w:r>
          </w:p>
        </w:tc>
        <w:tc>
          <w:tcPr>
            <w:tcW w:w="1291" w:type="dxa"/>
            <w:tcBorders>
              <w:top w:val="single" w:color="000000" w:sz="4" w:space="0"/>
              <w:left w:val="single" w:color="000000" w:sz="4" w:space="0"/>
              <w:bottom w:val="single" w:color="000000" w:sz="4" w:space="0"/>
              <w:right w:val="single" w:color="000000" w:sz="4" w:space="0"/>
            </w:tcBorders>
            <w:vAlign w:val="center"/>
          </w:tcPr>
          <w:p w14:paraId="2D703939">
            <w:pPr>
              <w:widowControl/>
              <w:jc w:val="center"/>
              <w:textAlignment w:val="center"/>
              <w:rPr>
                <w:rFonts w:ascii="宋体" w:hAnsi="宋体"/>
                <w:color w:val="000000"/>
                <w:szCs w:val="21"/>
              </w:rPr>
            </w:pPr>
            <w:r>
              <w:rPr>
                <w:rFonts w:hint="eastAsia" w:ascii="宋体" w:hAnsi="宋体"/>
                <w:color w:val="000000"/>
                <w:kern w:val="0"/>
                <w:szCs w:val="21"/>
                <w:lang w:bidi="ar"/>
              </w:rPr>
              <w:t>11.9</w:t>
            </w:r>
          </w:p>
        </w:tc>
      </w:tr>
      <w:tr w14:paraId="69E50687">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2CE841EC">
            <w:pPr>
              <w:jc w:val="center"/>
              <w:rPr>
                <w:rFonts w:ascii="宋体" w:hAnsi="宋体"/>
                <w:color w:val="000000"/>
                <w:szCs w:val="21"/>
              </w:rPr>
            </w:pPr>
            <w:r>
              <w:rPr>
                <w:rFonts w:hint="eastAsia" w:ascii="宋体" w:hAnsi="宋体"/>
                <w:color w:val="000000"/>
                <w:szCs w:val="21"/>
              </w:rPr>
              <w:t>16</w:t>
            </w:r>
          </w:p>
        </w:tc>
        <w:tc>
          <w:tcPr>
            <w:tcW w:w="3828" w:type="dxa"/>
            <w:tcBorders>
              <w:top w:val="single" w:color="000000" w:sz="4" w:space="0"/>
              <w:left w:val="single" w:color="000000" w:sz="4" w:space="0"/>
              <w:bottom w:val="single" w:color="000000" w:sz="4" w:space="0"/>
              <w:right w:val="single" w:color="000000" w:sz="4" w:space="0"/>
            </w:tcBorders>
            <w:vAlign w:val="center"/>
          </w:tcPr>
          <w:p w14:paraId="6535BA1F">
            <w:pPr>
              <w:widowControl/>
              <w:jc w:val="center"/>
              <w:textAlignment w:val="center"/>
              <w:rPr>
                <w:rFonts w:ascii="宋体" w:hAnsi="宋体"/>
                <w:color w:val="000000"/>
                <w:szCs w:val="21"/>
              </w:rPr>
            </w:pPr>
            <w:r>
              <w:rPr>
                <w:rFonts w:hint="eastAsia" w:ascii="宋体" w:hAnsi="宋体"/>
                <w:color w:val="000000"/>
                <w:kern w:val="0"/>
                <w:szCs w:val="21"/>
                <w:lang w:bidi="ar"/>
              </w:rPr>
              <w:t>比比赞麻薯干吃汤圆</w:t>
            </w:r>
          </w:p>
        </w:tc>
        <w:tc>
          <w:tcPr>
            <w:tcW w:w="2407" w:type="dxa"/>
            <w:tcBorders>
              <w:top w:val="single" w:color="000000" w:sz="4" w:space="0"/>
              <w:left w:val="single" w:color="000000" w:sz="4" w:space="0"/>
              <w:bottom w:val="single" w:color="000000" w:sz="4" w:space="0"/>
              <w:right w:val="single" w:color="000000" w:sz="4" w:space="0"/>
            </w:tcBorders>
            <w:vAlign w:val="center"/>
          </w:tcPr>
          <w:p w14:paraId="59322ABA">
            <w:pPr>
              <w:widowControl/>
              <w:jc w:val="center"/>
              <w:textAlignment w:val="center"/>
              <w:rPr>
                <w:rFonts w:ascii="宋体" w:hAnsi="宋体"/>
                <w:color w:val="000000"/>
                <w:szCs w:val="21"/>
              </w:rPr>
            </w:pPr>
            <w:r>
              <w:rPr>
                <w:rFonts w:hint="eastAsia" w:ascii="宋体" w:hAnsi="宋体"/>
                <w:color w:val="000000"/>
                <w:kern w:val="0"/>
                <w:szCs w:val="21"/>
                <w:lang w:bidi="ar"/>
              </w:rPr>
              <w:t>500g</w:t>
            </w:r>
          </w:p>
        </w:tc>
        <w:tc>
          <w:tcPr>
            <w:tcW w:w="1495" w:type="dxa"/>
            <w:tcBorders>
              <w:top w:val="single" w:color="000000" w:sz="4" w:space="0"/>
              <w:left w:val="single" w:color="000000" w:sz="4" w:space="0"/>
              <w:bottom w:val="single" w:color="000000" w:sz="4" w:space="0"/>
              <w:right w:val="single" w:color="000000" w:sz="4" w:space="0"/>
            </w:tcBorders>
            <w:vAlign w:val="center"/>
          </w:tcPr>
          <w:p w14:paraId="749DF7E3">
            <w:pPr>
              <w:widowControl/>
              <w:jc w:val="center"/>
              <w:textAlignment w:val="center"/>
              <w:rPr>
                <w:rFonts w:ascii="宋体" w:hAnsi="宋体"/>
                <w:color w:val="000000"/>
                <w:szCs w:val="21"/>
              </w:rPr>
            </w:pPr>
            <w:r>
              <w:rPr>
                <w:rFonts w:hint="eastAsia" w:ascii="宋体" w:hAnsi="宋体"/>
                <w:color w:val="000000"/>
                <w:kern w:val="0"/>
                <w:szCs w:val="21"/>
                <w:lang w:bidi="ar"/>
              </w:rPr>
              <w:t>盒</w:t>
            </w:r>
          </w:p>
        </w:tc>
        <w:tc>
          <w:tcPr>
            <w:tcW w:w="1291" w:type="dxa"/>
            <w:tcBorders>
              <w:top w:val="single" w:color="000000" w:sz="4" w:space="0"/>
              <w:left w:val="single" w:color="000000" w:sz="4" w:space="0"/>
              <w:bottom w:val="single" w:color="000000" w:sz="4" w:space="0"/>
              <w:right w:val="single" w:color="000000" w:sz="4" w:space="0"/>
            </w:tcBorders>
            <w:vAlign w:val="center"/>
          </w:tcPr>
          <w:p w14:paraId="6B3BA2E4">
            <w:pPr>
              <w:widowControl/>
              <w:jc w:val="center"/>
              <w:textAlignment w:val="center"/>
              <w:rPr>
                <w:rFonts w:ascii="宋体" w:hAnsi="宋体"/>
                <w:color w:val="000000"/>
                <w:szCs w:val="21"/>
              </w:rPr>
            </w:pPr>
            <w:r>
              <w:rPr>
                <w:rFonts w:hint="eastAsia" w:ascii="宋体" w:hAnsi="宋体"/>
                <w:color w:val="000000"/>
                <w:kern w:val="0"/>
                <w:szCs w:val="21"/>
                <w:lang w:bidi="ar"/>
              </w:rPr>
              <w:t>6.9</w:t>
            </w:r>
          </w:p>
        </w:tc>
      </w:tr>
      <w:tr w14:paraId="7A744C05">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12385312">
            <w:pPr>
              <w:jc w:val="center"/>
              <w:rPr>
                <w:rFonts w:ascii="宋体" w:hAnsi="宋体"/>
                <w:color w:val="000000"/>
                <w:szCs w:val="21"/>
              </w:rPr>
            </w:pPr>
            <w:r>
              <w:rPr>
                <w:rFonts w:hint="eastAsia" w:ascii="宋体" w:hAnsi="宋体"/>
                <w:color w:val="000000"/>
                <w:szCs w:val="21"/>
              </w:rPr>
              <w:t>17</w:t>
            </w:r>
          </w:p>
        </w:tc>
        <w:tc>
          <w:tcPr>
            <w:tcW w:w="3828" w:type="dxa"/>
            <w:tcBorders>
              <w:top w:val="single" w:color="000000" w:sz="4" w:space="0"/>
              <w:left w:val="single" w:color="000000" w:sz="4" w:space="0"/>
              <w:bottom w:val="single" w:color="000000" w:sz="4" w:space="0"/>
              <w:right w:val="single" w:color="000000" w:sz="4" w:space="0"/>
            </w:tcBorders>
            <w:vAlign w:val="center"/>
          </w:tcPr>
          <w:p w14:paraId="15D78DD8">
            <w:pPr>
              <w:widowControl/>
              <w:jc w:val="center"/>
              <w:textAlignment w:val="center"/>
              <w:rPr>
                <w:rFonts w:ascii="宋体" w:hAnsi="宋体"/>
                <w:color w:val="000000"/>
                <w:szCs w:val="21"/>
              </w:rPr>
            </w:pPr>
            <w:r>
              <w:rPr>
                <w:rFonts w:hint="eastAsia" w:ascii="宋体" w:hAnsi="宋体"/>
                <w:color w:val="000000"/>
                <w:kern w:val="0"/>
                <w:szCs w:val="21"/>
                <w:lang w:bidi="ar"/>
              </w:rPr>
              <w:t>劲仔手撕素牛排</w:t>
            </w:r>
          </w:p>
        </w:tc>
        <w:tc>
          <w:tcPr>
            <w:tcW w:w="2407" w:type="dxa"/>
            <w:tcBorders>
              <w:top w:val="single" w:color="000000" w:sz="4" w:space="0"/>
              <w:left w:val="single" w:color="000000" w:sz="4" w:space="0"/>
              <w:bottom w:val="single" w:color="000000" w:sz="4" w:space="0"/>
              <w:right w:val="single" w:color="000000" w:sz="4" w:space="0"/>
            </w:tcBorders>
            <w:vAlign w:val="center"/>
          </w:tcPr>
          <w:p w14:paraId="096942B5">
            <w:pPr>
              <w:widowControl/>
              <w:jc w:val="center"/>
              <w:textAlignment w:val="center"/>
              <w:rPr>
                <w:rFonts w:ascii="宋体" w:hAnsi="宋体"/>
                <w:color w:val="000000"/>
                <w:szCs w:val="21"/>
              </w:rPr>
            </w:pPr>
            <w:r>
              <w:rPr>
                <w:rFonts w:hint="eastAsia" w:ascii="宋体" w:hAnsi="宋体"/>
                <w:color w:val="000000"/>
                <w:kern w:val="0"/>
                <w:szCs w:val="21"/>
                <w:lang w:bidi="ar"/>
              </w:rPr>
              <w:t>480g</w:t>
            </w:r>
          </w:p>
        </w:tc>
        <w:tc>
          <w:tcPr>
            <w:tcW w:w="1495" w:type="dxa"/>
            <w:tcBorders>
              <w:top w:val="single" w:color="000000" w:sz="4" w:space="0"/>
              <w:left w:val="single" w:color="000000" w:sz="4" w:space="0"/>
              <w:bottom w:val="single" w:color="000000" w:sz="4" w:space="0"/>
              <w:right w:val="single" w:color="000000" w:sz="4" w:space="0"/>
            </w:tcBorders>
            <w:vAlign w:val="center"/>
          </w:tcPr>
          <w:p w14:paraId="2630C5D0">
            <w:pPr>
              <w:widowControl/>
              <w:jc w:val="center"/>
              <w:textAlignment w:val="center"/>
              <w:rPr>
                <w:rFonts w:ascii="宋体" w:hAnsi="宋体"/>
                <w:color w:val="000000"/>
                <w:szCs w:val="21"/>
              </w:rPr>
            </w:pPr>
            <w:r>
              <w:rPr>
                <w:rFonts w:hint="eastAsia" w:ascii="宋体" w:hAnsi="宋体"/>
                <w:color w:val="000000"/>
                <w:kern w:val="0"/>
                <w:szCs w:val="21"/>
                <w:lang w:bidi="ar"/>
              </w:rPr>
              <w:t>盒</w:t>
            </w:r>
          </w:p>
        </w:tc>
        <w:tc>
          <w:tcPr>
            <w:tcW w:w="1291" w:type="dxa"/>
            <w:tcBorders>
              <w:top w:val="single" w:color="000000" w:sz="4" w:space="0"/>
              <w:left w:val="single" w:color="000000" w:sz="4" w:space="0"/>
              <w:bottom w:val="single" w:color="000000" w:sz="4" w:space="0"/>
              <w:right w:val="single" w:color="000000" w:sz="4" w:space="0"/>
            </w:tcBorders>
            <w:vAlign w:val="center"/>
          </w:tcPr>
          <w:p w14:paraId="38218EE9">
            <w:pPr>
              <w:widowControl/>
              <w:jc w:val="center"/>
              <w:textAlignment w:val="center"/>
              <w:rPr>
                <w:rFonts w:ascii="宋体" w:hAnsi="宋体"/>
                <w:color w:val="000000"/>
                <w:szCs w:val="21"/>
              </w:rPr>
            </w:pPr>
            <w:r>
              <w:rPr>
                <w:rFonts w:hint="eastAsia" w:ascii="宋体" w:hAnsi="宋体"/>
                <w:color w:val="000000"/>
                <w:kern w:val="0"/>
                <w:szCs w:val="21"/>
                <w:lang w:bidi="ar"/>
              </w:rPr>
              <w:t>15.9</w:t>
            </w:r>
          </w:p>
        </w:tc>
      </w:tr>
      <w:tr w14:paraId="33B7CD95">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5A9551AD">
            <w:pPr>
              <w:jc w:val="center"/>
              <w:rPr>
                <w:rFonts w:ascii="宋体" w:hAnsi="宋体"/>
                <w:color w:val="000000"/>
                <w:szCs w:val="21"/>
              </w:rPr>
            </w:pPr>
            <w:r>
              <w:rPr>
                <w:rFonts w:hint="eastAsia" w:ascii="宋体" w:hAnsi="宋体"/>
                <w:color w:val="000000"/>
                <w:szCs w:val="21"/>
              </w:rPr>
              <w:t>18</w:t>
            </w:r>
          </w:p>
        </w:tc>
        <w:tc>
          <w:tcPr>
            <w:tcW w:w="3828" w:type="dxa"/>
            <w:tcBorders>
              <w:top w:val="single" w:color="000000" w:sz="4" w:space="0"/>
              <w:left w:val="single" w:color="000000" w:sz="4" w:space="0"/>
              <w:bottom w:val="single" w:color="000000" w:sz="4" w:space="0"/>
              <w:right w:val="single" w:color="000000" w:sz="4" w:space="0"/>
            </w:tcBorders>
            <w:vAlign w:val="center"/>
          </w:tcPr>
          <w:p w14:paraId="2D6B4F69">
            <w:pPr>
              <w:widowControl/>
              <w:jc w:val="center"/>
              <w:textAlignment w:val="center"/>
              <w:rPr>
                <w:rFonts w:ascii="宋体" w:hAnsi="宋体"/>
                <w:color w:val="000000"/>
                <w:szCs w:val="21"/>
              </w:rPr>
            </w:pPr>
            <w:r>
              <w:rPr>
                <w:rFonts w:hint="eastAsia" w:ascii="宋体" w:hAnsi="宋体"/>
                <w:color w:val="000000"/>
                <w:kern w:val="0"/>
                <w:szCs w:val="21"/>
                <w:lang w:bidi="ar"/>
              </w:rPr>
              <w:t>乡下香多味翅尖</w:t>
            </w:r>
          </w:p>
        </w:tc>
        <w:tc>
          <w:tcPr>
            <w:tcW w:w="2407" w:type="dxa"/>
            <w:tcBorders>
              <w:top w:val="single" w:color="000000" w:sz="4" w:space="0"/>
              <w:left w:val="single" w:color="000000" w:sz="4" w:space="0"/>
              <w:bottom w:val="single" w:color="000000" w:sz="4" w:space="0"/>
              <w:right w:val="single" w:color="000000" w:sz="4" w:space="0"/>
            </w:tcBorders>
            <w:vAlign w:val="center"/>
          </w:tcPr>
          <w:p w14:paraId="08D248C3">
            <w:pPr>
              <w:widowControl/>
              <w:jc w:val="center"/>
              <w:textAlignment w:val="center"/>
              <w:rPr>
                <w:rFonts w:ascii="宋体" w:hAnsi="宋体"/>
                <w:color w:val="000000"/>
                <w:szCs w:val="21"/>
              </w:rPr>
            </w:pPr>
            <w:r>
              <w:rPr>
                <w:rFonts w:hint="eastAsia" w:ascii="宋体" w:hAnsi="宋体"/>
                <w:color w:val="000000"/>
                <w:kern w:val="0"/>
                <w:szCs w:val="21"/>
                <w:lang w:bidi="ar"/>
              </w:rPr>
              <w:t>26g*20（包）</w:t>
            </w:r>
          </w:p>
        </w:tc>
        <w:tc>
          <w:tcPr>
            <w:tcW w:w="1495" w:type="dxa"/>
            <w:tcBorders>
              <w:top w:val="single" w:color="000000" w:sz="4" w:space="0"/>
              <w:left w:val="single" w:color="000000" w:sz="4" w:space="0"/>
              <w:bottom w:val="single" w:color="000000" w:sz="4" w:space="0"/>
              <w:right w:val="single" w:color="000000" w:sz="4" w:space="0"/>
            </w:tcBorders>
            <w:vAlign w:val="center"/>
          </w:tcPr>
          <w:p w14:paraId="391C97EA">
            <w:pPr>
              <w:widowControl/>
              <w:jc w:val="center"/>
              <w:textAlignment w:val="center"/>
              <w:rPr>
                <w:rFonts w:ascii="宋体" w:hAnsi="宋体"/>
                <w:color w:val="000000"/>
                <w:szCs w:val="21"/>
              </w:rPr>
            </w:pPr>
            <w:r>
              <w:rPr>
                <w:rFonts w:hint="eastAsia" w:ascii="宋体" w:hAnsi="宋体"/>
                <w:color w:val="000000"/>
                <w:kern w:val="0"/>
                <w:szCs w:val="21"/>
                <w:lang w:bidi="ar"/>
              </w:rPr>
              <w:t>组</w:t>
            </w:r>
          </w:p>
        </w:tc>
        <w:tc>
          <w:tcPr>
            <w:tcW w:w="1291" w:type="dxa"/>
            <w:tcBorders>
              <w:top w:val="single" w:color="000000" w:sz="4" w:space="0"/>
              <w:left w:val="single" w:color="000000" w:sz="4" w:space="0"/>
              <w:bottom w:val="single" w:color="000000" w:sz="4" w:space="0"/>
              <w:right w:val="single" w:color="000000" w:sz="4" w:space="0"/>
            </w:tcBorders>
            <w:vAlign w:val="center"/>
          </w:tcPr>
          <w:p w14:paraId="18FCC254">
            <w:pPr>
              <w:widowControl/>
              <w:jc w:val="center"/>
              <w:textAlignment w:val="center"/>
              <w:rPr>
                <w:rFonts w:ascii="宋体" w:hAnsi="宋体"/>
                <w:color w:val="000000"/>
                <w:szCs w:val="21"/>
              </w:rPr>
            </w:pPr>
            <w:r>
              <w:rPr>
                <w:rFonts w:hint="eastAsia" w:ascii="宋体" w:hAnsi="宋体"/>
                <w:color w:val="000000"/>
                <w:kern w:val="0"/>
                <w:szCs w:val="21"/>
                <w:lang w:bidi="ar"/>
              </w:rPr>
              <w:t>15.5</w:t>
            </w:r>
          </w:p>
        </w:tc>
      </w:tr>
      <w:tr w14:paraId="542D39B9">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2D56A865">
            <w:pPr>
              <w:jc w:val="center"/>
              <w:rPr>
                <w:rFonts w:ascii="宋体" w:hAnsi="宋体"/>
                <w:color w:val="000000"/>
                <w:szCs w:val="21"/>
              </w:rPr>
            </w:pPr>
            <w:r>
              <w:rPr>
                <w:rFonts w:hint="eastAsia" w:ascii="宋体" w:hAnsi="宋体"/>
                <w:color w:val="000000"/>
                <w:szCs w:val="21"/>
              </w:rPr>
              <w:t>19</w:t>
            </w:r>
          </w:p>
        </w:tc>
        <w:tc>
          <w:tcPr>
            <w:tcW w:w="3828" w:type="dxa"/>
            <w:tcBorders>
              <w:top w:val="single" w:color="000000" w:sz="4" w:space="0"/>
              <w:left w:val="single" w:color="000000" w:sz="4" w:space="0"/>
              <w:bottom w:val="single" w:color="000000" w:sz="4" w:space="0"/>
              <w:right w:val="single" w:color="000000" w:sz="4" w:space="0"/>
            </w:tcBorders>
            <w:vAlign w:val="center"/>
          </w:tcPr>
          <w:p w14:paraId="7086E74E">
            <w:pPr>
              <w:widowControl/>
              <w:jc w:val="center"/>
              <w:textAlignment w:val="center"/>
              <w:rPr>
                <w:rFonts w:ascii="宋体" w:hAnsi="宋体"/>
                <w:color w:val="000000"/>
                <w:szCs w:val="21"/>
              </w:rPr>
            </w:pPr>
            <w:r>
              <w:rPr>
                <w:rFonts w:hint="eastAsia" w:ascii="宋体" w:hAnsi="宋体"/>
                <w:color w:val="000000"/>
                <w:kern w:val="0"/>
                <w:szCs w:val="21"/>
                <w:lang w:bidi="ar"/>
              </w:rPr>
              <w:t>洽洽五香味香瓜子</w:t>
            </w:r>
          </w:p>
        </w:tc>
        <w:tc>
          <w:tcPr>
            <w:tcW w:w="2407" w:type="dxa"/>
            <w:tcBorders>
              <w:top w:val="single" w:color="000000" w:sz="4" w:space="0"/>
              <w:left w:val="single" w:color="000000" w:sz="4" w:space="0"/>
              <w:bottom w:val="single" w:color="000000" w:sz="4" w:space="0"/>
              <w:right w:val="single" w:color="000000" w:sz="4" w:space="0"/>
            </w:tcBorders>
            <w:vAlign w:val="center"/>
          </w:tcPr>
          <w:p w14:paraId="02649985">
            <w:pPr>
              <w:widowControl/>
              <w:jc w:val="center"/>
              <w:textAlignment w:val="center"/>
              <w:rPr>
                <w:rFonts w:ascii="宋体" w:hAnsi="宋体"/>
                <w:color w:val="000000"/>
                <w:szCs w:val="21"/>
              </w:rPr>
            </w:pPr>
            <w:r>
              <w:rPr>
                <w:rFonts w:hint="eastAsia" w:ascii="宋体" w:hAnsi="宋体"/>
                <w:color w:val="000000"/>
                <w:kern w:val="0"/>
                <w:szCs w:val="21"/>
                <w:lang w:bidi="ar"/>
              </w:rPr>
              <w:t>110g*5（包）</w:t>
            </w:r>
          </w:p>
        </w:tc>
        <w:tc>
          <w:tcPr>
            <w:tcW w:w="1495" w:type="dxa"/>
            <w:tcBorders>
              <w:top w:val="single" w:color="000000" w:sz="4" w:space="0"/>
              <w:left w:val="single" w:color="000000" w:sz="4" w:space="0"/>
              <w:bottom w:val="single" w:color="000000" w:sz="4" w:space="0"/>
              <w:right w:val="single" w:color="000000" w:sz="4" w:space="0"/>
            </w:tcBorders>
            <w:vAlign w:val="center"/>
          </w:tcPr>
          <w:p w14:paraId="4D59B6D3">
            <w:pPr>
              <w:widowControl/>
              <w:jc w:val="center"/>
              <w:textAlignment w:val="center"/>
              <w:rPr>
                <w:rFonts w:ascii="宋体" w:hAnsi="宋体"/>
                <w:color w:val="000000"/>
                <w:szCs w:val="21"/>
              </w:rPr>
            </w:pPr>
            <w:r>
              <w:rPr>
                <w:rFonts w:hint="eastAsia" w:ascii="宋体" w:hAnsi="宋体"/>
                <w:color w:val="000000"/>
                <w:kern w:val="0"/>
                <w:szCs w:val="21"/>
                <w:lang w:bidi="ar"/>
              </w:rPr>
              <w:t>组</w:t>
            </w:r>
          </w:p>
        </w:tc>
        <w:tc>
          <w:tcPr>
            <w:tcW w:w="1291" w:type="dxa"/>
            <w:tcBorders>
              <w:top w:val="single" w:color="000000" w:sz="4" w:space="0"/>
              <w:left w:val="single" w:color="000000" w:sz="4" w:space="0"/>
              <w:bottom w:val="single" w:color="000000" w:sz="4" w:space="0"/>
              <w:right w:val="single" w:color="000000" w:sz="4" w:space="0"/>
            </w:tcBorders>
            <w:vAlign w:val="center"/>
          </w:tcPr>
          <w:p w14:paraId="05C791B3">
            <w:pPr>
              <w:widowControl/>
              <w:jc w:val="center"/>
              <w:textAlignment w:val="center"/>
              <w:rPr>
                <w:rFonts w:ascii="宋体" w:hAnsi="宋体"/>
                <w:color w:val="000000"/>
                <w:szCs w:val="21"/>
              </w:rPr>
            </w:pPr>
            <w:r>
              <w:rPr>
                <w:rFonts w:hint="eastAsia" w:ascii="宋体" w:hAnsi="宋体"/>
                <w:color w:val="000000"/>
                <w:kern w:val="0"/>
                <w:szCs w:val="21"/>
                <w:lang w:bidi="ar"/>
              </w:rPr>
              <w:t>17.9</w:t>
            </w:r>
          </w:p>
        </w:tc>
      </w:tr>
      <w:tr w14:paraId="021B96B5">
        <w:tblPrEx>
          <w:tblCellMar>
            <w:top w:w="0" w:type="dxa"/>
            <w:left w:w="108" w:type="dxa"/>
            <w:bottom w:w="0" w:type="dxa"/>
            <w:right w:w="108" w:type="dxa"/>
          </w:tblCellMar>
        </w:tblPrEx>
        <w:trPr>
          <w:trHeight w:val="567"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660C42CD">
            <w:pPr>
              <w:jc w:val="center"/>
              <w:rPr>
                <w:rFonts w:ascii="宋体" w:hAnsi="宋体"/>
                <w:color w:val="000000"/>
                <w:szCs w:val="21"/>
              </w:rPr>
            </w:pPr>
            <w:r>
              <w:rPr>
                <w:rFonts w:hint="eastAsia" w:ascii="宋体" w:hAnsi="宋体"/>
                <w:color w:val="000000"/>
                <w:szCs w:val="21"/>
              </w:rPr>
              <w:t>20</w:t>
            </w:r>
          </w:p>
        </w:tc>
        <w:tc>
          <w:tcPr>
            <w:tcW w:w="3828" w:type="dxa"/>
            <w:tcBorders>
              <w:top w:val="single" w:color="000000" w:sz="4" w:space="0"/>
              <w:left w:val="single" w:color="000000" w:sz="4" w:space="0"/>
              <w:bottom w:val="single" w:color="000000" w:sz="4" w:space="0"/>
              <w:right w:val="single" w:color="000000" w:sz="4" w:space="0"/>
            </w:tcBorders>
            <w:vAlign w:val="center"/>
          </w:tcPr>
          <w:p w14:paraId="7F6B8F15">
            <w:pPr>
              <w:widowControl/>
              <w:jc w:val="center"/>
              <w:textAlignment w:val="center"/>
              <w:rPr>
                <w:rFonts w:ascii="宋体" w:hAnsi="宋体"/>
                <w:color w:val="000000"/>
                <w:szCs w:val="21"/>
              </w:rPr>
            </w:pPr>
            <w:r>
              <w:rPr>
                <w:rFonts w:hint="eastAsia" w:ascii="宋体" w:hAnsi="宋体"/>
                <w:color w:val="000000"/>
                <w:kern w:val="0"/>
                <w:szCs w:val="21"/>
                <w:lang w:bidi="ar"/>
              </w:rPr>
              <w:t>旺仔牛奶糖混合口味</w:t>
            </w:r>
          </w:p>
        </w:tc>
        <w:tc>
          <w:tcPr>
            <w:tcW w:w="2407" w:type="dxa"/>
            <w:tcBorders>
              <w:top w:val="single" w:color="000000" w:sz="4" w:space="0"/>
              <w:left w:val="single" w:color="000000" w:sz="4" w:space="0"/>
              <w:bottom w:val="single" w:color="000000" w:sz="4" w:space="0"/>
              <w:right w:val="single" w:color="000000" w:sz="4" w:space="0"/>
            </w:tcBorders>
            <w:vAlign w:val="center"/>
          </w:tcPr>
          <w:p w14:paraId="5C5D05F3">
            <w:pPr>
              <w:widowControl/>
              <w:jc w:val="center"/>
              <w:textAlignment w:val="center"/>
              <w:rPr>
                <w:rFonts w:ascii="宋体" w:hAnsi="宋体"/>
                <w:color w:val="000000"/>
                <w:szCs w:val="21"/>
              </w:rPr>
            </w:pPr>
            <w:r>
              <w:rPr>
                <w:rFonts w:hint="eastAsia" w:ascii="宋体" w:hAnsi="宋体"/>
                <w:color w:val="000000"/>
                <w:kern w:val="0"/>
                <w:szCs w:val="21"/>
                <w:lang w:bidi="ar"/>
              </w:rPr>
              <w:t>500g</w:t>
            </w:r>
          </w:p>
        </w:tc>
        <w:tc>
          <w:tcPr>
            <w:tcW w:w="1495" w:type="dxa"/>
            <w:tcBorders>
              <w:top w:val="single" w:color="000000" w:sz="4" w:space="0"/>
              <w:left w:val="single" w:color="000000" w:sz="4" w:space="0"/>
              <w:bottom w:val="single" w:color="000000" w:sz="4" w:space="0"/>
              <w:right w:val="single" w:color="000000" w:sz="4" w:space="0"/>
            </w:tcBorders>
            <w:vAlign w:val="center"/>
          </w:tcPr>
          <w:p w14:paraId="77BA15B6">
            <w:pPr>
              <w:widowControl/>
              <w:jc w:val="center"/>
              <w:textAlignment w:val="center"/>
              <w:rPr>
                <w:rFonts w:ascii="宋体" w:hAnsi="宋体"/>
                <w:color w:val="000000"/>
                <w:szCs w:val="21"/>
              </w:rPr>
            </w:pPr>
            <w:r>
              <w:rPr>
                <w:rFonts w:hint="eastAsia" w:ascii="宋体" w:hAnsi="宋体"/>
                <w:color w:val="000000"/>
                <w:kern w:val="0"/>
                <w:szCs w:val="21"/>
                <w:lang w:bidi="ar"/>
              </w:rPr>
              <w:t>包</w:t>
            </w:r>
          </w:p>
        </w:tc>
        <w:tc>
          <w:tcPr>
            <w:tcW w:w="1291" w:type="dxa"/>
            <w:tcBorders>
              <w:top w:val="single" w:color="000000" w:sz="4" w:space="0"/>
              <w:left w:val="single" w:color="000000" w:sz="4" w:space="0"/>
              <w:bottom w:val="single" w:color="000000" w:sz="4" w:space="0"/>
              <w:right w:val="single" w:color="000000" w:sz="4" w:space="0"/>
            </w:tcBorders>
            <w:vAlign w:val="center"/>
          </w:tcPr>
          <w:p w14:paraId="38DFF089">
            <w:pPr>
              <w:widowControl/>
              <w:jc w:val="center"/>
              <w:textAlignment w:val="center"/>
              <w:rPr>
                <w:rFonts w:ascii="宋体" w:hAnsi="宋体"/>
                <w:color w:val="000000"/>
                <w:szCs w:val="21"/>
              </w:rPr>
            </w:pPr>
            <w:r>
              <w:rPr>
                <w:rFonts w:hint="eastAsia" w:ascii="宋体" w:hAnsi="宋体"/>
                <w:color w:val="000000"/>
                <w:kern w:val="0"/>
                <w:szCs w:val="21"/>
                <w:lang w:bidi="ar"/>
              </w:rPr>
              <w:t>21.9</w:t>
            </w:r>
          </w:p>
        </w:tc>
      </w:tr>
    </w:tbl>
    <w:p w14:paraId="7771568C">
      <w:pPr>
        <w:pStyle w:val="11"/>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配送方式</w:t>
      </w:r>
    </w:p>
    <w:p w14:paraId="52122CED">
      <w:pPr>
        <w:numPr>
          <w:ilvl w:val="0"/>
          <w:numId w:val="14"/>
        </w:numPr>
        <w:spacing w:line="360" w:lineRule="auto"/>
        <w:rPr>
          <w:rFonts w:ascii="宋体" w:hAnsi="宋体"/>
          <w:szCs w:val="21"/>
        </w:rPr>
      </w:pPr>
      <w:r>
        <w:rPr>
          <w:rFonts w:hint="eastAsia" w:ascii="宋体" w:hAnsi="宋体"/>
          <w:szCs w:val="21"/>
        </w:rPr>
        <w:t>采购人于每月15日前将本月采购计划发送给成交供应商；成交供应商收到采购人采购单后10个工作日内（紧急采购除外）将物品送达至采购人指定地点，并根据采购人要求，将产品按要求进行分类打包装箱。</w:t>
      </w:r>
    </w:p>
    <w:p w14:paraId="1E525871">
      <w:pPr>
        <w:numPr>
          <w:ilvl w:val="0"/>
          <w:numId w:val="14"/>
        </w:numPr>
        <w:spacing w:line="360" w:lineRule="auto"/>
        <w:rPr>
          <w:rFonts w:ascii="宋体" w:hAnsi="宋体"/>
          <w:szCs w:val="21"/>
          <w:u w:val="single"/>
        </w:rPr>
      </w:pPr>
      <w:r>
        <w:rPr>
          <w:rFonts w:hint="eastAsia" w:ascii="宋体" w:hAnsi="宋体"/>
          <w:szCs w:val="21"/>
        </w:rPr>
        <w:t>交货地点：广东省肇庆监狱监管区。</w:t>
      </w:r>
    </w:p>
    <w:p w14:paraId="5817A072">
      <w:pPr>
        <w:pStyle w:val="11"/>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货物清单</w:t>
      </w:r>
    </w:p>
    <w:p w14:paraId="1D731480">
      <w:pPr>
        <w:numPr>
          <w:ilvl w:val="0"/>
          <w:numId w:val="15"/>
        </w:numPr>
        <w:spacing w:line="360" w:lineRule="auto"/>
        <w:rPr>
          <w:rFonts w:ascii="宋体" w:hAnsi="宋体"/>
          <w:szCs w:val="21"/>
        </w:rPr>
      </w:pPr>
      <w:r>
        <w:rPr>
          <w:rFonts w:hint="eastAsia" w:ascii="宋体" w:hAnsi="宋体"/>
          <w:szCs w:val="21"/>
        </w:rPr>
        <w:t>货物清单详见本用户需求书“二、项目内容”清单。</w:t>
      </w:r>
    </w:p>
    <w:p w14:paraId="62E6393B">
      <w:pPr>
        <w:numPr>
          <w:ilvl w:val="0"/>
          <w:numId w:val="15"/>
        </w:numPr>
        <w:spacing w:line="360" w:lineRule="auto"/>
        <w:rPr>
          <w:rFonts w:ascii="宋体" w:hAnsi="宋体"/>
          <w:szCs w:val="21"/>
        </w:rPr>
      </w:pPr>
      <w:r>
        <w:rPr>
          <w:rFonts w:hint="eastAsia" w:ascii="宋体" w:hAnsi="宋体"/>
          <w:szCs w:val="21"/>
        </w:rPr>
        <w:t>月度支付费用=对应货物单价最高限价（元）×（1-成交下浮率）×月度实际供货数量。</w:t>
      </w:r>
    </w:p>
    <w:p w14:paraId="352E7842">
      <w:pPr>
        <w:numPr>
          <w:ilvl w:val="0"/>
          <w:numId w:val="15"/>
        </w:numPr>
        <w:spacing w:line="360" w:lineRule="auto"/>
        <w:rPr>
          <w:rFonts w:ascii="宋体" w:hAnsi="宋体"/>
          <w:szCs w:val="21"/>
        </w:rPr>
      </w:pPr>
      <w:r>
        <w:rPr>
          <w:rFonts w:hint="eastAsia" w:ascii="宋体" w:hAnsi="宋体"/>
          <w:szCs w:val="21"/>
        </w:rPr>
        <w:t>采购品目和实际采购数量以采购人通知为准，最终以实际采购量进行结算。</w:t>
      </w:r>
    </w:p>
    <w:p w14:paraId="52C83E10">
      <w:pPr>
        <w:pStyle w:val="11"/>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项目金额</w:t>
      </w:r>
    </w:p>
    <w:p w14:paraId="6701CD98">
      <w:pPr>
        <w:numPr>
          <w:ilvl w:val="0"/>
          <w:numId w:val="16"/>
        </w:numPr>
        <w:spacing w:line="360" w:lineRule="auto"/>
        <w:rPr>
          <w:rFonts w:ascii="宋体" w:hAnsi="宋体"/>
          <w:szCs w:val="21"/>
        </w:rPr>
      </w:pPr>
      <w:r>
        <w:rPr>
          <w:rFonts w:hint="eastAsia" w:ascii="宋体" w:hAnsi="宋体"/>
          <w:szCs w:val="21"/>
        </w:rPr>
        <w:t>项目预算总价：人民币</w:t>
      </w:r>
      <w:r>
        <w:rPr>
          <w:rFonts w:hint="eastAsia" w:ascii="宋体" w:hAnsi="宋体"/>
          <w:szCs w:val="21"/>
          <w:u w:val="single"/>
        </w:rPr>
        <w:t>壹拾伍</w:t>
      </w:r>
      <w:r>
        <w:rPr>
          <w:rFonts w:hint="eastAsia" w:ascii="宋体" w:hAnsi="宋体"/>
          <w:szCs w:val="21"/>
        </w:rPr>
        <w:t xml:space="preserve">万元整 （¥ </w:t>
      </w:r>
      <w:r>
        <w:rPr>
          <w:rFonts w:hint="eastAsia" w:ascii="宋体" w:hAnsi="宋体"/>
          <w:szCs w:val="21"/>
          <w:u w:val="single"/>
        </w:rPr>
        <w:t>150000</w:t>
      </w:r>
      <w:r>
        <w:rPr>
          <w:rFonts w:hint="eastAsia" w:ascii="宋体" w:hAnsi="宋体"/>
          <w:szCs w:val="21"/>
        </w:rPr>
        <w:t>）。</w:t>
      </w:r>
    </w:p>
    <w:p w14:paraId="4B391BA2">
      <w:pPr>
        <w:numPr>
          <w:ilvl w:val="0"/>
          <w:numId w:val="16"/>
        </w:numPr>
        <w:spacing w:line="360" w:lineRule="auto"/>
        <w:rPr>
          <w:rFonts w:ascii="宋体" w:hAnsi="宋体"/>
          <w:szCs w:val="21"/>
        </w:rPr>
      </w:pPr>
      <w:r>
        <w:rPr>
          <w:rFonts w:hint="eastAsia" w:ascii="宋体" w:hAnsi="宋体"/>
          <w:szCs w:val="21"/>
        </w:rPr>
        <w:t>本项目实行固定结算单价包干，供应商报价应包括货款、材料费、运费、装卸费、安装费、验收、税费、保险费、质保期服务及其他完成本项目所需的各项费用，项目实施后成交供应商不得另行收取其他任何费用。</w:t>
      </w:r>
    </w:p>
    <w:p w14:paraId="68E5E067">
      <w:pPr>
        <w:numPr>
          <w:ilvl w:val="0"/>
          <w:numId w:val="16"/>
        </w:numPr>
        <w:spacing w:line="360" w:lineRule="auto"/>
        <w:rPr>
          <w:rFonts w:ascii="宋体" w:hAnsi="宋体"/>
          <w:szCs w:val="21"/>
        </w:rPr>
      </w:pPr>
      <w:r>
        <w:rPr>
          <w:rFonts w:hint="eastAsia" w:ascii="宋体" w:hAnsi="宋体"/>
          <w:szCs w:val="21"/>
        </w:rPr>
        <w:t>合同期：合同服务期为一年。合同期满或采购人累计采购量达到合同金额后则合同终止，以先到者为准。</w:t>
      </w:r>
    </w:p>
    <w:p w14:paraId="55DEC55B">
      <w:pPr>
        <w:pStyle w:val="11"/>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合同签订期限</w:t>
      </w:r>
    </w:p>
    <w:p w14:paraId="5E460A26">
      <w:pPr>
        <w:pStyle w:val="11"/>
        <w:tabs>
          <w:tab w:val="left" w:pos="540"/>
        </w:tabs>
        <w:adjustRightInd w:val="0"/>
        <w:snapToGrid w:val="0"/>
        <w:spacing w:line="360" w:lineRule="auto"/>
        <w:ind w:firstLine="420" w:firstLineChars="200"/>
        <w:rPr>
          <w:rFonts w:hAnsi="宋体" w:cs="宋体"/>
          <w:color w:val="000000"/>
          <w:sz w:val="21"/>
        </w:rPr>
      </w:pPr>
      <w:r>
        <w:rPr>
          <w:rFonts w:hint="eastAsia" w:hAnsi="宋体" w:cs="宋体"/>
          <w:color w:val="000000"/>
          <w:sz w:val="21"/>
        </w:rPr>
        <w:t>成交供应商与采购人在结果公告发布之日起15个工作日内签订合同。</w:t>
      </w:r>
    </w:p>
    <w:p w14:paraId="400048B1">
      <w:pPr>
        <w:pStyle w:val="11"/>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供货要求</w:t>
      </w:r>
    </w:p>
    <w:p w14:paraId="65F195ED">
      <w:pPr>
        <w:numPr>
          <w:ilvl w:val="0"/>
          <w:numId w:val="17"/>
        </w:numPr>
        <w:spacing w:line="360" w:lineRule="auto"/>
        <w:rPr>
          <w:rFonts w:ascii="宋体" w:hAnsi="宋体"/>
          <w:szCs w:val="21"/>
        </w:rPr>
      </w:pPr>
      <w:r>
        <w:rPr>
          <w:rFonts w:hint="eastAsia" w:ascii="宋体" w:hAnsi="宋体"/>
          <w:szCs w:val="21"/>
        </w:rPr>
        <w:t>所供应的货物必须正规渠道进货，产品质量达到国家标准；货物牌标识内容清晰、有出厂合格证。产品质量应符合中华人民共和国国家安全质量标准、环保标准、行业标准，且所提供货物在交货时剩余保质期不低于原有保质期的三分之二。</w:t>
      </w:r>
    </w:p>
    <w:p w14:paraId="001186F5">
      <w:pPr>
        <w:spacing w:line="360" w:lineRule="auto"/>
        <w:ind w:firstLine="420" w:firstLineChars="200"/>
        <w:rPr>
          <w:rFonts w:ascii="宋体" w:hAnsi="宋体"/>
          <w:szCs w:val="21"/>
        </w:rPr>
      </w:pPr>
      <w:r>
        <w:rPr>
          <w:rFonts w:hint="eastAsia" w:ascii="宋体" w:hAnsi="宋体"/>
          <w:szCs w:val="21"/>
        </w:rPr>
        <w:t>实际采购中，采购人将按核定的结算单价金额进行支付，成交供应商不得拒绝供货或提高单价，供货数量由采购人根据实际需要提出。</w:t>
      </w:r>
    </w:p>
    <w:p w14:paraId="3B732106">
      <w:pPr>
        <w:numPr>
          <w:ilvl w:val="0"/>
          <w:numId w:val="17"/>
        </w:numPr>
        <w:spacing w:line="360" w:lineRule="auto"/>
        <w:rPr>
          <w:rFonts w:ascii="宋体" w:hAnsi="宋体"/>
          <w:szCs w:val="21"/>
        </w:rPr>
      </w:pPr>
      <w:r>
        <w:rPr>
          <w:rFonts w:hint="eastAsia" w:ascii="宋体" w:hAnsi="宋体"/>
          <w:szCs w:val="21"/>
        </w:rPr>
        <w:t>成交供应商在实施过程中如果质量不符合国家有关规范或合同的有关规定，采购人有权退货或拒绝收货，成交供应商必须无条件进行换货，并承担由此产生的各种费用，供货期不予顺延。</w:t>
      </w:r>
    </w:p>
    <w:p w14:paraId="4AC6A99D">
      <w:pPr>
        <w:numPr>
          <w:ilvl w:val="0"/>
          <w:numId w:val="17"/>
        </w:numPr>
        <w:spacing w:line="360" w:lineRule="auto"/>
        <w:rPr>
          <w:rFonts w:ascii="宋体" w:hAnsi="宋体"/>
          <w:szCs w:val="21"/>
        </w:rPr>
      </w:pPr>
      <w:r>
        <w:rPr>
          <w:rFonts w:hint="eastAsia" w:ascii="宋体" w:hAnsi="宋体"/>
          <w:szCs w:val="21"/>
        </w:rPr>
        <w:t>紧急采购的物品，成交供应商应于24小时内响应并送达。</w:t>
      </w:r>
    </w:p>
    <w:p w14:paraId="4265C99F">
      <w:pPr>
        <w:numPr>
          <w:ilvl w:val="0"/>
          <w:numId w:val="17"/>
        </w:numPr>
        <w:spacing w:line="360" w:lineRule="auto"/>
        <w:rPr>
          <w:rFonts w:ascii="宋体" w:hAnsi="宋体"/>
          <w:szCs w:val="21"/>
        </w:rPr>
      </w:pPr>
      <w:r>
        <w:rPr>
          <w:rFonts w:hint="eastAsia" w:ascii="宋体" w:hAnsi="宋体"/>
          <w:szCs w:val="21"/>
        </w:rPr>
        <w:t>货物到达交货地点之前的所有保险费用和派往采购人进行服务人员的人身险和其他有关险种，以及有关费用由成交供应商负责。</w:t>
      </w:r>
    </w:p>
    <w:p w14:paraId="55F4AD94">
      <w:pPr>
        <w:pStyle w:val="11"/>
        <w:numPr>
          <w:ilvl w:val="0"/>
          <w:numId w:val="13"/>
        </w:numPr>
        <w:tabs>
          <w:tab w:val="left" w:pos="540"/>
        </w:tabs>
        <w:adjustRightInd w:val="0"/>
        <w:snapToGrid w:val="0"/>
        <w:spacing w:line="360" w:lineRule="auto"/>
        <w:rPr>
          <w:rFonts w:hAnsi="宋体" w:cs="宋体"/>
          <w:sz w:val="21"/>
        </w:rPr>
      </w:pPr>
      <w:r>
        <w:rPr>
          <w:rFonts w:hint="eastAsia" w:hAnsi="宋体" w:cs="宋体"/>
          <w:b/>
          <w:bCs/>
          <w:color w:val="000000"/>
          <w:sz w:val="21"/>
        </w:rPr>
        <w:t>验收要求</w:t>
      </w:r>
    </w:p>
    <w:p w14:paraId="26B3F849">
      <w:pPr>
        <w:spacing w:line="360" w:lineRule="auto"/>
        <w:ind w:firstLine="420" w:firstLineChars="200"/>
        <w:rPr>
          <w:rFonts w:ascii="宋体" w:hAnsi="宋体"/>
          <w:szCs w:val="21"/>
        </w:rPr>
      </w:pPr>
      <w:r>
        <w:rPr>
          <w:rFonts w:hint="eastAsia" w:ascii="宋体" w:hAnsi="宋体"/>
          <w:szCs w:val="21"/>
        </w:rPr>
        <w:t>（一）要求对全部货物的型号、规格、数量、外型、外观、包装进行验收。所有货物均应符合国内有关行业标准，须为原制造商的全新产品，无污染，无侵权行为，表面无划损，无任何缺陷隐患。</w:t>
      </w:r>
    </w:p>
    <w:p w14:paraId="6148C31D">
      <w:pPr>
        <w:spacing w:line="360" w:lineRule="auto"/>
        <w:ind w:firstLine="420" w:firstLineChars="200"/>
        <w:rPr>
          <w:rFonts w:ascii="宋体" w:hAnsi="宋体"/>
          <w:szCs w:val="21"/>
        </w:rPr>
      </w:pPr>
      <w:r>
        <w:rPr>
          <w:rFonts w:hint="eastAsia" w:ascii="宋体" w:hAnsi="宋体"/>
          <w:szCs w:val="21"/>
        </w:rPr>
        <w:t>（二）材料的包装必须是制造商原厂包装，其包装均应有良好的防湿、防锈、防潮、防雨、防腐及防碰撞的措施。凡由于包装不良造成的损失和由此产生的费用均由成交供应商承担。</w:t>
      </w:r>
    </w:p>
    <w:p w14:paraId="3F720B06">
      <w:pPr>
        <w:spacing w:line="360" w:lineRule="auto"/>
        <w:ind w:firstLine="420" w:firstLineChars="200"/>
        <w:rPr>
          <w:rFonts w:ascii="宋体" w:hAnsi="宋体"/>
          <w:szCs w:val="21"/>
        </w:rPr>
      </w:pPr>
      <w:r>
        <w:rPr>
          <w:rFonts w:hint="eastAsia" w:ascii="宋体" w:hAnsi="宋体"/>
          <w:szCs w:val="21"/>
        </w:rPr>
        <w:t>（三）成交供应商应严格按采购人要求（品牌、规格、质量、数量、重量等）供应货物，不得变更。否则，采购人有权退货并自行采购同等质量的货物，由此产生的费用和经济损失均由成交供应商承担，成交供应商还同时承担违约责任。</w:t>
      </w:r>
    </w:p>
    <w:p w14:paraId="151DB6B4">
      <w:pPr>
        <w:spacing w:line="360" w:lineRule="auto"/>
        <w:ind w:firstLine="420" w:firstLineChars="200"/>
        <w:rPr>
          <w:rFonts w:ascii="宋体" w:hAnsi="宋体"/>
          <w:szCs w:val="21"/>
        </w:rPr>
      </w:pPr>
      <w:r>
        <w:rPr>
          <w:rFonts w:hint="eastAsia" w:ascii="宋体" w:hAnsi="宋体"/>
          <w:szCs w:val="21"/>
        </w:rPr>
        <w:t>（四）成交供应商提供不符合品牌档次要求的货物，采购人有权拒收。如成交供应商以次充好，提供的产品不符合采购要求或者达不到报名报价时响应的产品要求，采购人有权将成交供应商列入采购黑名单，一年内不得参与采购人的项目竞价。</w:t>
      </w:r>
    </w:p>
    <w:p w14:paraId="2FF6E2D8">
      <w:pPr>
        <w:pStyle w:val="11"/>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售后服务</w:t>
      </w:r>
    </w:p>
    <w:p w14:paraId="2D694EF0">
      <w:pPr>
        <w:spacing w:line="360" w:lineRule="auto"/>
        <w:ind w:firstLine="420" w:firstLineChars="200"/>
        <w:rPr>
          <w:rFonts w:ascii="宋体" w:hAnsi="宋体"/>
          <w:szCs w:val="21"/>
        </w:rPr>
      </w:pPr>
      <w:r>
        <w:rPr>
          <w:rFonts w:hint="eastAsia" w:ascii="宋体" w:hAnsi="宋体"/>
          <w:szCs w:val="21"/>
        </w:rPr>
        <w:t>（一）采购人对不符合要求的货物，成交供应商必须无条件退货或更换。因成交供应商供应不合格的、假冒伪劣、以次充好的商品而造成采购人安全事故的，采购人马上终止合同、没收全部履约保证金并追究成交供应商相关法律责任。</w:t>
      </w:r>
    </w:p>
    <w:p w14:paraId="3C061831">
      <w:pPr>
        <w:spacing w:line="360" w:lineRule="auto"/>
        <w:ind w:firstLine="420" w:firstLineChars="200"/>
        <w:rPr>
          <w:rFonts w:ascii="宋体" w:hAnsi="宋体"/>
          <w:szCs w:val="21"/>
        </w:rPr>
      </w:pPr>
      <w:r>
        <w:rPr>
          <w:rFonts w:hint="eastAsia" w:ascii="宋体" w:hAnsi="宋体"/>
          <w:szCs w:val="21"/>
        </w:rPr>
        <w:t>（二）接到采购人产品出现问题的通知后，成交供应商应24小时内响应并处理完毕。若在24小时内仍未处理完毕，成交供应商应免费提供相同档次的产品予采购人临时使用或采取应急措施解决，不得影响采购人的正常工作业务。</w:t>
      </w:r>
    </w:p>
    <w:p w14:paraId="50DAE2D2">
      <w:pPr>
        <w:pStyle w:val="11"/>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履约保证金</w:t>
      </w:r>
    </w:p>
    <w:p w14:paraId="783C7604">
      <w:pPr>
        <w:spacing w:line="360" w:lineRule="auto"/>
        <w:ind w:firstLine="422" w:firstLineChars="200"/>
        <w:rPr>
          <w:rFonts w:ascii="宋体" w:hAnsi="宋体"/>
          <w:szCs w:val="21"/>
        </w:rPr>
      </w:pPr>
      <w:r>
        <w:rPr>
          <w:rFonts w:hint="eastAsia" w:ascii="宋体" w:hAnsi="宋体"/>
          <w:b/>
          <w:bCs/>
          <w:szCs w:val="21"/>
        </w:rPr>
        <w:t>（一）缴纳履约保证金。</w:t>
      </w:r>
      <w:r>
        <w:rPr>
          <w:rFonts w:hint="eastAsia" w:ascii="宋体" w:hAnsi="宋体"/>
          <w:szCs w:val="21"/>
        </w:rPr>
        <w:t>签订合同后五个工作日内，成交供应商需提交一份金额为合同金额5%的履约保证金。如成交供应商逾期未足额缴纳履约保证金的，采购人有权立即单方解除本项目合同，如因此造成采购人其他损失的，成交供应商应予以赔偿。</w:t>
      </w:r>
    </w:p>
    <w:p w14:paraId="42886E97">
      <w:pPr>
        <w:spacing w:line="360" w:lineRule="auto"/>
        <w:ind w:firstLine="422" w:firstLineChars="200"/>
        <w:rPr>
          <w:rFonts w:ascii="宋体" w:hAnsi="宋体"/>
          <w:szCs w:val="21"/>
        </w:rPr>
      </w:pPr>
      <w:r>
        <w:rPr>
          <w:rFonts w:hint="eastAsia" w:ascii="宋体" w:hAnsi="宋体"/>
          <w:b/>
          <w:bCs/>
          <w:szCs w:val="21"/>
        </w:rPr>
        <w:t>（二）退还履约保证金。</w:t>
      </w:r>
      <w:r>
        <w:rPr>
          <w:rFonts w:hint="eastAsia" w:ascii="宋体" w:hAnsi="宋体"/>
          <w:szCs w:val="21"/>
        </w:rPr>
        <w:t>成交供应商履行完成合同约定权利义务事项在合同期满之日起且验收合格20个工作日内一次性不计利息退还。</w:t>
      </w:r>
    </w:p>
    <w:p w14:paraId="07076981">
      <w:pPr>
        <w:spacing w:line="360" w:lineRule="auto"/>
        <w:ind w:firstLine="420" w:firstLineChars="200"/>
        <w:rPr>
          <w:rFonts w:ascii="宋体" w:hAnsi="宋体"/>
          <w:szCs w:val="21"/>
        </w:rPr>
      </w:pPr>
      <w:r>
        <w:rPr>
          <w:rFonts w:hint="eastAsia" w:ascii="宋体" w:hAnsi="宋体"/>
          <w:szCs w:val="21"/>
        </w:rPr>
        <w:t>（三）如成交供应商发生以下情形之一，经调查属实的，扣除全部履约保证金并终止合同，如因此造成采购人其他损失的，成交供应商应一并予以赔偿：</w:t>
      </w:r>
    </w:p>
    <w:p w14:paraId="42673AC0">
      <w:pPr>
        <w:spacing w:line="360" w:lineRule="auto"/>
        <w:ind w:firstLine="420" w:firstLineChars="200"/>
        <w:rPr>
          <w:rFonts w:ascii="宋体" w:hAnsi="宋体"/>
          <w:szCs w:val="21"/>
        </w:rPr>
      </w:pPr>
      <w:r>
        <w:rPr>
          <w:rFonts w:hint="eastAsia" w:ascii="宋体" w:hAnsi="宋体"/>
          <w:szCs w:val="21"/>
        </w:rPr>
        <w:t>1、出现货物质量验收不合格2次；</w:t>
      </w:r>
    </w:p>
    <w:p w14:paraId="0D45BD22">
      <w:pPr>
        <w:spacing w:line="360" w:lineRule="auto"/>
        <w:ind w:firstLine="420" w:firstLineChars="200"/>
        <w:rPr>
          <w:rFonts w:ascii="宋体" w:hAnsi="宋体"/>
          <w:szCs w:val="21"/>
        </w:rPr>
      </w:pPr>
      <w:r>
        <w:rPr>
          <w:rFonts w:hint="eastAsia" w:ascii="宋体" w:hAnsi="宋体"/>
          <w:szCs w:val="21"/>
        </w:rPr>
        <w:t>2、出现提供假冒伪劣、以次充好的产品2次；</w:t>
      </w:r>
    </w:p>
    <w:p w14:paraId="47756B9C">
      <w:pPr>
        <w:spacing w:line="360" w:lineRule="auto"/>
        <w:ind w:firstLine="420" w:firstLineChars="200"/>
        <w:rPr>
          <w:rFonts w:ascii="宋体" w:hAnsi="宋体"/>
          <w:szCs w:val="21"/>
        </w:rPr>
      </w:pPr>
      <w:r>
        <w:rPr>
          <w:rFonts w:hint="eastAsia" w:ascii="宋体" w:hAnsi="宋体"/>
          <w:szCs w:val="21"/>
        </w:rPr>
        <w:t>3、出现未按采购人计划的时间供货2次（提前一天与采购人协商除外）；</w:t>
      </w:r>
    </w:p>
    <w:p w14:paraId="7EAE2A97">
      <w:pPr>
        <w:spacing w:line="360" w:lineRule="auto"/>
        <w:ind w:firstLine="420" w:firstLineChars="200"/>
        <w:rPr>
          <w:rFonts w:ascii="宋体" w:hAnsi="宋体"/>
          <w:szCs w:val="21"/>
        </w:rPr>
      </w:pPr>
      <w:r>
        <w:rPr>
          <w:rFonts w:hint="eastAsia" w:ascii="宋体" w:hAnsi="宋体"/>
          <w:szCs w:val="21"/>
        </w:rPr>
        <w:t>4、出现未按紧急采购的物品约定响应或供货2次；</w:t>
      </w:r>
    </w:p>
    <w:p w14:paraId="7AA4EAC6">
      <w:pPr>
        <w:spacing w:line="360" w:lineRule="auto"/>
        <w:ind w:firstLine="420" w:firstLineChars="200"/>
        <w:rPr>
          <w:rFonts w:ascii="宋体" w:hAnsi="宋体"/>
          <w:szCs w:val="21"/>
        </w:rPr>
      </w:pPr>
      <w:r>
        <w:rPr>
          <w:rFonts w:hint="eastAsia" w:ascii="宋体" w:hAnsi="宋体"/>
          <w:szCs w:val="21"/>
        </w:rPr>
        <w:t>5、出现配送的货物未按采购人要求包装、分类或指定地点卸货2次；</w:t>
      </w:r>
    </w:p>
    <w:p w14:paraId="23CF9AF4">
      <w:pPr>
        <w:spacing w:line="360" w:lineRule="auto"/>
        <w:ind w:firstLine="420" w:firstLineChars="200"/>
        <w:rPr>
          <w:rFonts w:ascii="宋体" w:hAnsi="宋体"/>
          <w:szCs w:val="21"/>
        </w:rPr>
      </w:pPr>
      <w:r>
        <w:rPr>
          <w:rFonts w:hint="eastAsia" w:ascii="宋体" w:hAnsi="宋体"/>
          <w:szCs w:val="21"/>
        </w:rPr>
        <w:t>6、货物出现质量问题，成交供应商未在2个工作日内查找出原因，且未向采购人反馈处理结果。</w:t>
      </w:r>
    </w:p>
    <w:p w14:paraId="6E784134">
      <w:pPr>
        <w:pStyle w:val="11"/>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付款方式</w:t>
      </w:r>
    </w:p>
    <w:p w14:paraId="166A5B6F">
      <w:pPr>
        <w:spacing w:line="360" w:lineRule="auto"/>
        <w:ind w:firstLine="420" w:firstLineChars="200"/>
        <w:rPr>
          <w:rFonts w:ascii="宋体" w:hAnsi="宋体"/>
          <w:szCs w:val="21"/>
        </w:rPr>
      </w:pPr>
      <w:r>
        <w:rPr>
          <w:rFonts w:hint="eastAsia" w:ascii="宋体" w:hAnsi="宋体"/>
          <w:szCs w:val="21"/>
        </w:rPr>
        <w:t>（一）按月结算。按每月实际采购额进行结算；货物交付后，凭成交供应商提供的有效发票，采购人于收到有效发票15个工作日内予以支付。每次按合同支付款项前，成交供应商应向采购人提供与支付金额相符的有效发票，且收款方、出具发票方、合同乙方均必须与成交供应商名称一致。</w:t>
      </w:r>
    </w:p>
    <w:p w14:paraId="09426866">
      <w:pPr>
        <w:spacing w:line="360" w:lineRule="auto"/>
        <w:ind w:firstLine="420" w:firstLineChars="200"/>
        <w:rPr>
          <w:rFonts w:ascii="宋体" w:hAnsi="宋体"/>
          <w:szCs w:val="21"/>
        </w:rPr>
      </w:pPr>
      <w:r>
        <w:rPr>
          <w:rFonts w:hint="eastAsia" w:ascii="宋体" w:hAnsi="宋体"/>
          <w:szCs w:val="21"/>
        </w:rPr>
        <w:t>（二）付款方式：采用银行转账、银行汇付（含电汇）等方式。</w:t>
      </w:r>
    </w:p>
    <w:p w14:paraId="53ABD7F0">
      <w:pPr>
        <w:spacing w:line="360" w:lineRule="auto"/>
        <w:ind w:firstLine="420" w:firstLineChars="200"/>
        <w:rPr>
          <w:rFonts w:ascii="宋体" w:hAnsi="宋体"/>
          <w:szCs w:val="21"/>
        </w:rPr>
      </w:pPr>
      <w:r>
        <w:rPr>
          <w:rFonts w:hint="eastAsia" w:ascii="宋体" w:hAnsi="宋体"/>
          <w:szCs w:val="21"/>
        </w:rPr>
        <w:t>（三）如采购人对成交供应商提交对账请款凭证等存在异议的，采购人有权中止支付并组织成交供应商重新对账，且采购人不构成违约，成交供应商不得以此为由怠于或拒绝提供服务。</w:t>
      </w:r>
    </w:p>
    <w:p w14:paraId="0287E596">
      <w:pPr>
        <w:pStyle w:val="11"/>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违约责任</w:t>
      </w:r>
    </w:p>
    <w:p w14:paraId="327F6557">
      <w:pPr>
        <w:spacing w:line="360" w:lineRule="auto"/>
        <w:ind w:firstLine="420" w:firstLineChars="200"/>
        <w:rPr>
          <w:rFonts w:ascii="宋体" w:hAnsi="宋体"/>
          <w:szCs w:val="21"/>
        </w:rPr>
      </w:pPr>
      <w:r>
        <w:rPr>
          <w:rFonts w:hint="eastAsia" w:ascii="宋体" w:hAnsi="宋体"/>
          <w:szCs w:val="21"/>
        </w:rPr>
        <w:t>（一）成交供应商逾期交货及未按时履行退换的，则按合同总价每天 5 ‰支付违约金给采购人。如超过合同规定交货期限，成交供应商仍不能交货完毕，则视为成交供应商不能交货（</w:t>
      </w:r>
      <w:r>
        <w:rPr>
          <w:rFonts w:hint="eastAsia" w:ascii="宋体" w:hAnsi="宋体"/>
          <w:szCs w:val="21"/>
          <w:lang w:bidi="ar"/>
        </w:rPr>
        <w:t>提前一天与采购人协商除外</w:t>
      </w:r>
      <w:r>
        <w:rPr>
          <w:rFonts w:hint="eastAsia" w:ascii="宋体" w:hAnsi="宋体"/>
          <w:szCs w:val="21"/>
        </w:rPr>
        <w:t>）。</w:t>
      </w:r>
    </w:p>
    <w:p w14:paraId="5C5F76C6">
      <w:pPr>
        <w:spacing w:line="360" w:lineRule="auto"/>
        <w:ind w:firstLine="420" w:firstLineChars="200"/>
        <w:rPr>
          <w:rFonts w:ascii="宋体" w:hAnsi="宋体"/>
          <w:szCs w:val="21"/>
        </w:rPr>
      </w:pPr>
      <w:r>
        <w:rPr>
          <w:rFonts w:hint="eastAsia" w:ascii="宋体" w:hAnsi="宋体"/>
          <w:szCs w:val="21"/>
        </w:rPr>
        <w:t>（二）一旦出现成交供应商不能交货的情形，则按合同总价30 %支付违约金给采购人。同时，采购人有权单方面解除合同。如上述违约金金额仍不足以补偿采购人因成交供应商违约造成的损失，采购人有权进一步向成交供应商提出索赔。</w:t>
      </w:r>
    </w:p>
    <w:p w14:paraId="555C754D">
      <w:pPr>
        <w:spacing w:line="360" w:lineRule="auto"/>
        <w:ind w:firstLine="420" w:firstLineChars="200"/>
        <w:rPr>
          <w:rFonts w:ascii="宋体" w:hAnsi="宋体"/>
          <w:szCs w:val="21"/>
        </w:rPr>
      </w:pPr>
      <w:r>
        <w:rPr>
          <w:rFonts w:hint="eastAsia" w:ascii="宋体" w:hAnsi="宋体"/>
          <w:szCs w:val="21"/>
        </w:rPr>
        <w:t>（三）货物未能一次性通过验收，如采购人同意由成交供应商予以整改，并在第一次验收结束之日起3个工作日内重新组织验收；经2次验收不合格的，采购人有权单方面解除合同并扣除全部履约保证金。如因此给采购人造成损失的，采购人有权向成交供应商提出索赔。</w:t>
      </w:r>
    </w:p>
    <w:p w14:paraId="570CEFFA">
      <w:pPr>
        <w:pStyle w:val="11"/>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异议索赔</w:t>
      </w:r>
    </w:p>
    <w:p w14:paraId="265F1DF7">
      <w:pPr>
        <w:spacing w:line="360" w:lineRule="auto"/>
        <w:ind w:firstLine="420" w:firstLineChars="200"/>
        <w:rPr>
          <w:rFonts w:ascii="宋体" w:hAnsi="宋体"/>
          <w:szCs w:val="21"/>
        </w:rPr>
      </w:pPr>
      <w:r>
        <w:rPr>
          <w:rFonts w:hint="eastAsia" w:ascii="宋体" w:hAnsi="宋体"/>
          <w:szCs w:val="21"/>
        </w:rPr>
        <w:t>（一）成交供应商对于所提供的货物与合同要求不符负有责任,采购人有权拒收货物，成交供应商负担由此发生的一切损失和费用。包括运输和保险费、检验费、仓储和装卸费等必要的费用。</w:t>
      </w:r>
    </w:p>
    <w:p w14:paraId="2A0D65E6">
      <w:pPr>
        <w:spacing w:line="360" w:lineRule="auto"/>
        <w:ind w:firstLine="420" w:firstLineChars="200"/>
        <w:rPr>
          <w:rFonts w:ascii="宋体" w:hAnsi="宋体"/>
          <w:szCs w:val="21"/>
        </w:rPr>
      </w:pPr>
      <w:r>
        <w:rPr>
          <w:rFonts w:hint="eastAsia" w:ascii="宋体" w:hAnsi="宋体"/>
          <w:szCs w:val="21"/>
        </w:rPr>
        <w:t>（二）对有缺陷的货物，成交供应商需免费更换，以达到合同规定的规格、质量和性能，成交供应商承担一切费用和风险并负担采购人遭受的一切损失。同时成交供应商相应顺延被更换货物的质保期。</w:t>
      </w:r>
    </w:p>
    <w:p w14:paraId="5F0AE1E0">
      <w:pPr>
        <w:spacing w:line="360" w:lineRule="auto"/>
        <w:ind w:firstLine="420" w:firstLineChars="200"/>
        <w:rPr>
          <w:rFonts w:ascii="宋体" w:hAnsi="宋体"/>
          <w:szCs w:val="21"/>
        </w:rPr>
      </w:pPr>
      <w:r>
        <w:rPr>
          <w:rFonts w:hint="eastAsia" w:ascii="宋体" w:hAnsi="宋体"/>
          <w:szCs w:val="21"/>
        </w:rPr>
        <w:t>（三）如果在采购人发出索赔通知后5个自然日内，成交供应商未作答复，上述索赔应视为已被成交供应商接受。如成交供应商未能在收到索赔通知后5个自然日内或征得采购人同意的延长期内，按照采购人选择的方法解决索赔事宜，采购人将有权从货款或从成交供应商开具的履约保证金中扣回索赔金额，同时保留进一步要求索赔的权利。</w:t>
      </w:r>
    </w:p>
    <w:p w14:paraId="3F88267E">
      <w:pPr>
        <w:spacing w:line="360" w:lineRule="auto"/>
        <w:ind w:firstLine="420" w:firstLineChars="200"/>
        <w:rPr>
          <w:rFonts w:ascii="宋体" w:hAnsi="宋体"/>
          <w:szCs w:val="21"/>
        </w:rPr>
      </w:pPr>
      <w:r>
        <w:rPr>
          <w:rFonts w:hint="eastAsia" w:ascii="宋体" w:hAnsi="宋体"/>
          <w:szCs w:val="21"/>
        </w:rPr>
        <w:t>（四）采购人在使用成交供应商供应的货物或货物的任何一部分及享受成交供应商向采购人提供的服务时，如受第三方提出的侵犯其专利权、商标权或其他知识产权的起诉，由成交供应商承担一切责任，且成交供应商应赔偿采购人由于上述原因而造成的损失（包括但不限于赔偿费、诉讼费、律师费等）。</w:t>
      </w:r>
    </w:p>
    <w:p w14:paraId="65397AA0">
      <w:pPr>
        <w:pStyle w:val="11"/>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不可抗力</w:t>
      </w:r>
    </w:p>
    <w:p w14:paraId="69223792">
      <w:pPr>
        <w:spacing w:line="360" w:lineRule="auto"/>
        <w:ind w:firstLine="420" w:firstLineChars="200"/>
        <w:rPr>
          <w:rFonts w:ascii="宋体" w:hAnsi="宋体"/>
          <w:szCs w:val="21"/>
        </w:rPr>
      </w:pPr>
      <w:r>
        <w:rPr>
          <w:rFonts w:hint="eastAsia" w:ascii="宋体" w:hAnsi="宋体"/>
          <w:szCs w:val="21"/>
        </w:rPr>
        <w:t>（一）由于不可预见、不可避免、不可克服等不可抗力的原因，一方不能履行合同义务的，应当在不可抗力发生之日起10个自然日内以书面形式通知对方，证明不可抗力事件的存在。</w:t>
      </w:r>
    </w:p>
    <w:p w14:paraId="60BAC802">
      <w:pPr>
        <w:spacing w:line="360" w:lineRule="auto"/>
        <w:ind w:firstLine="420" w:firstLineChars="200"/>
        <w:rPr>
          <w:rFonts w:ascii="宋体" w:hAnsi="宋体"/>
          <w:szCs w:val="21"/>
        </w:rPr>
      </w:pPr>
      <w:r>
        <w:rPr>
          <w:rFonts w:hint="eastAsia" w:ascii="宋体" w:hAnsi="宋体"/>
          <w:szCs w:val="21"/>
        </w:rPr>
        <w:t>（二）不可抗力事件发生后，采购人和成交供应商应当积极寻求以合理的方式履行本项目合同。如不可抗力无法消除，致使合同目的无法实现的，双方均有权解除合同，且均不互相索赔。</w:t>
      </w:r>
    </w:p>
    <w:p w14:paraId="7897EB1C">
      <w:pPr>
        <w:pStyle w:val="11"/>
        <w:numPr>
          <w:ilvl w:val="0"/>
          <w:numId w:val="13"/>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争议解决方式</w:t>
      </w:r>
    </w:p>
    <w:p w14:paraId="77239112">
      <w:pPr>
        <w:spacing w:line="360" w:lineRule="auto"/>
        <w:ind w:firstLine="420" w:firstLineChars="200"/>
        <w:rPr>
          <w:rFonts w:ascii="宋体" w:hAnsi="宋体"/>
          <w:szCs w:val="21"/>
        </w:rPr>
      </w:pPr>
      <w:r>
        <w:rPr>
          <w:rFonts w:hint="eastAsia" w:ascii="宋体" w:hAnsi="宋体"/>
          <w:szCs w:val="21"/>
        </w:rPr>
        <w:t>（一）因货物的质量问题而发生的争议，由广东省或肇庆质检部门进行质量鉴定。经检验，质量符合标准的，鉴定费用由采购人承担；质量不符合标准的，鉴定费用由成交供应商承担，并且成交供应商负责重新提供符合合同要求的货物给采购人，由此造成延期供货的，成交供应商承担延期供货的违约责任。</w:t>
      </w:r>
    </w:p>
    <w:p w14:paraId="2A816224">
      <w:pPr>
        <w:pStyle w:val="11"/>
        <w:tabs>
          <w:tab w:val="left" w:pos="540"/>
        </w:tabs>
        <w:adjustRightInd w:val="0"/>
        <w:snapToGrid w:val="0"/>
        <w:spacing w:line="360" w:lineRule="auto"/>
        <w:ind w:firstLine="420" w:firstLineChars="200"/>
        <w:rPr>
          <w:rFonts w:hAnsi="宋体" w:cs="宋体"/>
          <w:kern w:val="2"/>
          <w:sz w:val="21"/>
        </w:rPr>
      </w:pPr>
      <w:r>
        <w:rPr>
          <w:rFonts w:hint="eastAsia" w:hAnsi="宋体" w:cs="宋体"/>
          <w:sz w:val="21"/>
        </w:rPr>
        <w:t>（二）</w:t>
      </w:r>
      <w:r>
        <w:rPr>
          <w:rFonts w:hint="eastAsia" w:hAnsi="宋体" w:cs="宋体"/>
          <w:kern w:val="2"/>
          <w:sz w:val="21"/>
        </w:rPr>
        <w:t>本项目合同发生争议，由双方协商或由政府采购监督管理部门调解解决，协商或调解不成时向采购人所在地人民法院提起诉讼。在诉讼期间，除有争议部分的事项外，合同其他部分仍应继续履行。</w:t>
      </w:r>
    </w:p>
    <w:p w14:paraId="409EC9A2">
      <w:pPr>
        <w:tabs>
          <w:tab w:val="left" w:pos="1155"/>
        </w:tabs>
        <w:spacing w:line="360" w:lineRule="auto"/>
        <w:rPr>
          <w:rFonts w:ascii="宋体" w:hAnsi="宋体"/>
          <w:szCs w:val="21"/>
        </w:rPr>
      </w:pPr>
      <w:r>
        <w:rPr>
          <w:rFonts w:hint="eastAsia" w:ascii="宋体" w:hAnsi="宋体"/>
          <w:color w:val="000000"/>
          <w:lang w:val="zh-CN"/>
        </w:rPr>
        <w:br w:type="page"/>
      </w:r>
    </w:p>
    <w:p w14:paraId="26AA1B6D">
      <w:pPr>
        <w:pStyle w:val="21"/>
        <w:spacing w:before="0" w:after="0"/>
        <w:rPr>
          <w:rFonts w:ascii="宋体" w:hAnsi="宋体"/>
          <w:color w:val="000000"/>
          <w:lang w:val="zh-CN"/>
        </w:rPr>
      </w:pPr>
      <w:r>
        <w:rPr>
          <w:rFonts w:hint="eastAsia" w:ascii="宋体" w:hAnsi="宋体"/>
          <w:color w:val="000000"/>
          <w:lang w:val="zh-CN"/>
        </w:rPr>
        <w:t>第三章 报价附件</w:t>
      </w:r>
    </w:p>
    <w:p w14:paraId="66EAFAB0">
      <w:pPr>
        <w:pStyle w:val="4"/>
        <w:rPr>
          <w:rFonts w:ascii="宋体" w:hAnsi="宋体" w:eastAsia="宋体" w:cs="宋体"/>
          <w:b/>
          <w:bCs w:val="0"/>
          <w:lang w:val="zh-CN"/>
        </w:rPr>
      </w:pPr>
      <w:r>
        <w:rPr>
          <w:rFonts w:hint="eastAsia" w:ascii="宋体" w:hAnsi="宋体" w:eastAsia="宋体" w:cs="宋体"/>
          <w:b/>
          <w:bCs w:val="0"/>
          <w:lang w:val="zh-CN"/>
        </w:rPr>
        <w:t>报 价 表</w:t>
      </w:r>
    </w:p>
    <w:tbl>
      <w:tblPr>
        <w:tblStyle w:val="25"/>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7"/>
        <w:gridCol w:w="1251"/>
        <w:gridCol w:w="2144"/>
        <w:gridCol w:w="1456"/>
      </w:tblGrid>
      <w:tr w14:paraId="73EAB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107" w:type="dxa"/>
            <w:tcBorders>
              <w:top w:val="single" w:color="auto" w:sz="12" w:space="0"/>
              <w:bottom w:val="single" w:color="auto" w:sz="2" w:space="0"/>
            </w:tcBorders>
            <w:shd w:val="clear" w:color="auto" w:fill="EEECE1"/>
            <w:vAlign w:val="center"/>
          </w:tcPr>
          <w:p w14:paraId="5FA026D3">
            <w:pPr>
              <w:jc w:val="center"/>
              <w:rPr>
                <w:rFonts w:ascii="宋体" w:hAnsi="宋体"/>
                <w:b/>
                <w:color w:val="000000"/>
                <w:szCs w:val="21"/>
              </w:rPr>
            </w:pPr>
            <w:r>
              <w:rPr>
                <w:rFonts w:hint="eastAsia" w:ascii="宋体" w:hAnsi="宋体"/>
                <w:b/>
                <w:color w:val="000000"/>
                <w:szCs w:val="21"/>
              </w:rPr>
              <w:t>采购内容</w:t>
            </w:r>
          </w:p>
        </w:tc>
        <w:tc>
          <w:tcPr>
            <w:tcW w:w="1251" w:type="dxa"/>
            <w:tcBorders>
              <w:top w:val="single" w:color="auto" w:sz="12" w:space="0"/>
              <w:bottom w:val="single" w:color="auto" w:sz="2" w:space="0"/>
            </w:tcBorders>
            <w:shd w:val="clear" w:color="auto" w:fill="EEECE1"/>
            <w:vAlign w:val="center"/>
          </w:tcPr>
          <w:p w14:paraId="1DFE5448">
            <w:pPr>
              <w:jc w:val="center"/>
              <w:rPr>
                <w:rFonts w:ascii="宋体" w:hAnsi="宋体"/>
                <w:b/>
                <w:szCs w:val="21"/>
              </w:rPr>
            </w:pPr>
            <w:r>
              <w:rPr>
                <w:rFonts w:hint="eastAsia" w:ascii="宋体" w:hAnsi="宋体"/>
                <w:b/>
                <w:szCs w:val="21"/>
              </w:rPr>
              <w:t>数量</w:t>
            </w:r>
          </w:p>
        </w:tc>
        <w:tc>
          <w:tcPr>
            <w:tcW w:w="2144" w:type="dxa"/>
            <w:tcBorders>
              <w:top w:val="single" w:color="auto" w:sz="12" w:space="0"/>
              <w:bottom w:val="single" w:color="auto" w:sz="2" w:space="0"/>
            </w:tcBorders>
            <w:shd w:val="clear" w:color="auto" w:fill="EEECE1"/>
            <w:vAlign w:val="center"/>
          </w:tcPr>
          <w:p w14:paraId="40F409A6">
            <w:pPr>
              <w:jc w:val="center"/>
              <w:rPr>
                <w:rFonts w:ascii="宋体" w:hAnsi="宋体"/>
                <w:b/>
                <w:szCs w:val="21"/>
              </w:rPr>
            </w:pPr>
            <w:r>
              <w:rPr>
                <w:rFonts w:hint="eastAsia" w:ascii="宋体" w:hAnsi="宋体"/>
                <w:b/>
                <w:szCs w:val="21"/>
              </w:rPr>
              <w:t>所报下浮率</w:t>
            </w:r>
          </w:p>
        </w:tc>
        <w:tc>
          <w:tcPr>
            <w:tcW w:w="1456" w:type="dxa"/>
            <w:tcBorders>
              <w:top w:val="single" w:color="auto" w:sz="12" w:space="0"/>
              <w:bottom w:val="single" w:color="auto" w:sz="2" w:space="0"/>
            </w:tcBorders>
            <w:shd w:val="clear" w:color="auto" w:fill="EEECE1"/>
            <w:vAlign w:val="center"/>
          </w:tcPr>
          <w:p w14:paraId="6D2307AF">
            <w:pPr>
              <w:jc w:val="center"/>
              <w:rPr>
                <w:rFonts w:ascii="宋体" w:hAnsi="宋体"/>
                <w:b/>
                <w:szCs w:val="21"/>
              </w:rPr>
            </w:pPr>
            <w:r>
              <w:rPr>
                <w:rFonts w:hint="eastAsia" w:ascii="宋体" w:hAnsi="宋体"/>
                <w:b/>
                <w:szCs w:val="21"/>
              </w:rPr>
              <w:t>备注</w:t>
            </w:r>
          </w:p>
        </w:tc>
      </w:tr>
      <w:tr w14:paraId="204EE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5107" w:type="dxa"/>
            <w:tcBorders>
              <w:top w:val="single" w:color="auto" w:sz="2" w:space="0"/>
              <w:bottom w:val="single" w:color="auto" w:sz="2" w:space="0"/>
            </w:tcBorders>
            <w:vAlign w:val="center"/>
          </w:tcPr>
          <w:p w14:paraId="0DA35977">
            <w:pPr>
              <w:jc w:val="center"/>
              <w:rPr>
                <w:rFonts w:ascii="宋体" w:hAnsi="宋体"/>
                <w:color w:val="000000"/>
                <w:szCs w:val="21"/>
              </w:rPr>
            </w:pPr>
            <w:r>
              <w:rPr>
                <w:rFonts w:hint="eastAsia" w:ascii="宋体" w:hAnsi="宋体"/>
                <w:color w:val="000000"/>
                <w:szCs w:val="21"/>
              </w:rPr>
              <w:t>广东省肇庆监狱2025年教育活动物资采购项目</w:t>
            </w:r>
          </w:p>
        </w:tc>
        <w:tc>
          <w:tcPr>
            <w:tcW w:w="1251" w:type="dxa"/>
            <w:tcBorders>
              <w:top w:val="single" w:color="auto" w:sz="2" w:space="0"/>
              <w:bottom w:val="single" w:color="auto" w:sz="2" w:space="0"/>
            </w:tcBorders>
            <w:vAlign w:val="center"/>
          </w:tcPr>
          <w:p w14:paraId="4EABD683">
            <w:pPr>
              <w:keepNext/>
              <w:adjustRightInd w:val="0"/>
              <w:jc w:val="center"/>
              <w:textAlignment w:val="center"/>
              <w:rPr>
                <w:rFonts w:ascii="宋体" w:hAnsi="宋体"/>
                <w:szCs w:val="21"/>
              </w:rPr>
            </w:pPr>
            <w:r>
              <w:rPr>
                <w:rFonts w:hint="eastAsia" w:ascii="宋体" w:hAnsi="宋体"/>
                <w:szCs w:val="21"/>
              </w:rPr>
              <w:t>1项</w:t>
            </w:r>
          </w:p>
        </w:tc>
        <w:tc>
          <w:tcPr>
            <w:tcW w:w="2144" w:type="dxa"/>
            <w:tcBorders>
              <w:top w:val="single" w:color="auto" w:sz="2" w:space="0"/>
              <w:bottom w:val="single" w:color="auto" w:sz="2" w:space="0"/>
            </w:tcBorders>
            <w:vAlign w:val="center"/>
          </w:tcPr>
          <w:p w14:paraId="315146D8">
            <w:pPr>
              <w:pStyle w:val="11"/>
              <w:tabs>
                <w:tab w:val="left" w:pos="540"/>
              </w:tabs>
              <w:adjustRightInd w:val="0"/>
              <w:snapToGrid w:val="0"/>
              <w:jc w:val="center"/>
              <w:rPr>
                <w:rFonts w:hAnsi="宋体" w:cs="宋体"/>
                <w:sz w:val="21"/>
              </w:rPr>
            </w:pPr>
            <w:r>
              <w:rPr>
                <w:rFonts w:hint="eastAsia" w:hAnsi="宋体" w:cs="宋体"/>
                <w:color w:val="000000"/>
                <w:sz w:val="21"/>
                <w:u w:val="single"/>
              </w:rPr>
              <w:t xml:space="preserve">    </w:t>
            </w:r>
            <w:r>
              <w:rPr>
                <w:rFonts w:hint="eastAsia" w:hAnsi="宋体" w:cs="宋体"/>
                <w:color w:val="000000"/>
                <w:sz w:val="21"/>
              </w:rPr>
              <w:t>%</w:t>
            </w:r>
          </w:p>
        </w:tc>
        <w:tc>
          <w:tcPr>
            <w:tcW w:w="1456" w:type="dxa"/>
            <w:tcBorders>
              <w:top w:val="single" w:color="auto" w:sz="2" w:space="0"/>
              <w:bottom w:val="single" w:color="auto" w:sz="2" w:space="0"/>
            </w:tcBorders>
            <w:vAlign w:val="center"/>
          </w:tcPr>
          <w:p w14:paraId="16178B7D">
            <w:pPr>
              <w:pStyle w:val="11"/>
              <w:tabs>
                <w:tab w:val="left" w:pos="540"/>
              </w:tabs>
              <w:adjustRightInd w:val="0"/>
              <w:snapToGrid w:val="0"/>
              <w:jc w:val="center"/>
              <w:rPr>
                <w:rFonts w:hAnsi="宋体" w:cs="宋体"/>
                <w:color w:val="000000"/>
                <w:sz w:val="21"/>
                <w:u w:val="single"/>
              </w:rPr>
            </w:pPr>
          </w:p>
        </w:tc>
      </w:tr>
    </w:tbl>
    <w:p w14:paraId="0DA75F0C">
      <w:pPr>
        <w:spacing w:line="500" w:lineRule="exact"/>
        <w:rPr>
          <w:rFonts w:ascii="宋体" w:hAnsi="宋体"/>
          <w:b/>
          <w:color w:val="000000"/>
          <w:spacing w:val="4"/>
          <w:szCs w:val="21"/>
        </w:rPr>
      </w:pPr>
    </w:p>
    <w:p w14:paraId="68F60A8D">
      <w:pPr>
        <w:spacing w:line="500" w:lineRule="exact"/>
        <w:rPr>
          <w:rFonts w:ascii="宋体" w:hAnsi="宋体"/>
          <w:b/>
          <w:color w:val="000000"/>
          <w:spacing w:val="4"/>
          <w:szCs w:val="21"/>
        </w:rPr>
      </w:pPr>
      <w:r>
        <w:rPr>
          <w:rFonts w:hint="eastAsia" w:ascii="宋体" w:hAnsi="宋体"/>
          <w:b/>
          <w:color w:val="000000"/>
          <w:spacing w:val="4"/>
          <w:szCs w:val="21"/>
        </w:rPr>
        <w:t>注：</w:t>
      </w:r>
    </w:p>
    <w:p w14:paraId="41FFB018">
      <w:pPr>
        <w:widowControl/>
        <w:numPr>
          <w:ilvl w:val="0"/>
          <w:numId w:val="18"/>
        </w:numPr>
        <w:spacing w:line="360" w:lineRule="auto"/>
        <w:ind w:left="284" w:hanging="284"/>
        <w:jc w:val="left"/>
        <w:rPr>
          <w:rFonts w:ascii="宋体" w:hAnsi="宋体"/>
          <w:b/>
          <w:bCs/>
          <w:color w:val="000000"/>
          <w:kern w:val="0"/>
          <w:szCs w:val="21"/>
        </w:rPr>
      </w:pPr>
      <w:r>
        <w:rPr>
          <w:rFonts w:hint="eastAsia" w:ascii="宋体" w:hAnsi="宋体"/>
          <w:b/>
          <w:bCs/>
          <w:color w:val="000000"/>
          <w:kern w:val="0"/>
          <w:szCs w:val="21"/>
        </w:rPr>
        <w:t>供应商必须按报价表的格式填写，不得增加或删除表格内容。除项目要求填写的内容外，不得擅自改动报价表内容，否则将有可能影响成交结果，不推荐为成交候选人；</w:t>
      </w:r>
    </w:p>
    <w:p w14:paraId="09135FA4">
      <w:pPr>
        <w:widowControl/>
        <w:numPr>
          <w:ilvl w:val="0"/>
          <w:numId w:val="18"/>
        </w:numPr>
        <w:spacing w:line="360" w:lineRule="auto"/>
        <w:ind w:left="284" w:hanging="284"/>
        <w:jc w:val="left"/>
        <w:rPr>
          <w:rFonts w:ascii="宋体" w:hAnsi="宋体"/>
          <w:b/>
          <w:bCs/>
          <w:color w:val="000000"/>
          <w:kern w:val="0"/>
          <w:szCs w:val="21"/>
        </w:rPr>
      </w:pPr>
      <w:r>
        <w:rPr>
          <w:rFonts w:hint="eastAsia" w:ascii="宋体" w:hAnsi="宋体"/>
          <w:b/>
          <w:bCs/>
          <w:color w:val="000000"/>
          <w:kern w:val="0"/>
          <w:szCs w:val="21"/>
        </w:rPr>
        <w:t>所有价格均系用人民币表示，单位为元，均为含税价；</w:t>
      </w:r>
    </w:p>
    <w:p w14:paraId="4748BEAA">
      <w:pPr>
        <w:widowControl/>
        <w:numPr>
          <w:ilvl w:val="0"/>
          <w:numId w:val="18"/>
        </w:numPr>
        <w:spacing w:line="360" w:lineRule="auto"/>
        <w:ind w:left="284" w:hanging="284"/>
        <w:jc w:val="left"/>
        <w:rPr>
          <w:rFonts w:ascii="宋体" w:hAnsi="宋体"/>
          <w:b/>
          <w:bCs/>
          <w:color w:val="000000"/>
          <w:kern w:val="0"/>
          <w:szCs w:val="21"/>
        </w:rPr>
      </w:pPr>
      <w:r>
        <w:rPr>
          <w:rFonts w:hint="eastAsia" w:ascii="宋体" w:hAnsi="宋体"/>
          <w:b/>
          <w:bCs/>
          <w:color w:val="000000"/>
          <w:kern w:val="0"/>
          <w:szCs w:val="21"/>
        </w:rPr>
        <w:t>平台上报价与报价表报价不一致的，以报价表报价（经价格核准后的价格）为准；</w:t>
      </w:r>
    </w:p>
    <w:p w14:paraId="4CC7606A">
      <w:pPr>
        <w:widowControl/>
        <w:numPr>
          <w:ilvl w:val="0"/>
          <w:numId w:val="18"/>
        </w:numPr>
        <w:spacing w:line="360" w:lineRule="auto"/>
        <w:ind w:left="284" w:hanging="284"/>
        <w:jc w:val="left"/>
        <w:rPr>
          <w:rFonts w:ascii="宋体" w:hAnsi="宋体"/>
          <w:b/>
          <w:bCs/>
          <w:color w:val="000000"/>
          <w:kern w:val="0"/>
          <w:szCs w:val="21"/>
        </w:rPr>
      </w:pPr>
      <w:r>
        <w:rPr>
          <w:rFonts w:hint="eastAsia" w:ascii="宋体" w:hAnsi="宋体"/>
          <w:b/>
          <w:bCs/>
          <w:color w:val="000000"/>
          <w:kern w:val="0"/>
          <w:szCs w:val="21"/>
        </w:rPr>
        <w:t>下浮率报价没有大于或等于100%，也没有为负数，且是固定唯一值的，否则为无效报价；下浮率高的为成交供应商。供应商所报下浮率为成交下浮率，即：结算单价=单价最高限价*（1-成交下浮率）；在本项目合同服务履行期间，该下浮率不作另行调整；</w:t>
      </w:r>
    </w:p>
    <w:p w14:paraId="17CAA87D">
      <w:pPr>
        <w:widowControl/>
        <w:numPr>
          <w:ilvl w:val="0"/>
          <w:numId w:val="18"/>
        </w:numPr>
        <w:spacing w:line="360" w:lineRule="auto"/>
        <w:ind w:left="284" w:hanging="284"/>
        <w:jc w:val="left"/>
        <w:rPr>
          <w:rFonts w:ascii="宋体" w:hAnsi="宋体"/>
          <w:b/>
          <w:bCs/>
          <w:color w:val="000000"/>
          <w:kern w:val="0"/>
          <w:szCs w:val="21"/>
        </w:rPr>
      </w:pPr>
      <w:r>
        <w:rPr>
          <w:rFonts w:hint="eastAsia" w:ascii="宋体" w:hAnsi="宋体"/>
          <w:b/>
          <w:bCs/>
          <w:color w:val="000000"/>
          <w:kern w:val="0"/>
          <w:szCs w:val="21"/>
        </w:rPr>
        <w:t>下浮率的报价均应包含国家规定的税费；</w:t>
      </w:r>
    </w:p>
    <w:p w14:paraId="54AE7F0D">
      <w:pPr>
        <w:widowControl/>
        <w:numPr>
          <w:ilvl w:val="0"/>
          <w:numId w:val="18"/>
        </w:numPr>
        <w:spacing w:line="360" w:lineRule="auto"/>
        <w:ind w:left="284" w:hanging="284"/>
        <w:jc w:val="left"/>
        <w:rPr>
          <w:rFonts w:ascii="宋体" w:hAnsi="宋体"/>
          <w:kern w:val="0"/>
          <w:sz w:val="20"/>
          <w:szCs w:val="20"/>
        </w:rPr>
      </w:pPr>
      <w:r>
        <w:rPr>
          <w:rFonts w:hint="eastAsia" w:ascii="宋体" w:hAnsi="宋体"/>
          <w:b/>
          <w:bCs/>
          <w:color w:val="000000"/>
          <w:kern w:val="0"/>
          <w:szCs w:val="21"/>
        </w:rPr>
        <w:t>本项目不接受有选择性的报价，只允许报一个下浮率，且所报的下浮率应当适用于该类别所有产品单品</w:t>
      </w:r>
      <w:r>
        <w:rPr>
          <w:rFonts w:hint="eastAsia" w:ascii="宋体" w:hAnsi="宋体"/>
          <w:b/>
          <w:bCs/>
          <w:kern w:val="0"/>
        </w:rPr>
        <w:t>。</w:t>
      </w:r>
    </w:p>
    <w:p w14:paraId="454D060A">
      <w:pPr>
        <w:widowControl/>
        <w:spacing w:line="360" w:lineRule="auto"/>
        <w:ind w:left="420"/>
        <w:jc w:val="left"/>
        <w:rPr>
          <w:rFonts w:ascii="宋体" w:hAnsi="宋体"/>
          <w:kern w:val="0"/>
          <w:sz w:val="20"/>
          <w:szCs w:val="20"/>
        </w:rPr>
      </w:pPr>
      <w:r>
        <w:rPr>
          <w:rFonts w:hint="eastAsia" w:ascii="宋体" w:hAnsi="宋体"/>
          <w:b/>
          <w:bCs/>
          <w:kern w:val="0"/>
        </w:rPr>
        <w:t xml:space="preserve">                                                                         </w:t>
      </w:r>
    </w:p>
    <w:p w14:paraId="36ED9230">
      <w:pPr>
        <w:wordWrap w:val="0"/>
        <w:spacing w:line="360" w:lineRule="auto"/>
        <w:ind w:right="218"/>
        <w:jc w:val="right"/>
        <w:rPr>
          <w:rFonts w:ascii="宋体" w:hAnsi="宋体"/>
          <w:color w:val="000000"/>
          <w:spacing w:val="4"/>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530E0C22">
      <w:pPr>
        <w:spacing w:line="360" w:lineRule="auto"/>
        <w:ind w:right="218"/>
        <w:jc w:val="right"/>
        <w:rPr>
          <w:rFonts w:ascii="宋体" w:hAnsi="宋体"/>
          <w:color w:val="000000"/>
          <w:spacing w:val="4"/>
          <w:szCs w:val="21"/>
          <w:u w:val="single"/>
        </w:rPr>
      </w:pPr>
    </w:p>
    <w:p w14:paraId="5CF4663E">
      <w:pPr>
        <w:wordWrap w:val="0"/>
        <w:spacing w:line="360" w:lineRule="auto"/>
        <w:ind w:right="218"/>
        <w:jc w:val="right"/>
        <w:rPr>
          <w:rFonts w:ascii="宋体" w:hAnsi="宋体"/>
          <w:color w:val="000000"/>
          <w:spacing w:val="4"/>
          <w:szCs w:val="21"/>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270335F6">
      <w:pPr>
        <w:pStyle w:val="4"/>
        <w:rPr>
          <w:rFonts w:ascii="宋体" w:hAnsi="宋体" w:eastAsia="宋体" w:cs="宋体"/>
        </w:rPr>
      </w:pPr>
      <w:r>
        <w:rPr>
          <w:rFonts w:hint="eastAsia" w:ascii="宋体" w:hAnsi="宋体" w:eastAsia="宋体" w:cs="宋体"/>
        </w:rPr>
        <w:br w:type="page"/>
      </w:r>
      <w:r>
        <w:rPr>
          <w:rFonts w:hint="eastAsia" w:ascii="宋体" w:hAnsi="宋体" w:eastAsia="宋体" w:cs="宋体"/>
        </w:rPr>
        <w:t>采购需求书响应声明函</w:t>
      </w:r>
    </w:p>
    <w:p w14:paraId="4139E540">
      <w:pPr>
        <w:spacing w:line="360" w:lineRule="auto"/>
        <w:rPr>
          <w:rFonts w:ascii="宋体" w:hAnsi="宋体"/>
          <w:b/>
          <w:color w:val="000000"/>
          <w:szCs w:val="21"/>
        </w:rPr>
      </w:pPr>
      <w:r>
        <w:rPr>
          <w:rFonts w:hint="eastAsia" w:ascii="宋体" w:hAnsi="宋体"/>
          <w:b/>
          <w:color w:val="000000"/>
          <w:szCs w:val="21"/>
        </w:rPr>
        <w:t>致：广东省肇庆监狱、</w:t>
      </w:r>
      <w:r>
        <w:rPr>
          <w:rFonts w:hint="eastAsia" w:ascii="宋体" w:hAnsi="宋体"/>
          <w:b/>
          <w:color w:val="000000"/>
        </w:rPr>
        <w:t>采联国际招标采购集团有限公司</w:t>
      </w:r>
    </w:p>
    <w:p w14:paraId="651C9BA5">
      <w:pPr>
        <w:spacing w:line="360" w:lineRule="auto"/>
        <w:rPr>
          <w:rFonts w:ascii="宋体" w:hAnsi="宋体"/>
          <w:color w:val="000000"/>
          <w:lang w:val="zh-CN"/>
        </w:rPr>
      </w:pPr>
    </w:p>
    <w:p w14:paraId="158BE927">
      <w:pPr>
        <w:snapToGrid w:val="0"/>
        <w:spacing w:line="360" w:lineRule="auto"/>
        <w:ind w:firstLine="420" w:firstLineChars="200"/>
        <w:rPr>
          <w:rFonts w:ascii="宋体" w:hAnsi="宋体"/>
          <w:color w:val="000000"/>
          <w:szCs w:val="21"/>
        </w:rPr>
      </w:pPr>
      <w:r>
        <w:rPr>
          <w:rFonts w:hint="eastAsia" w:ascii="宋体" w:hAnsi="宋体"/>
          <w:color w:val="000000"/>
          <w:szCs w:val="21"/>
        </w:rPr>
        <w:t>关于贵单位、贵司发布</w:t>
      </w:r>
      <w:r>
        <w:rPr>
          <w:rFonts w:hint="eastAsia" w:ascii="宋体" w:hAnsi="宋体"/>
          <w:b/>
          <w:bCs/>
          <w:color w:val="000000"/>
          <w:szCs w:val="32"/>
          <w:u w:val="single"/>
        </w:rPr>
        <w:t>广东省肇庆监狱2025年教育活动物资采购项目</w:t>
      </w:r>
      <w:r>
        <w:rPr>
          <w:rFonts w:hint="eastAsia" w:ascii="宋体" w:hAnsi="宋体"/>
          <w:color w:val="000000"/>
          <w:szCs w:val="21"/>
        </w:rPr>
        <w:t>的竞价公告，本公司（企业）愿意参加竞价活动，并作出如下声明：</w:t>
      </w:r>
    </w:p>
    <w:p w14:paraId="337C3956">
      <w:pPr>
        <w:pStyle w:val="43"/>
        <w:tabs>
          <w:tab w:val="left" w:pos="426"/>
        </w:tabs>
        <w:snapToGrid w:val="0"/>
        <w:spacing w:line="360" w:lineRule="auto"/>
        <w:ind w:firstLineChars="0"/>
        <w:rPr>
          <w:rFonts w:ascii="宋体" w:hAnsi="宋体" w:cs="宋体"/>
          <w:color w:val="000000"/>
        </w:rPr>
      </w:pPr>
      <w:r>
        <w:rPr>
          <w:rFonts w:hint="eastAsia" w:ascii="宋体" w:hAnsi="宋体" w:cs="宋体"/>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3FB06C9D">
      <w:pPr>
        <w:pStyle w:val="43"/>
        <w:tabs>
          <w:tab w:val="left" w:pos="426"/>
        </w:tabs>
        <w:snapToGrid w:val="0"/>
        <w:spacing w:line="360" w:lineRule="auto"/>
        <w:ind w:firstLineChars="0"/>
        <w:rPr>
          <w:rFonts w:ascii="宋体" w:hAnsi="宋体" w:cs="宋体"/>
          <w:color w:val="000000"/>
        </w:rPr>
      </w:pPr>
      <w:r>
        <w:rPr>
          <w:rFonts w:hint="eastAsia" w:ascii="宋体" w:hAnsi="宋体" w:cs="宋体"/>
          <w:color w:val="000000"/>
        </w:rPr>
        <w:t>本公司（企业）承诺在本次采购活动中，如有违法、违规、弄虚作假行为，所造成的损失、不良后果及法律责任，一律由我公司（企业）承担。</w:t>
      </w:r>
    </w:p>
    <w:p w14:paraId="6E438ABD">
      <w:pPr>
        <w:autoSpaceDE w:val="0"/>
        <w:autoSpaceDN w:val="0"/>
        <w:adjustRightInd w:val="0"/>
        <w:spacing w:line="360" w:lineRule="auto"/>
        <w:ind w:firstLine="413" w:firstLineChars="196"/>
        <w:rPr>
          <w:rFonts w:ascii="宋体" w:hAnsi="宋体"/>
          <w:b/>
          <w:color w:val="000000"/>
        </w:rPr>
      </w:pPr>
      <w:r>
        <w:rPr>
          <w:rFonts w:hint="eastAsia" w:ascii="宋体" w:hAnsi="宋体"/>
          <w:b/>
          <w:color w:val="000000"/>
        </w:rPr>
        <w:t>备注：</w:t>
      </w:r>
    </w:p>
    <w:p w14:paraId="302E6E58">
      <w:pPr>
        <w:pStyle w:val="33"/>
        <w:numPr>
          <w:ilvl w:val="0"/>
          <w:numId w:val="19"/>
        </w:numPr>
        <w:autoSpaceDE w:val="0"/>
        <w:autoSpaceDN w:val="0"/>
        <w:adjustRightInd w:val="0"/>
        <w:spacing w:line="360" w:lineRule="auto"/>
        <w:ind w:firstLineChars="0"/>
        <w:rPr>
          <w:rFonts w:ascii="宋体" w:hAnsi="宋体"/>
          <w:color w:val="000000"/>
        </w:rPr>
      </w:pPr>
      <w:r>
        <w:rPr>
          <w:rFonts w:hint="eastAsia" w:ascii="宋体" w:hAnsi="宋体"/>
          <w:color w:val="000000"/>
        </w:rPr>
        <w:t>本声明函必须提供且内容不得擅自删改，否则视为响应无效。</w:t>
      </w:r>
    </w:p>
    <w:p w14:paraId="004BFF36">
      <w:pPr>
        <w:pStyle w:val="33"/>
        <w:numPr>
          <w:ilvl w:val="0"/>
          <w:numId w:val="19"/>
        </w:numPr>
        <w:snapToGrid w:val="0"/>
        <w:spacing w:line="360" w:lineRule="auto"/>
        <w:ind w:firstLineChars="0"/>
        <w:rPr>
          <w:rFonts w:ascii="宋体" w:hAnsi="宋体"/>
          <w:color w:val="000000"/>
          <w:szCs w:val="21"/>
        </w:rPr>
      </w:pPr>
      <w:r>
        <w:rPr>
          <w:rFonts w:hint="eastAsia" w:ascii="宋体" w:hAnsi="宋体"/>
          <w:color w:val="000000"/>
          <w:szCs w:val="21"/>
        </w:rPr>
        <w:t>本声明函如有虚假或与事实不符的，作无效报价处理。</w:t>
      </w:r>
    </w:p>
    <w:p w14:paraId="7E8A7AE7">
      <w:pPr>
        <w:widowControl/>
        <w:spacing w:line="360" w:lineRule="auto"/>
        <w:jc w:val="left"/>
        <w:rPr>
          <w:rFonts w:ascii="宋体" w:hAnsi="宋体"/>
          <w:b/>
          <w:bCs/>
          <w:color w:val="000000"/>
          <w:kern w:val="0"/>
          <w:sz w:val="32"/>
          <w:szCs w:val="32"/>
        </w:rPr>
      </w:pPr>
    </w:p>
    <w:p w14:paraId="2199EA48">
      <w:pPr>
        <w:wordWrap w:val="0"/>
        <w:spacing w:line="360" w:lineRule="auto"/>
        <w:jc w:val="right"/>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28BD7F7C">
      <w:pPr>
        <w:spacing w:line="360" w:lineRule="auto"/>
        <w:ind w:firstLine="105" w:firstLineChars="50"/>
        <w:jc w:val="right"/>
        <w:rPr>
          <w:rFonts w:ascii="宋体" w:hAnsi="宋体"/>
          <w:color w:val="000000"/>
          <w:szCs w:val="21"/>
          <w:u w:val="single"/>
        </w:rPr>
      </w:pPr>
    </w:p>
    <w:p w14:paraId="08D07BC9">
      <w:pPr>
        <w:wordWrap w:val="0"/>
        <w:spacing w:line="360" w:lineRule="auto"/>
        <w:jc w:val="right"/>
        <w:rPr>
          <w:rFonts w:ascii="宋体" w:hAnsi="宋体"/>
          <w:color w:val="000000"/>
          <w:szCs w:val="21"/>
          <w:u w:val="single"/>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4129894A">
      <w:pPr>
        <w:widowControl/>
        <w:spacing w:line="360" w:lineRule="auto"/>
        <w:jc w:val="right"/>
        <w:rPr>
          <w:rFonts w:ascii="宋体" w:hAnsi="宋体"/>
          <w:b/>
          <w:bCs/>
          <w:color w:val="000000"/>
          <w:kern w:val="0"/>
          <w:sz w:val="32"/>
          <w:szCs w:val="32"/>
          <w:lang w:val="zh-CN"/>
        </w:rPr>
      </w:pPr>
    </w:p>
    <w:p w14:paraId="7184A95B">
      <w:pPr>
        <w:spacing w:line="360" w:lineRule="auto"/>
        <w:rPr>
          <w:rFonts w:ascii="宋体" w:hAnsi="宋体"/>
          <w:color w:val="000000"/>
        </w:rPr>
      </w:pPr>
    </w:p>
    <w:p w14:paraId="09620139">
      <w:pPr>
        <w:widowControl/>
        <w:spacing w:line="360" w:lineRule="auto"/>
        <w:jc w:val="left"/>
        <w:rPr>
          <w:rFonts w:ascii="宋体" w:hAnsi="宋体"/>
          <w:b/>
          <w:bCs/>
          <w:color w:val="000000"/>
          <w:kern w:val="0"/>
          <w:sz w:val="32"/>
          <w:szCs w:val="32"/>
          <w:lang w:val="zh-CN"/>
        </w:rPr>
      </w:pPr>
      <w:r>
        <w:rPr>
          <w:rFonts w:hint="eastAsia" w:ascii="宋体" w:hAnsi="宋体"/>
          <w:color w:val="000000"/>
        </w:rPr>
        <w:br w:type="page"/>
      </w:r>
    </w:p>
    <w:p w14:paraId="0FD5903F">
      <w:pPr>
        <w:pStyle w:val="4"/>
        <w:rPr>
          <w:rFonts w:ascii="宋体" w:hAnsi="宋体" w:eastAsia="宋体" w:cs="宋体"/>
          <w:b/>
          <w:bCs w:val="0"/>
        </w:rPr>
      </w:pPr>
      <w:r>
        <w:rPr>
          <w:rFonts w:hint="eastAsia" w:ascii="宋体" w:hAnsi="宋体" w:eastAsia="宋体" w:cs="宋体"/>
          <w:b/>
          <w:bCs w:val="0"/>
        </w:rPr>
        <w:t>供应商资格声明函</w:t>
      </w:r>
    </w:p>
    <w:p w14:paraId="0F0B7EA2">
      <w:pPr>
        <w:rPr>
          <w:rFonts w:ascii="宋体" w:hAnsi="宋体"/>
          <w:b/>
          <w:color w:val="000000"/>
          <w:szCs w:val="24"/>
        </w:rPr>
      </w:pPr>
    </w:p>
    <w:p w14:paraId="4705B3BD">
      <w:pPr>
        <w:rPr>
          <w:rFonts w:ascii="宋体" w:hAnsi="宋体"/>
          <w:b/>
          <w:color w:val="000000"/>
          <w:szCs w:val="24"/>
        </w:rPr>
      </w:pPr>
      <w:r>
        <w:rPr>
          <w:rFonts w:hint="eastAsia" w:ascii="宋体" w:hAnsi="宋体"/>
          <w:b/>
          <w:color w:val="000000"/>
          <w:szCs w:val="21"/>
        </w:rPr>
        <w:t>致：</w:t>
      </w:r>
      <w:r>
        <w:rPr>
          <w:rFonts w:hint="eastAsia" w:ascii="宋体" w:hAnsi="宋体"/>
          <w:b/>
          <w:color w:val="000000"/>
          <w:szCs w:val="24"/>
        </w:rPr>
        <w:t>广东省肇庆监狱、</w:t>
      </w:r>
      <w:r>
        <w:rPr>
          <w:rFonts w:hint="eastAsia" w:ascii="宋体" w:hAnsi="宋体"/>
          <w:b/>
          <w:color w:val="000000"/>
        </w:rPr>
        <w:t>采联国际招标采购集团有限公司</w:t>
      </w:r>
      <w:r>
        <w:rPr>
          <w:rFonts w:hint="eastAsia" w:ascii="宋体" w:hAnsi="宋体"/>
          <w:b/>
          <w:color w:val="000000"/>
          <w:szCs w:val="24"/>
        </w:rPr>
        <w:t>：</w:t>
      </w:r>
    </w:p>
    <w:p w14:paraId="40CD3DEA">
      <w:pPr>
        <w:rPr>
          <w:rFonts w:ascii="宋体" w:hAnsi="宋体"/>
          <w:b/>
          <w:color w:val="000000"/>
          <w:szCs w:val="24"/>
        </w:rPr>
      </w:pPr>
    </w:p>
    <w:p w14:paraId="1CCD1533">
      <w:pPr>
        <w:snapToGrid w:val="0"/>
        <w:spacing w:line="360" w:lineRule="auto"/>
        <w:ind w:firstLine="424" w:firstLineChars="202"/>
        <w:rPr>
          <w:rFonts w:ascii="宋体" w:hAnsi="宋体"/>
          <w:color w:val="000000"/>
          <w:szCs w:val="24"/>
        </w:rPr>
      </w:pPr>
      <w:r>
        <w:rPr>
          <w:rFonts w:hint="eastAsia" w:ascii="宋体" w:hAnsi="宋体"/>
          <w:color w:val="000000"/>
          <w:szCs w:val="24"/>
        </w:rPr>
        <w:t>关于贵单位、贵司发布</w:t>
      </w:r>
      <w:r>
        <w:rPr>
          <w:rFonts w:hint="eastAsia" w:ascii="宋体" w:hAnsi="宋体"/>
          <w:b/>
          <w:bCs/>
          <w:color w:val="000000"/>
          <w:szCs w:val="32"/>
          <w:u w:val="single"/>
        </w:rPr>
        <w:t>广东省肇庆监狱2025年教育活动物资采购项目</w:t>
      </w:r>
      <w:r>
        <w:rPr>
          <w:rFonts w:hint="eastAsia" w:ascii="宋体" w:hAnsi="宋体"/>
          <w:color w:val="000000"/>
          <w:szCs w:val="24"/>
        </w:rPr>
        <w:t>的竞价公告，本公司（企业）愿意参加竞价活动，并作出如下声明：</w:t>
      </w:r>
    </w:p>
    <w:p w14:paraId="02B2FB2E">
      <w:pPr>
        <w:snapToGrid w:val="0"/>
        <w:spacing w:line="360" w:lineRule="auto"/>
        <w:ind w:firstLine="420" w:firstLineChars="200"/>
        <w:rPr>
          <w:rFonts w:ascii="宋体" w:hAnsi="宋体"/>
          <w:bCs/>
          <w:szCs w:val="20"/>
        </w:rPr>
      </w:pPr>
      <w:r>
        <w:rPr>
          <w:rFonts w:hint="eastAsia" w:ascii="宋体" w:hAnsi="宋体"/>
          <w:szCs w:val="24"/>
        </w:rPr>
        <w:t>一、本公司（企业）</w:t>
      </w:r>
      <w:r>
        <w:rPr>
          <w:rFonts w:hint="eastAsia" w:ascii="宋体" w:hAnsi="宋体"/>
          <w:bCs/>
          <w:szCs w:val="20"/>
        </w:rPr>
        <w:t>具备：</w:t>
      </w:r>
    </w:p>
    <w:p w14:paraId="275AC949">
      <w:pPr>
        <w:widowControl/>
        <w:spacing w:line="360" w:lineRule="auto"/>
        <w:ind w:firstLine="360"/>
        <w:rPr>
          <w:rFonts w:ascii="宋体" w:hAnsi="宋体"/>
          <w:kern w:val="0"/>
          <w:szCs w:val="21"/>
        </w:rPr>
      </w:pPr>
      <w:r>
        <w:rPr>
          <w:rFonts w:hint="eastAsia" w:ascii="宋体" w:hAnsi="宋体"/>
          <w:kern w:val="0"/>
          <w:szCs w:val="21"/>
        </w:rPr>
        <w:t>（一）具有独立承担民事责任的能力；</w:t>
      </w:r>
    </w:p>
    <w:p w14:paraId="60E8CA7D">
      <w:pPr>
        <w:widowControl/>
        <w:spacing w:line="360" w:lineRule="auto"/>
        <w:ind w:firstLine="360"/>
        <w:rPr>
          <w:rFonts w:ascii="宋体" w:hAnsi="宋体"/>
          <w:kern w:val="0"/>
          <w:szCs w:val="21"/>
        </w:rPr>
      </w:pPr>
      <w:r>
        <w:rPr>
          <w:rFonts w:hint="eastAsia" w:ascii="宋体" w:hAnsi="宋体"/>
          <w:kern w:val="0"/>
          <w:szCs w:val="21"/>
        </w:rPr>
        <w:t xml:space="preserve">（二）具有良好的商业信誉和健全的财务会计制度； </w:t>
      </w:r>
    </w:p>
    <w:p w14:paraId="5DAD0D80">
      <w:pPr>
        <w:widowControl/>
        <w:spacing w:line="360" w:lineRule="auto"/>
        <w:ind w:firstLine="360"/>
        <w:rPr>
          <w:rFonts w:ascii="宋体" w:hAnsi="宋体"/>
          <w:kern w:val="0"/>
          <w:szCs w:val="21"/>
        </w:rPr>
      </w:pPr>
      <w:r>
        <w:rPr>
          <w:rFonts w:hint="eastAsia" w:ascii="宋体" w:hAnsi="宋体"/>
          <w:kern w:val="0"/>
          <w:szCs w:val="21"/>
        </w:rPr>
        <w:t>（三）具有履行合同所必需的设备和专业技术能力；</w:t>
      </w:r>
    </w:p>
    <w:p w14:paraId="52EBDD83">
      <w:pPr>
        <w:widowControl/>
        <w:spacing w:line="360" w:lineRule="auto"/>
        <w:ind w:firstLine="360"/>
        <w:rPr>
          <w:rFonts w:ascii="宋体" w:hAnsi="宋体"/>
          <w:kern w:val="0"/>
          <w:szCs w:val="21"/>
        </w:rPr>
      </w:pPr>
      <w:r>
        <w:rPr>
          <w:rFonts w:hint="eastAsia" w:ascii="宋体" w:hAnsi="宋体"/>
          <w:kern w:val="0"/>
          <w:szCs w:val="21"/>
        </w:rPr>
        <w:t>（四）有依法缴纳税收和社会保障资金的良好记录；</w:t>
      </w:r>
    </w:p>
    <w:p w14:paraId="3D9DC7A7">
      <w:pPr>
        <w:widowControl/>
        <w:spacing w:line="360" w:lineRule="auto"/>
        <w:ind w:firstLine="360"/>
        <w:rPr>
          <w:rFonts w:ascii="宋体" w:hAnsi="宋体"/>
          <w:kern w:val="0"/>
          <w:szCs w:val="21"/>
        </w:rPr>
      </w:pPr>
      <w:r>
        <w:rPr>
          <w:rFonts w:hint="eastAsia" w:ascii="宋体" w:hAnsi="宋体"/>
          <w:kern w:val="0"/>
          <w:szCs w:val="21"/>
        </w:rPr>
        <w:t>（五）</w:t>
      </w:r>
      <w:r>
        <w:rPr>
          <w:rFonts w:hint="eastAsia" w:ascii="宋体" w:hAnsi="宋体"/>
        </w:rP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kern w:val="0"/>
          <w:szCs w:val="21"/>
        </w:rPr>
        <w:t>；</w:t>
      </w:r>
    </w:p>
    <w:p w14:paraId="69011C12">
      <w:pPr>
        <w:widowControl/>
        <w:spacing w:line="360" w:lineRule="auto"/>
        <w:ind w:firstLine="360"/>
        <w:rPr>
          <w:rFonts w:ascii="宋体" w:hAnsi="宋体"/>
          <w:kern w:val="0"/>
          <w:szCs w:val="21"/>
        </w:rPr>
      </w:pPr>
      <w:r>
        <w:rPr>
          <w:rFonts w:hint="eastAsia" w:ascii="宋体" w:hAnsi="宋体"/>
          <w:kern w:val="0"/>
          <w:szCs w:val="21"/>
        </w:rPr>
        <w:t>（六）法律、行政法规规定的其他条件。</w:t>
      </w:r>
    </w:p>
    <w:p w14:paraId="6A9EC68A">
      <w:pPr>
        <w:snapToGrid w:val="0"/>
        <w:spacing w:line="360" w:lineRule="auto"/>
        <w:ind w:firstLine="424" w:firstLineChars="202"/>
        <w:rPr>
          <w:rFonts w:ascii="宋体" w:hAnsi="宋体"/>
          <w:szCs w:val="24"/>
        </w:rPr>
      </w:pPr>
      <w:r>
        <w:rPr>
          <w:rFonts w:hint="eastAsia" w:ascii="宋体" w:hAnsi="宋体"/>
          <w:szCs w:val="24"/>
        </w:rPr>
        <w:t>二、本公司（企业）的法定代表人或单位负责人与所参投的本项目其他供应商的法定代表人或单位负责人不为同一人且与其他供应商之间不存在直接控股、管理关系。</w:t>
      </w:r>
    </w:p>
    <w:p w14:paraId="68337A77">
      <w:pPr>
        <w:snapToGrid w:val="0"/>
        <w:spacing w:line="360" w:lineRule="auto"/>
        <w:ind w:firstLine="424" w:firstLineChars="202"/>
        <w:rPr>
          <w:rFonts w:ascii="宋体" w:hAnsi="宋体"/>
          <w:szCs w:val="24"/>
        </w:rPr>
      </w:pPr>
      <w:r>
        <w:rPr>
          <w:rFonts w:hint="eastAsia" w:ascii="宋体" w:hAnsi="宋体"/>
          <w:szCs w:val="24"/>
        </w:rPr>
        <w:t>三、本公司（企业）在本项目中不转包分包且不联合竞价。</w:t>
      </w:r>
    </w:p>
    <w:p w14:paraId="19EE1B5F">
      <w:pPr>
        <w:snapToGrid w:val="0"/>
        <w:spacing w:line="360" w:lineRule="auto"/>
        <w:ind w:firstLine="424" w:firstLineChars="202"/>
        <w:rPr>
          <w:rFonts w:ascii="宋体" w:hAnsi="宋体"/>
          <w:szCs w:val="21"/>
        </w:rPr>
      </w:pPr>
      <w:r>
        <w:rPr>
          <w:rFonts w:hint="eastAsia" w:ascii="宋体" w:hAnsi="宋体"/>
          <w:szCs w:val="21"/>
        </w:rPr>
        <w:t>本公司（企业）承诺在本次采购活动中，如有违法、违规、弄虚作假行为，所造成的损失、不良后果及法律责任，一律由我公司（企业）承担。</w:t>
      </w:r>
    </w:p>
    <w:p w14:paraId="5E9CD3D1">
      <w:pPr>
        <w:spacing w:line="360" w:lineRule="auto"/>
        <w:ind w:firstLine="420"/>
        <w:rPr>
          <w:rFonts w:ascii="宋体" w:hAnsi="宋体"/>
          <w:szCs w:val="21"/>
        </w:rPr>
      </w:pPr>
      <w:r>
        <w:rPr>
          <w:rFonts w:hint="eastAsia" w:ascii="宋体" w:hAnsi="宋体"/>
          <w:szCs w:val="21"/>
        </w:rPr>
        <w:t>特此声明！</w:t>
      </w:r>
    </w:p>
    <w:p w14:paraId="4176DDA1">
      <w:pPr>
        <w:autoSpaceDE w:val="0"/>
        <w:autoSpaceDN w:val="0"/>
        <w:adjustRightInd w:val="0"/>
        <w:spacing w:line="360" w:lineRule="auto"/>
        <w:ind w:firstLine="413" w:firstLineChars="196"/>
        <w:rPr>
          <w:rFonts w:ascii="宋体" w:hAnsi="宋体"/>
          <w:b/>
          <w:color w:val="000000"/>
        </w:rPr>
      </w:pPr>
      <w:r>
        <w:rPr>
          <w:rFonts w:hint="eastAsia" w:ascii="宋体" w:hAnsi="宋体"/>
          <w:b/>
          <w:color w:val="000000"/>
        </w:rPr>
        <w:t>备注：</w:t>
      </w:r>
    </w:p>
    <w:p w14:paraId="08214820">
      <w:pPr>
        <w:pStyle w:val="33"/>
        <w:numPr>
          <w:ilvl w:val="0"/>
          <w:numId w:val="20"/>
        </w:numPr>
        <w:autoSpaceDE w:val="0"/>
        <w:autoSpaceDN w:val="0"/>
        <w:adjustRightInd w:val="0"/>
        <w:spacing w:line="360" w:lineRule="auto"/>
        <w:ind w:firstLineChars="0"/>
        <w:rPr>
          <w:rFonts w:ascii="宋体" w:hAnsi="宋体"/>
          <w:color w:val="000000"/>
        </w:rPr>
      </w:pPr>
      <w:r>
        <w:rPr>
          <w:rFonts w:hint="eastAsia" w:ascii="宋体" w:hAnsi="宋体"/>
          <w:color w:val="000000"/>
        </w:rPr>
        <w:t>本声明函必须提供且内容不得擅自删改，否则视为响应无效。</w:t>
      </w:r>
    </w:p>
    <w:p w14:paraId="7FD8B6E8">
      <w:pPr>
        <w:pStyle w:val="33"/>
        <w:numPr>
          <w:ilvl w:val="0"/>
          <w:numId w:val="20"/>
        </w:numPr>
        <w:snapToGrid w:val="0"/>
        <w:spacing w:line="360" w:lineRule="auto"/>
        <w:ind w:firstLineChars="0"/>
        <w:rPr>
          <w:rFonts w:ascii="宋体" w:hAnsi="宋体"/>
          <w:color w:val="000000"/>
          <w:szCs w:val="21"/>
        </w:rPr>
      </w:pPr>
      <w:r>
        <w:rPr>
          <w:rFonts w:hint="eastAsia" w:ascii="宋体" w:hAnsi="宋体"/>
          <w:color w:val="000000"/>
          <w:szCs w:val="21"/>
        </w:rPr>
        <w:t>本声明函如有虚假或与事实不符的，作无效报价处理。</w:t>
      </w:r>
    </w:p>
    <w:p w14:paraId="37EDE6D5">
      <w:pPr>
        <w:pStyle w:val="33"/>
        <w:wordWrap w:val="0"/>
        <w:spacing w:line="360" w:lineRule="auto"/>
        <w:ind w:left="1200" w:right="218" w:firstLine="0" w:firstLineChars="0"/>
        <w:jc w:val="right"/>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3CBD394B">
      <w:pPr>
        <w:pStyle w:val="33"/>
        <w:wordWrap w:val="0"/>
        <w:spacing w:line="360" w:lineRule="auto"/>
        <w:ind w:left="1200" w:right="218" w:firstLine="0" w:firstLineChars="0"/>
        <w:jc w:val="right"/>
        <w:rPr>
          <w:rFonts w:ascii="宋体" w:hAnsi="宋体"/>
          <w:color w:val="000000"/>
          <w:spacing w:val="4"/>
          <w:szCs w:val="21"/>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424BC9C3">
      <w:pPr>
        <w:widowControl/>
        <w:jc w:val="left"/>
        <w:rPr>
          <w:rFonts w:ascii="宋体" w:hAnsi="宋体"/>
          <w:color w:val="000000"/>
        </w:rPr>
      </w:pPr>
    </w:p>
    <w:sectPr>
      <w:headerReference r:id="rId4" w:type="first"/>
      <w:headerReference r:id="rId3" w:type="default"/>
      <w:type w:val="continuous"/>
      <w:pgSz w:w="11906" w:h="16838"/>
      <w:pgMar w:top="1440" w:right="1080" w:bottom="1440" w:left="108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akuyoxingshu7000">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2BD2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9A7F5">
    <w:pPr>
      <w:pStyle w:val="15"/>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4BAA6"/>
    <w:multiLevelType w:val="singleLevel"/>
    <w:tmpl w:val="B7C4BAA6"/>
    <w:lvl w:ilvl="0" w:tentative="0">
      <w:start w:val="1"/>
      <w:numFmt w:val="chineseCounting"/>
      <w:suff w:val="nothing"/>
      <w:lvlText w:val="（%1）"/>
      <w:lvlJc w:val="left"/>
      <w:pPr>
        <w:ind w:left="0" w:firstLine="420"/>
      </w:pPr>
      <w:rPr>
        <w:rFonts w:hint="eastAsia"/>
      </w:rPr>
    </w:lvl>
  </w:abstractNum>
  <w:abstractNum w:abstractNumId="1">
    <w:nsid w:val="CE903637"/>
    <w:multiLevelType w:val="singleLevel"/>
    <w:tmpl w:val="CE903637"/>
    <w:lvl w:ilvl="0" w:tentative="0">
      <w:start w:val="1"/>
      <w:numFmt w:val="chineseCounting"/>
      <w:suff w:val="nothing"/>
      <w:lvlText w:val="（%1）"/>
      <w:lvlJc w:val="left"/>
      <w:pPr>
        <w:ind w:left="0" w:firstLine="420"/>
      </w:pPr>
      <w:rPr>
        <w:rFonts w:hint="eastAsia"/>
      </w:rPr>
    </w:lvl>
  </w:abstractNum>
  <w:abstractNum w:abstractNumId="2">
    <w:nsid w:val="DEA51AF4"/>
    <w:multiLevelType w:val="singleLevel"/>
    <w:tmpl w:val="DEA51AF4"/>
    <w:lvl w:ilvl="0" w:tentative="0">
      <w:start w:val="1"/>
      <w:numFmt w:val="chineseCounting"/>
      <w:suff w:val="nothing"/>
      <w:lvlText w:val="（%1）"/>
      <w:lvlJc w:val="left"/>
      <w:pPr>
        <w:ind w:left="0" w:firstLine="420"/>
      </w:pPr>
      <w:rPr>
        <w:rFonts w:hint="eastAsia"/>
      </w:rPr>
    </w:lvl>
  </w:abstractNum>
  <w:abstractNum w:abstractNumId="3">
    <w:nsid w:val="EFE33880"/>
    <w:multiLevelType w:val="singleLevel"/>
    <w:tmpl w:val="EFE33880"/>
    <w:lvl w:ilvl="0" w:tentative="0">
      <w:start w:val="1"/>
      <w:numFmt w:val="chineseCounting"/>
      <w:suff w:val="nothing"/>
      <w:lvlText w:val="（%1）"/>
      <w:lvlJc w:val="left"/>
      <w:pPr>
        <w:ind w:left="0" w:firstLine="420"/>
      </w:pPr>
      <w:rPr>
        <w:rFonts w:hint="eastAsia"/>
      </w:rPr>
    </w:lvl>
  </w:abstractNum>
  <w:abstractNum w:abstractNumId="4">
    <w:nsid w:val="00000001"/>
    <w:multiLevelType w:val="singleLevel"/>
    <w:tmpl w:val="00000001"/>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5">
    <w:nsid w:val="00000002"/>
    <w:multiLevelType w:val="singleLevel"/>
    <w:tmpl w:val="00000002"/>
    <w:lvl w:ilvl="0" w:tentative="0">
      <w:start w:val="1"/>
      <w:numFmt w:val="decimal"/>
      <w:lvlText w:val="(%1)"/>
      <w:lvlJc w:val="left"/>
      <w:pPr>
        <w:ind w:left="425" w:hanging="425"/>
      </w:pPr>
      <w:rPr>
        <w:rFonts w:hint="default" w:ascii="宋体" w:hAnsi="宋体" w:eastAsia="宋体" w:cs="宋体"/>
        <w:sz w:val="21"/>
        <w:szCs w:val="21"/>
      </w:rPr>
    </w:lvl>
  </w:abstractNum>
  <w:abstractNum w:abstractNumId="6">
    <w:nsid w:val="00000003"/>
    <w:multiLevelType w:val="singleLevel"/>
    <w:tmpl w:val="00000003"/>
    <w:lvl w:ilvl="0" w:tentative="0">
      <w:start w:val="1"/>
      <w:numFmt w:val="chineseCounting"/>
      <w:suff w:val="nothing"/>
      <w:lvlText w:val="（%1）"/>
      <w:lvlJc w:val="left"/>
      <w:pPr>
        <w:ind w:left="0" w:firstLine="420"/>
      </w:pPr>
      <w:rPr>
        <w:rFonts w:hint="eastAsia"/>
        <w:b/>
        <w:bCs/>
      </w:rPr>
    </w:lvl>
  </w:abstractNum>
  <w:abstractNum w:abstractNumId="7">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2"/>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06"/>
    <w:multiLevelType w:val="singleLevel"/>
    <w:tmpl w:val="00000006"/>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00000007"/>
    <w:multiLevelType w:val="multilevel"/>
    <w:tmpl w:val="00000007"/>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1">
    <w:nsid w:val="00000009"/>
    <w:multiLevelType w:val="singleLevel"/>
    <w:tmpl w:val="00000009"/>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2">
    <w:nsid w:val="0000000B"/>
    <w:multiLevelType w:val="singleLevel"/>
    <w:tmpl w:val="0000000B"/>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3">
    <w:nsid w:val="0000000E"/>
    <w:multiLevelType w:val="multilevel"/>
    <w:tmpl w:val="0000000E"/>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00000010"/>
    <w:multiLevelType w:val="singleLevel"/>
    <w:tmpl w:val="00000010"/>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5">
    <w:nsid w:val="00000011"/>
    <w:multiLevelType w:val="multilevel"/>
    <w:tmpl w:val="00000011"/>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00000015"/>
    <w:multiLevelType w:val="singleLevel"/>
    <w:tmpl w:val="00000015"/>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7">
    <w:nsid w:val="00000016"/>
    <w:multiLevelType w:val="multilevel"/>
    <w:tmpl w:val="00000016"/>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17"/>
    <w:multiLevelType w:val="multilevel"/>
    <w:tmpl w:val="00000017"/>
    <w:lvl w:ilvl="0" w:tentative="0">
      <w:start w:val="1"/>
      <w:numFmt w:val="decimal"/>
      <w:suff w:val="space"/>
      <w:lvlText w:val="%1."/>
      <w:lvlJc w:val="left"/>
      <w:pPr>
        <w:ind w:left="420" w:hanging="420"/>
      </w:pPr>
      <w:rPr>
        <w:rFonts w:hint="default" w:ascii="宋体" w:hAnsi="宋体" w:eastAsia="宋体"/>
        <w:b/>
        <w:bCs/>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19260921"/>
    <w:multiLevelType w:val="singleLevel"/>
    <w:tmpl w:val="19260921"/>
    <w:lvl w:ilvl="0" w:tentative="0">
      <w:start w:val="1"/>
      <w:numFmt w:val="decimal"/>
      <w:suff w:val="nothing"/>
      <w:lvlText w:val="%1．"/>
      <w:lvlJc w:val="left"/>
      <w:pPr>
        <w:ind w:left="0" w:firstLine="400"/>
      </w:pPr>
      <w:rPr>
        <w:rFonts w:hint="default" w:ascii="宋体" w:hAnsi="宋体" w:eastAsia="宋体" w:cs="宋体"/>
        <w:sz w:val="21"/>
        <w:szCs w:val="21"/>
      </w:rPr>
    </w:lvl>
  </w:abstractNum>
  <w:num w:numId="1">
    <w:abstractNumId w:val="8"/>
  </w:num>
  <w:num w:numId="2">
    <w:abstractNumId w:val="17"/>
  </w:num>
  <w:num w:numId="3">
    <w:abstractNumId w:val="6"/>
  </w:num>
  <w:num w:numId="4">
    <w:abstractNumId w:val="14"/>
  </w:num>
  <w:num w:numId="5">
    <w:abstractNumId w:val="4"/>
  </w:num>
  <w:num w:numId="6">
    <w:abstractNumId w:val="9"/>
  </w:num>
  <w:num w:numId="7">
    <w:abstractNumId w:val="11"/>
  </w:num>
  <w:num w:numId="8">
    <w:abstractNumId w:val="16"/>
  </w:num>
  <w:num w:numId="9">
    <w:abstractNumId w:val="12"/>
  </w:num>
  <w:num w:numId="10">
    <w:abstractNumId w:val="5"/>
  </w:num>
  <w:num w:numId="11">
    <w:abstractNumId w:val="19"/>
  </w:num>
  <w:num w:numId="12">
    <w:abstractNumId w:val="10"/>
  </w:num>
  <w:num w:numId="13">
    <w:abstractNumId w:val="7"/>
  </w:num>
  <w:num w:numId="14">
    <w:abstractNumId w:val="3"/>
  </w:num>
  <w:num w:numId="15">
    <w:abstractNumId w:val="1"/>
  </w:num>
  <w:num w:numId="16">
    <w:abstractNumId w:val="2"/>
  </w:num>
  <w:num w:numId="17">
    <w:abstractNumId w:val="0"/>
  </w:num>
  <w:num w:numId="18">
    <w:abstractNumId w:val="18"/>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YzY5MzAyNjVjZjgyYmZhNzY3NjFiOWFkNThiZmIifQ=="/>
  </w:docVars>
  <w:rsids>
    <w:rsidRoot w:val="00172A27"/>
    <w:rsid w:val="00000D44"/>
    <w:rsid w:val="000018C2"/>
    <w:rsid w:val="00007615"/>
    <w:rsid w:val="00007D55"/>
    <w:rsid w:val="000163F0"/>
    <w:rsid w:val="00021183"/>
    <w:rsid w:val="00026973"/>
    <w:rsid w:val="000357F9"/>
    <w:rsid w:val="000368B2"/>
    <w:rsid w:val="00061A65"/>
    <w:rsid w:val="00064D69"/>
    <w:rsid w:val="00064ED3"/>
    <w:rsid w:val="000704CE"/>
    <w:rsid w:val="00093850"/>
    <w:rsid w:val="000A178A"/>
    <w:rsid w:val="000A4D17"/>
    <w:rsid w:val="000A4FC5"/>
    <w:rsid w:val="000B4E64"/>
    <w:rsid w:val="000C3B05"/>
    <w:rsid w:val="000D77A8"/>
    <w:rsid w:val="000E3AB1"/>
    <w:rsid w:val="00102F3E"/>
    <w:rsid w:val="00104410"/>
    <w:rsid w:val="00104AAE"/>
    <w:rsid w:val="00117CD6"/>
    <w:rsid w:val="00120C1E"/>
    <w:rsid w:val="001276F0"/>
    <w:rsid w:val="001331DD"/>
    <w:rsid w:val="00135164"/>
    <w:rsid w:val="00135422"/>
    <w:rsid w:val="00141FCC"/>
    <w:rsid w:val="001462EF"/>
    <w:rsid w:val="001501EF"/>
    <w:rsid w:val="00154365"/>
    <w:rsid w:val="00154B2B"/>
    <w:rsid w:val="00154FF7"/>
    <w:rsid w:val="00155218"/>
    <w:rsid w:val="00156670"/>
    <w:rsid w:val="00161258"/>
    <w:rsid w:val="001723F0"/>
    <w:rsid w:val="00172A27"/>
    <w:rsid w:val="00172E02"/>
    <w:rsid w:val="00173E7B"/>
    <w:rsid w:val="001746B1"/>
    <w:rsid w:val="00181FF7"/>
    <w:rsid w:val="00184304"/>
    <w:rsid w:val="001913D2"/>
    <w:rsid w:val="00197F57"/>
    <w:rsid w:val="001A5D6F"/>
    <w:rsid w:val="001A6F4C"/>
    <w:rsid w:val="001B1FB1"/>
    <w:rsid w:val="001B3A99"/>
    <w:rsid w:val="001C4EFF"/>
    <w:rsid w:val="001D5EA6"/>
    <w:rsid w:val="001D7372"/>
    <w:rsid w:val="001E0379"/>
    <w:rsid w:val="001F2B06"/>
    <w:rsid w:val="00206D14"/>
    <w:rsid w:val="002153E1"/>
    <w:rsid w:val="002208D3"/>
    <w:rsid w:val="002221A8"/>
    <w:rsid w:val="00232DC3"/>
    <w:rsid w:val="00234E01"/>
    <w:rsid w:val="002376A9"/>
    <w:rsid w:val="00247368"/>
    <w:rsid w:val="002524EC"/>
    <w:rsid w:val="00262E31"/>
    <w:rsid w:val="00265EBD"/>
    <w:rsid w:val="00271C1C"/>
    <w:rsid w:val="00273482"/>
    <w:rsid w:val="00286571"/>
    <w:rsid w:val="002961EA"/>
    <w:rsid w:val="002B6234"/>
    <w:rsid w:val="002D044C"/>
    <w:rsid w:val="002D46D1"/>
    <w:rsid w:val="002D4B3F"/>
    <w:rsid w:val="002D5DDF"/>
    <w:rsid w:val="002D62A6"/>
    <w:rsid w:val="002E0A58"/>
    <w:rsid w:val="002E10EE"/>
    <w:rsid w:val="002E295B"/>
    <w:rsid w:val="002F17C3"/>
    <w:rsid w:val="002F2EA1"/>
    <w:rsid w:val="002F55B8"/>
    <w:rsid w:val="002F7A77"/>
    <w:rsid w:val="00302C9A"/>
    <w:rsid w:val="00326D3C"/>
    <w:rsid w:val="0033023F"/>
    <w:rsid w:val="00337C04"/>
    <w:rsid w:val="003407FE"/>
    <w:rsid w:val="00342AD0"/>
    <w:rsid w:val="00353A08"/>
    <w:rsid w:val="00367A3B"/>
    <w:rsid w:val="00371FD4"/>
    <w:rsid w:val="00374C08"/>
    <w:rsid w:val="00382368"/>
    <w:rsid w:val="003A17C5"/>
    <w:rsid w:val="003A4170"/>
    <w:rsid w:val="003A6EAE"/>
    <w:rsid w:val="003B16A8"/>
    <w:rsid w:val="003B1BDB"/>
    <w:rsid w:val="003B33C4"/>
    <w:rsid w:val="003B3F1F"/>
    <w:rsid w:val="003C3F22"/>
    <w:rsid w:val="003D487C"/>
    <w:rsid w:val="003D4C82"/>
    <w:rsid w:val="003E20A6"/>
    <w:rsid w:val="003F0A0E"/>
    <w:rsid w:val="00412760"/>
    <w:rsid w:val="00413EFC"/>
    <w:rsid w:val="0041441D"/>
    <w:rsid w:val="00417451"/>
    <w:rsid w:val="00426444"/>
    <w:rsid w:val="004331B1"/>
    <w:rsid w:val="004335CA"/>
    <w:rsid w:val="00442801"/>
    <w:rsid w:val="00445AD4"/>
    <w:rsid w:val="00456910"/>
    <w:rsid w:val="00471EAD"/>
    <w:rsid w:val="00487BD3"/>
    <w:rsid w:val="004A24D5"/>
    <w:rsid w:val="004B6D4E"/>
    <w:rsid w:val="004C2F12"/>
    <w:rsid w:val="004D4B8E"/>
    <w:rsid w:val="004E2034"/>
    <w:rsid w:val="004E255F"/>
    <w:rsid w:val="004E293C"/>
    <w:rsid w:val="004E6130"/>
    <w:rsid w:val="004F18A3"/>
    <w:rsid w:val="00502BD9"/>
    <w:rsid w:val="00502ED8"/>
    <w:rsid w:val="005135F9"/>
    <w:rsid w:val="00521132"/>
    <w:rsid w:val="0052453D"/>
    <w:rsid w:val="0052500F"/>
    <w:rsid w:val="00530992"/>
    <w:rsid w:val="005410AF"/>
    <w:rsid w:val="00550BD7"/>
    <w:rsid w:val="00551D76"/>
    <w:rsid w:val="00562B6B"/>
    <w:rsid w:val="0056621D"/>
    <w:rsid w:val="0057595C"/>
    <w:rsid w:val="0057678F"/>
    <w:rsid w:val="00577D29"/>
    <w:rsid w:val="00581635"/>
    <w:rsid w:val="00593636"/>
    <w:rsid w:val="005A47B9"/>
    <w:rsid w:val="005B5F0A"/>
    <w:rsid w:val="005C11AA"/>
    <w:rsid w:val="005C533E"/>
    <w:rsid w:val="005C54EC"/>
    <w:rsid w:val="005D6048"/>
    <w:rsid w:val="005D6822"/>
    <w:rsid w:val="005E187C"/>
    <w:rsid w:val="005E61F1"/>
    <w:rsid w:val="005F0513"/>
    <w:rsid w:val="005F18DD"/>
    <w:rsid w:val="006044DF"/>
    <w:rsid w:val="00611AA8"/>
    <w:rsid w:val="006131F5"/>
    <w:rsid w:val="00615DAA"/>
    <w:rsid w:val="00620AF3"/>
    <w:rsid w:val="00620C18"/>
    <w:rsid w:val="0063322B"/>
    <w:rsid w:val="0063394B"/>
    <w:rsid w:val="00634CD5"/>
    <w:rsid w:val="0063628C"/>
    <w:rsid w:val="00643553"/>
    <w:rsid w:val="0064538A"/>
    <w:rsid w:val="006536F2"/>
    <w:rsid w:val="00655159"/>
    <w:rsid w:val="0065765F"/>
    <w:rsid w:val="00657B1D"/>
    <w:rsid w:val="00664772"/>
    <w:rsid w:val="0068034A"/>
    <w:rsid w:val="00681622"/>
    <w:rsid w:val="006821A9"/>
    <w:rsid w:val="00693BEE"/>
    <w:rsid w:val="00695332"/>
    <w:rsid w:val="00695449"/>
    <w:rsid w:val="00697F53"/>
    <w:rsid w:val="006A0E6C"/>
    <w:rsid w:val="006A3E3F"/>
    <w:rsid w:val="006A7E0C"/>
    <w:rsid w:val="006B6450"/>
    <w:rsid w:val="006C2438"/>
    <w:rsid w:val="006C26DA"/>
    <w:rsid w:val="006D35E5"/>
    <w:rsid w:val="006E1553"/>
    <w:rsid w:val="006E6554"/>
    <w:rsid w:val="006E691A"/>
    <w:rsid w:val="007005F8"/>
    <w:rsid w:val="007116E1"/>
    <w:rsid w:val="007204B7"/>
    <w:rsid w:val="007245F0"/>
    <w:rsid w:val="0072784B"/>
    <w:rsid w:val="00732355"/>
    <w:rsid w:val="007326A6"/>
    <w:rsid w:val="00735C49"/>
    <w:rsid w:val="007373EE"/>
    <w:rsid w:val="007374AD"/>
    <w:rsid w:val="0074099D"/>
    <w:rsid w:val="00744A48"/>
    <w:rsid w:val="00746D1E"/>
    <w:rsid w:val="007475F6"/>
    <w:rsid w:val="007504E3"/>
    <w:rsid w:val="00752DAE"/>
    <w:rsid w:val="00753305"/>
    <w:rsid w:val="007536AC"/>
    <w:rsid w:val="00753BB5"/>
    <w:rsid w:val="007549D2"/>
    <w:rsid w:val="007557B5"/>
    <w:rsid w:val="007566BA"/>
    <w:rsid w:val="00756B86"/>
    <w:rsid w:val="007631BA"/>
    <w:rsid w:val="007656AD"/>
    <w:rsid w:val="007710FA"/>
    <w:rsid w:val="007748F0"/>
    <w:rsid w:val="00780F05"/>
    <w:rsid w:val="007A0C99"/>
    <w:rsid w:val="007A34C3"/>
    <w:rsid w:val="007A3709"/>
    <w:rsid w:val="007A6359"/>
    <w:rsid w:val="007B2A19"/>
    <w:rsid w:val="007B3E44"/>
    <w:rsid w:val="007C0042"/>
    <w:rsid w:val="007C0FA8"/>
    <w:rsid w:val="007C2036"/>
    <w:rsid w:val="007C25E1"/>
    <w:rsid w:val="007C4C5B"/>
    <w:rsid w:val="007C7107"/>
    <w:rsid w:val="007F25C8"/>
    <w:rsid w:val="0080616B"/>
    <w:rsid w:val="00807F9F"/>
    <w:rsid w:val="00811983"/>
    <w:rsid w:val="00817F01"/>
    <w:rsid w:val="00823C2D"/>
    <w:rsid w:val="00824B55"/>
    <w:rsid w:val="00832331"/>
    <w:rsid w:val="00833656"/>
    <w:rsid w:val="00834860"/>
    <w:rsid w:val="008515FB"/>
    <w:rsid w:val="008566F7"/>
    <w:rsid w:val="0088032C"/>
    <w:rsid w:val="00887BC4"/>
    <w:rsid w:val="008A164F"/>
    <w:rsid w:val="008B0829"/>
    <w:rsid w:val="008B2C1A"/>
    <w:rsid w:val="008B3D22"/>
    <w:rsid w:val="008B3EF6"/>
    <w:rsid w:val="008C1693"/>
    <w:rsid w:val="008D1E43"/>
    <w:rsid w:val="008D7DD1"/>
    <w:rsid w:val="008E4935"/>
    <w:rsid w:val="008F382E"/>
    <w:rsid w:val="008F543C"/>
    <w:rsid w:val="00904437"/>
    <w:rsid w:val="00905BA3"/>
    <w:rsid w:val="00905BEB"/>
    <w:rsid w:val="00907834"/>
    <w:rsid w:val="00915168"/>
    <w:rsid w:val="00915B2E"/>
    <w:rsid w:val="0091684C"/>
    <w:rsid w:val="00930032"/>
    <w:rsid w:val="00942896"/>
    <w:rsid w:val="00944180"/>
    <w:rsid w:val="00956039"/>
    <w:rsid w:val="00975410"/>
    <w:rsid w:val="0097592D"/>
    <w:rsid w:val="009801FB"/>
    <w:rsid w:val="0098088B"/>
    <w:rsid w:val="00986AD3"/>
    <w:rsid w:val="009A0ACE"/>
    <w:rsid w:val="009A42D0"/>
    <w:rsid w:val="009B1DF4"/>
    <w:rsid w:val="009B3A66"/>
    <w:rsid w:val="009C47E9"/>
    <w:rsid w:val="009C5015"/>
    <w:rsid w:val="009D0CD5"/>
    <w:rsid w:val="009D45CD"/>
    <w:rsid w:val="00A30267"/>
    <w:rsid w:val="00A311B2"/>
    <w:rsid w:val="00A356B5"/>
    <w:rsid w:val="00A41892"/>
    <w:rsid w:val="00A42A0F"/>
    <w:rsid w:val="00A50D8A"/>
    <w:rsid w:val="00A65C0F"/>
    <w:rsid w:val="00A72224"/>
    <w:rsid w:val="00A817AB"/>
    <w:rsid w:val="00A83882"/>
    <w:rsid w:val="00A85C37"/>
    <w:rsid w:val="00A90629"/>
    <w:rsid w:val="00A91DCF"/>
    <w:rsid w:val="00A92A18"/>
    <w:rsid w:val="00AA172D"/>
    <w:rsid w:val="00AA179F"/>
    <w:rsid w:val="00AB1FB4"/>
    <w:rsid w:val="00AB6E1F"/>
    <w:rsid w:val="00AB774D"/>
    <w:rsid w:val="00AC34FC"/>
    <w:rsid w:val="00AC5A8D"/>
    <w:rsid w:val="00AC5BC5"/>
    <w:rsid w:val="00AD44E8"/>
    <w:rsid w:val="00AD62CA"/>
    <w:rsid w:val="00AE442B"/>
    <w:rsid w:val="00B104D1"/>
    <w:rsid w:val="00B12375"/>
    <w:rsid w:val="00B206A0"/>
    <w:rsid w:val="00B252DA"/>
    <w:rsid w:val="00B271CD"/>
    <w:rsid w:val="00B317BE"/>
    <w:rsid w:val="00B322D3"/>
    <w:rsid w:val="00B32BDE"/>
    <w:rsid w:val="00B33B50"/>
    <w:rsid w:val="00B33D04"/>
    <w:rsid w:val="00B35FCE"/>
    <w:rsid w:val="00B410B9"/>
    <w:rsid w:val="00B53687"/>
    <w:rsid w:val="00B67CD5"/>
    <w:rsid w:val="00B75A57"/>
    <w:rsid w:val="00B82FC0"/>
    <w:rsid w:val="00B8423B"/>
    <w:rsid w:val="00B92B2F"/>
    <w:rsid w:val="00B9691B"/>
    <w:rsid w:val="00BA0F28"/>
    <w:rsid w:val="00BB1D6E"/>
    <w:rsid w:val="00BB25D8"/>
    <w:rsid w:val="00BC2F19"/>
    <w:rsid w:val="00BC340C"/>
    <w:rsid w:val="00BC3986"/>
    <w:rsid w:val="00BE3545"/>
    <w:rsid w:val="00BE5574"/>
    <w:rsid w:val="00BE58B2"/>
    <w:rsid w:val="00BE7B3F"/>
    <w:rsid w:val="00BF1BE3"/>
    <w:rsid w:val="00BF5AA5"/>
    <w:rsid w:val="00C033CF"/>
    <w:rsid w:val="00C132B2"/>
    <w:rsid w:val="00C13455"/>
    <w:rsid w:val="00C43FD3"/>
    <w:rsid w:val="00C47463"/>
    <w:rsid w:val="00C47767"/>
    <w:rsid w:val="00C515DB"/>
    <w:rsid w:val="00C5327C"/>
    <w:rsid w:val="00C61472"/>
    <w:rsid w:val="00C61D2E"/>
    <w:rsid w:val="00C63058"/>
    <w:rsid w:val="00C6574A"/>
    <w:rsid w:val="00C6599E"/>
    <w:rsid w:val="00C754FD"/>
    <w:rsid w:val="00C87692"/>
    <w:rsid w:val="00CA0106"/>
    <w:rsid w:val="00CA6264"/>
    <w:rsid w:val="00CB6B43"/>
    <w:rsid w:val="00CC3F1A"/>
    <w:rsid w:val="00CC4B21"/>
    <w:rsid w:val="00CC77CA"/>
    <w:rsid w:val="00CD0635"/>
    <w:rsid w:val="00CD596E"/>
    <w:rsid w:val="00CF3682"/>
    <w:rsid w:val="00D17CB4"/>
    <w:rsid w:val="00D3333E"/>
    <w:rsid w:val="00D350D3"/>
    <w:rsid w:val="00D37621"/>
    <w:rsid w:val="00D413BE"/>
    <w:rsid w:val="00D41AE9"/>
    <w:rsid w:val="00D528EA"/>
    <w:rsid w:val="00D5473C"/>
    <w:rsid w:val="00D61531"/>
    <w:rsid w:val="00D61E96"/>
    <w:rsid w:val="00D634D5"/>
    <w:rsid w:val="00D6745F"/>
    <w:rsid w:val="00D74279"/>
    <w:rsid w:val="00D951FB"/>
    <w:rsid w:val="00D97AB3"/>
    <w:rsid w:val="00DB0ADC"/>
    <w:rsid w:val="00DB1A00"/>
    <w:rsid w:val="00DB576E"/>
    <w:rsid w:val="00DD275E"/>
    <w:rsid w:val="00DE06E6"/>
    <w:rsid w:val="00DE57C3"/>
    <w:rsid w:val="00DF0397"/>
    <w:rsid w:val="00DF0CA1"/>
    <w:rsid w:val="00E009F7"/>
    <w:rsid w:val="00E00E72"/>
    <w:rsid w:val="00E03C5C"/>
    <w:rsid w:val="00E10DD1"/>
    <w:rsid w:val="00E15287"/>
    <w:rsid w:val="00E21ADB"/>
    <w:rsid w:val="00E24F07"/>
    <w:rsid w:val="00E36AB4"/>
    <w:rsid w:val="00E47E81"/>
    <w:rsid w:val="00E50E27"/>
    <w:rsid w:val="00E536B8"/>
    <w:rsid w:val="00E57F16"/>
    <w:rsid w:val="00E60C49"/>
    <w:rsid w:val="00E64F27"/>
    <w:rsid w:val="00E65A53"/>
    <w:rsid w:val="00E77088"/>
    <w:rsid w:val="00E901FD"/>
    <w:rsid w:val="00E95384"/>
    <w:rsid w:val="00EA11ED"/>
    <w:rsid w:val="00EA3A44"/>
    <w:rsid w:val="00EC6489"/>
    <w:rsid w:val="00ED5A89"/>
    <w:rsid w:val="00EF02B4"/>
    <w:rsid w:val="00EF38D6"/>
    <w:rsid w:val="00F11891"/>
    <w:rsid w:val="00F13D54"/>
    <w:rsid w:val="00F325C5"/>
    <w:rsid w:val="00F33CA9"/>
    <w:rsid w:val="00F34CA7"/>
    <w:rsid w:val="00F36B0A"/>
    <w:rsid w:val="00F462B4"/>
    <w:rsid w:val="00F46D31"/>
    <w:rsid w:val="00F50BA0"/>
    <w:rsid w:val="00F550F8"/>
    <w:rsid w:val="00F60267"/>
    <w:rsid w:val="00F65E1D"/>
    <w:rsid w:val="00F70661"/>
    <w:rsid w:val="00F75D7D"/>
    <w:rsid w:val="00F76483"/>
    <w:rsid w:val="00F76EAF"/>
    <w:rsid w:val="00F8603B"/>
    <w:rsid w:val="00F94812"/>
    <w:rsid w:val="00F95005"/>
    <w:rsid w:val="00F967C2"/>
    <w:rsid w:val="00FA1F5A"/>
    <w:rsid w:val="00FB43CD"/>
    <w:rsid w:val="00FC080D"/>
    <w:rsid w:val="00FC135D"/>
    <w:rsid w:val="00FD4515"/>
    <w:rsid w:val="00FD5864"/>
    <w:rsid w:val="00FD66D5"/>
    <w:rsid w:val="00FE6C64"/>
    <w:rsid w:val="00FE727B"/>
    <w:rsid w:val="00FF6320"/>
    <w:rsid w:val="02CD7A41"/>
    <w:rsid w:val="0B92379D"/>
    <w:rsid w:val="0C053100"/>
    <w:rsid w:val="0C402416"/>
    <w:rsid w:val="148853C3"/>
    <w:rsid w:val="14D94420"/>
    <w:rsid w:val="180A3E84"/>
    <w:rsid w:val="20EC3DB7"/>
    <w:rsid w:val="21C548A6"/>
    <w:rsid w:val="238B3100"/>
    <w:rsid w:val="24B0459D"/>
    <w:rsid w:val="261F6BD0"/>
    <w:rsid w:val="27CB464F"/>
    <w:rsid w:val="28E567BB"/>
    <w:rsid w:val="2AF81B9A"/>
    <w:rsid w:val="33DA23A9"/>
    <w:rsid w:val="34276F09"/>
    <w:rsid w:val="34442C49"/>
    <w:rsid w:val="35537270"/>
    <w:rsid w:val="41041E84"/>
    <w:rsid w:val="421E2D67"/>
    <w:rsid w:val="44C606A1"/>
    <w:rsid w:val="45062258"/>
    <w:rsid w:val="4A785E5F"/>
    <w:rsid w:val="4BCC01DC"/>
    <w:rsid w:val="4C4D6142"/>
    <w:rsid w:val="4E824B06"/>
    <w:rsid w:val="511E2FB3"/>
    <w:rsid w:val="51C851A2"/>
    <w:rsid w:val="527B6176"/>
    <w:rsid w:val="52A8161F"/>
    <w:rsid w:val="60A617FD"/>
    <w:rsid w:val="61A145D6"/>
    <w:rsid w:val="62A229B2"/>
    <w:rsid w:val="6A99123A"/>
    <w:rsid w:val="6CCD5207"/>
    <w:rsid w:val="6D495E7D"/>
    <w:rsid w:val="70C8515A"/>
    <w:rsid w:val="73240D44"/>
    <w:rsid w:val="736D5908"/>
    <w:rsid w:val="74715661"/>
    <w:rsid w:val="74FE1A10"/>
    <w:rsid w:val="75FF4CB8"/>
    <w:rsid w:val="76CE17C6"/>
    <w:rsid w:val="77DC609D"/>
    <w:rsid w:val="7A7E73AF"/>
    <w:rsid w:val="7BC739A0"/>
    <w:rsid w:val="7C04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58"/>
    <w:qFormat/>
    <w:uiPriority w:val="9"/>
    <w:pPr>
      <w:keepNext/>
      <w:keepLines/>
      <w:spacing w:before="340" w:after="330" w:line="576" w:lineRule="auto"/>
      <w:outlineLvl w:val="0"/>
    </w:pPr>
    <w:rPr>
      <w:rFonts w:ascii="Times New Roman" w:hAnsi="Times New Roman" w:cs="Times New Roman"/>
      <w:b/>
      <w:bCs/>
      <w:kern w:val="44"/>
      <w:sz w:val="44"/>
      <w:szCs w:val="44"/>
    </w:rPr>
  </w:style>
  <w:style w:type="paragraph" w:styleId="4">
    <w:name w:val="heading 2"/>
    <w:basedOn w:val="1"/>
    <w:next w:val="1"/>
    <w:link w:val="88"/>
    <w:unhideWhenUsed/>
    <w:qFormat/>
    <w:uiPriority w:val="0"/>
    <w:pPr>
      <w:keepNext/>
      <w:keepLines/>
      <w:spacing w:before="260" w:after="260" w:line="416" w:lineRule="auto"/>
      <w:jc w:val="center"/>
      <w:outlineLvl w:val="1"/>
    </w:pPr>
    <w:rPr>
      <w:rFonts w:ascii="Arial" w:hAnsi="Arial" w:eastAsia="黑体" w:cs="Times New Roman"/>
      <w:bCs/>
      <w:sz w:val="32"/>
      <w:szCs w:val="32"/>
    </w:rPr>
  </w:style>
  <w:style w:type="paragraph" w:styleId="5">
    <w:name w:val="heading 3"/>
    <w:basedOn w:val="1"/>
    <w:next w:val="1"/>
    <w:link w:val="64"/>
    <w:semiHidden/>
    <w:unhideWhenUsed/>
    <w:qFormat/>
    <w:uiPriority w:val="9"/>
    <w:pPr>
      <w:keepNext/>
      <w:keepLines/>
      <w:spacing w:before="260" w:after="260" w:line="413" w:lineRule="auto"/>
      <w:outlineLvl w:val="2"/>
    </w:pPr>
    <w:rPr>
      <w:b/>
      <w:szCs w:val="21"/>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Times New Roman" w:hAnsi="Times New Roman" w:cs="Times New Roman"/>
      <w:szCs w:val="24"/>
    </w:rPr>
  </w:style>
  <w:style w:type="paragraph" w:styleId="6">
    <w:name w:val="Normal Indent"/>
    <w:basedOn w:val="1"/>
    <w:qFormat/>
    <w:uiPriority w:val="0"/>
    <w:pPr>
      <w:spacing w:line="60" w:lineRule="auto"/>
      <w:ind w:firstLine="420" w:firstLineChars="200"/>
    </w:pPr>
    <w:rPr>
      <w:rFonts w:ascii="Times New Roman" w:hAnsi="Times New Roman" w:cs="Times New Roman"/>
      <w:szCs w:val="24"/>
    </w:rPr>
  </w:style>
  <w:style w:type="paragraph" w:styleId="7">
    <w:name w:val="annotation text"/>
    <w:basedOn w:val="1"/>
    <w:link w:val="89"/>
    <w:qFormat/>
    <w:uiPriority w:val="0"/>
    <w:pPr>
      <w:jc w:val="left"/>
    </w:pPr>
    <w:rPr>
      <w:rFonts w:ascii="Times New Roman" w:hAnsi="Times New Roman" w:cs="Times New Roman"/>
      <w:szCs w:val="24"/>
    </w:rPr>
  </w:style>
  <w:style w:type="paragraph" w:styleId="8">
    <w:name w:val="Body Text"/>
    <w:basedOn w:val="1"/>
    <w:link w:val="94"/>
    <w:qFormat/>
    <w:uiPriority w:val="99"/>
    <w:pPr>
      <w:spacing w:after="120"/>
    </w:pPr>
  </w:style>
  <w:style w:type="paragraph" w:styleId="9">
    <w:name w:val="Body Text Indent"/>
    <w:basedOn w:val="1"/>
    <w:next w:val="10"/>
    <w:link w:val="91"/>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63"/>
    <w:qFormat/>
    <w:uiPriority w:val="0"/>
    <w:rPr>
      <w:rFonts w:ascii="宋体" w:hAnsi="Courier New" w:cs="Times New Roman"/>
      <w:kern w:val="0"/>
      <w:sz w:val="20"/>
      <w:szCs w:val="21"/>
    </w:rPr>
  </w:style>
  <w:style w:type="paragraph" w:styleId="12">
    <w:name w:val="Date"/>
    <w:basedOn w:val="1"/>
    <w:next w:val="1"/>
    <w:link w:val="111"/>
    <w:semiHidden/>
    <w:unhideWhenUsed/>
    <w:qFormat/>
    <w:uiPriority w:val="99"/>
    <w:pPr>
      <w:ind w:left="100" w:leftChars="2500"/>
    </w:pPr>
  </w:style>
  <w:style w:type="paragraph" w:styleId="13">
    <w:name w:val="Balloon Text"/>
    <w:basedOn w:val="1"/>
    <w:link w:val="35"/>
    <w:qFormat/>
    <w:uiPriority w:val="99"/>
    <w:rPr>
      <w:sz w:val="18"/>
      <w:szCs w:val="18"/>
    </w:rPr>
  </w:style>
  <w:style w:type="paragraph" w:styleId="14">
    <w:name w:val="footer"/>
    <w:basedOn w:val="1"/>
    <w:link w:val="59"/>
    <w:qFormat/>
    <w:uiPriority w:val="0"/>
    <w:pPr>
      <w:tabs>
        <w:tab w:val="center" w:pos="4153"/>
        <w:tab w:val="right" w:pos="8306"/>
      </w:tabs>
      <w:snapToGrid w:val="0"/>
      <w:jc w:val="left"/>
    </w:pPr>
    <w:rPr>
      <w:sz w:val="18"/>
      <w:szCs w:val="18"/>
    </w:rPr>
  </w:style>
  <w:style w:type="paragraph" w:styleId="15">
    <w:name w:val="header"/>
    <w:basedOn w:val="1"/>
    <w:link w:val="10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line="400" w:lineRule="exact"/>
      <w:jc w:val="center"/>
    </w:pPr>
    <w:rPr>
      <w:rFonts w:hint="eastAsia" w:ascii="宋体" w:hAnsi="宋体" w:cs="Times New Roman"/>
      <w:b/>
      <w:bCs/>
    </w:rPr>
  </w:style>
  <w:style w:type="paragraph" w:styleId="17">
    <w:name w:val="footnote text"/>
    <w:basedOn w:val="1"/>
    <w:link w:val="76"/>
    <w:qFormat/>
    <w:uiPriority w:val="99"/>
    <w:pPr>
      <w:snapToGrid w:val="0"/>
      <w:jc w:val="left"/>
    </w:pPr>
    <w:rPr>
      <w:sz w:val="18"/>
    </w:rPr>
  </w:style>
  <w:style w:type="paragraph" w:styleId="18">
    <w:name w:val="Body Text Indent 3"/>
    <w:basedOn w:val="1"/>
    <w:link w:val="96"/>
    <w:qFormat/>
    <w:uiPriority w:val="99"/>
    <w:pPr>
      <w:spacing w:after="120"/>
      <w:ind w:left="420" w:leftChars="200"/>
    </w:pPr>
    <w:rPr>
      <w:rFonts w:hint="eastAsia" w:ascii="等线" w:hAnsi="等线" w:eastAsia="等线" w:cs="Times New Roman"/>
      <w:sz w:val="16"/>
      <w:szCs w:val="16"/>
    </w:rPr>
  </w:style>
  <w:style w:type="paragraph" w:styleId="19">
    <w:name w:val="toc 2"/>
    <w:basedOn w:val="1"/>
    <w:next w:val="1"/>
    <w:qFormat/>
    <w:uiPriority w:val="39"/>
    <w:pPr>
      <w:tabs>
        <w:tab w:val="left" w:pos="1080"/>
        <w:tab w:val="right" w:leader="dot" w:pos="9540"/>
        <w:tab w:val="right" w:leader="dot" w:pos="9628"/>
      </w:tabs>
      <w:ind w:left="150" w:leftChars="150" w:right="-34" w:rightChars="-34"/>
      <w:jc w:val="left"/>
    </w:pPr>
    <w:rPr>
      <w:rFonts w:ascii="Times New Roman" w:hAnsi="Times New Roman" w:cs="Times New Roman"/>
      <w:smallCaps/>
      <w:sz w:val="20"/>
    </w:rPr>
  </w:style>
  <w:style w:type="paragraph" w:styleId="20">
    <w:name w:val="Normal (Web)"/>
    <w:basedOn w:val="1"/>
    <w:link w:val="90"/>
    <w:qFormat/>
    <w:uiPriority w:val="99"/>
    <w:pPr>
      <w:widowControl/>
      <w:spacing w:before="100" w:beforeAutospacing="1" w:after="100" w:afterAutospacing="1"/>
      <w:jc w:val="left"/>
    </w:pPr>
    <w:rPr>
      <w:rFonts w:ascii="宋体" w:hAnsi="宋体"/>
      <w:kern w:val="0"/>
      <w:sz w:val="24"/>
      <w:szCs w:val="24"/>
    </w:rPr>
  </w:style>
  <w:style w:type="paragraph" w:styleId="21">
    <w:name w:val="Title"/>
    <w:basedOn w:val="1"/>
    <w:next w:val="1"/>
    <w:link w:val="75"/>
    <w:qFormat/>
    <w:uiPriority w:val="0"/>
    <w:pPr>
      <w:spacing w:before="240" w:after="60"/>
      <w:jc w:val="center"/>
      <w:outlineLvl w:val="0"/>
    </w:pPr>
    <w:rPr>
      <w:rFonts w:ascii="Cambria" w:hAnsi="Cambria"/>
      <w:b/>
      <w:bCs/>
      <w:sz w:val="32"/>
      <w:szCs w:val="32"/>
    </w:rPr>
  </w:style>
  <w:style w:type="paragraph" w:styleId="22">
    <w:name w:val="annotation subject"/>
    <w:basedOn w:val="7"/>
    <w:next w:val="7"/>
    <w:link w:val="36"/>
    <w:qFormat/>
    <w:uiPriority w:val="99"/>
    <w:rPr>
      <w:b/>
      <w:bCs/>
    </w:rPr>
  </w:style>
  <w:style w:type="paragraph" w:styleId="23">
    <w:name w:val="Body Text First Indent"/>
    <w:basedOn w:val="8"/>
    <w:link w:val="97"/>
    <w:qFormat/>
    <w:uiPriority w:val="0"/>
    <w:pPr>
      <w:ind w:firstLine="420" w:firstLineChars="100"/>
    </w:pPr>
    <w:rPr>
      <w:rFonts w:cs="Times New Roman"/>
    </w:rPr>
  </w:style>
  <w:style w:type="paragraph" w:styleId="24">
    <w:name w:val="Body Text First Indent 2"/>
    <w:basedOn w:val="9"/>
    <w:next w:val="1"/>
    <w:link w:val="50"/>
    <w:qFormat/>
    <w:uiPriority w:val="0"/>
    <w:pPr>
      <w:ind w:firstLine="420" w:firstLineChars="200"/>
    </w:p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annotation reference"/>
    <w:basedOn w:val="27"/>
    <w:qFormat/>
    <w:uiPriority w:val="99"/>
    <w:rPr>
      <w:sz w:val="21"/>
      <w:szCs w:val="21"/>
    </w:rPr>
  </w:style>
  <w:style w:type="character" w:customStyle="1" w:styleId="31">
    <w:name w:val="页眉 字符"/>
    <w:basedOn w:val="27"/>
    <w:qFormat/>
    <w:uiPriority w:val="0"/>
    <w:rPr>
      <w:sz w:val="18"/>
      <w:szCs w:val="18"/>
    </w:rPr>
  </w:style>
  <w:style w:type="character" w:customStyle="1" w:styleId="32">
    <w:name w:val="页脚 字符"/>
    <w:basedOn w:val="27"/>
    <w:qFormat/>
    <w:uiPriority w:val="0"/>
    <w:rPr>
      <w:sz w:val="18"/>
      <w:szCs w:val="18"/>
    </w:rPr>
  </w:style>
  <w:style w:type="paragraph" w:styleId="33">
    <w:name w:val="List Paragraph"/>
    <w:basedOn w:val="1"/>
    <w:link w:val="41"/>
    <w:qFormat/>
    <w:uiPriority w:val="34"/>
    <w:pPr>
      <w:ind w:firstLine="420" w:firstLineChars="200"/>
    </w:pPr>
  </w:style>
  <w:style w:type="character" w:customStyle="1" w:styleId="34">
    <w:name w:val="批注文字 字符"/>
    <w:basedOn w:val="27"/>
    <w:qFormat/>
    <w:uiPriority w:val="99"/>
  </w:style>
  <w:style w:type="character" w:customStyle="1" w:styleId="35">
    <w:name w:val="批注框文本 字符"/>
    <w:basedOn w:val="27"/>
    <w:link w:val="13"/>
    <w:qFormat/>
    <w:uiPriority w:val="99"/>
    <w:rPr>
      <w:sz w:val="18"/>
      <w:szCs w:val="18"/>
    </w:rPr>
  </w:style>
  <w:style w:type="character" w:customStyle="1" w:styleId="36">
    <w:name w:val="批注主题 字符"/>
    <w:basedOn w:val="34"/>
    <w:link w:val="22"/>
    <w:qFormat/>
    <w:uiPriority w:val="99"/>
    <w:rPr>
      <w:b/>
      <w:bCs/>
    </w:rPr>
  </w:style>
  <w:style w:type="character" w:customStyle="1" w:styleId="37">
    <w:name w:val="标题 Char"/>
    <w:basedOn w:val="27"/>
    <w:qFormat/>
    <w:uiPriority w:val="0"/>
    <w:rPr>
      <w:rFonts w:ascii="Cambria" w:hAnsi="Cambria" w:eastAsia="宋体" w:cs="宋体"/>
      <w:b/>
      <w:bCs/>
      <w:sz w:val="32"/>
      <w:szCs w:val="32"/>
    </w:rPr>
  </w:style>
  <w:style w:type="character" w:customStyle="1" w:styleId="38">
    <w:name w:val="标题 2 字符"/>
    <w:basedOn w:val="27"/>
    <w:qFormat/>
    <w:uiPriority w:val="0"/>
    <w:rPr>
      <w:rFonts w:ascii="Arial" w:hAnsi="Arial" w:eastAsia="黑体" w:cs="Times New Roman"/>
      <w:b/>
      <w:bCs/>
      <w:sz w:val="32"/>
      <w:szCs w:val="32"/>
    </w:rPr>
  </w:style>
  <w:style w:type="character" w:customStyle="1" w:styleId="39">
    <w:name w:val="纯文本 字符"/>
    <w:basedOn w:val="27"/>
    <w:qFormat/>
    <w:uiPriority w:val="0"/>
    <w:rPr>
      <w:rFonts w:ascii="宋体" w:hAnsi="Courier New" w:eastAsia="宋体" w:cs="Times New Roman"/>
      <w:kern w:val="0"/>
      <w:sz w:val="20"/>
      <w:szCs w:val="21"/>
    </w:rPr>
  </w:style>
  <w:style w:type="paragraph" w:customStyle="1" w:styleId="40">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1">
    <w:name w:val="列表段落 字符4"/>
    <w:link w:val="33"/>
    <w:qFormat/>
    <w:uiPriority w:val="99"/>
  </w:style>
  <w:style w:type="paragraph" w:customStyle="1" w:styleId="42">
    <w:name w:val="样式4"/>
    <w:basedOn w:val="1"/>
    <w:qFormat/>
    <w:uiPriority w:val="0"/>
    <w:pPr>
      <w:numPr>
        <w:ilvl w:val="3"/>
        <w:numId w:val="1"/>
      </w:numPr>
      <w:tabs>
        <w:tab w:val="clear" w:pos="851"/>
      </w:tabs>
    </w:pPr>
    <w:rPr>
      <w:rFonts w:ascii="Times New Roman" w:hAnsi="Times New Roman" w:cs="Times New Roman"/>
      <w:szCs w:val="24"/>
    </w:rPr>
  </w:style>
  <w:style w:type="paragraph" w:customStyle="1" w:styleId="43">
    <w:name w:val="列出段落1"/>
    <w:basedOn w:val="1"/>
    <w:link w:val="44"/>
    <w:qFormat/>
    <w:uiPriority w:val="99"/>
    <w:pPr>
      <w:ind w:firstLine="420" w:firstLineChars="200"/>
    </w:pPr>
    <w:rPr>
      <w:rFonts w:ascii="Times New Roman" w:hAnsi="Times New Roman" w:cs="Times New Roman"/>
      <w:szCs w:val="21"/>
    </w:rPr>
  </w:style>
  <w:style w:type="character" w:customStyle="1" w:styleId="44">
    <w:name w:val="List Paragraph Char"/>
    <w:link w:val="43"/>
    <w:qFormat/>
    <w:uiPriority w:val="99"/>
    <w:rPr>
      <w:rFonts w:ascii="Times New Roman" w:hAnsi="Times New Roman" w:eastAsia="宋体" w:cs="Times New Roman"/>
      <w:szCs w:val="21"/>
    </w:rPr>
  </w:style>
  <w:style w:type="paragraph" w:customStyle="1" w:styleId="45">
    <w:name w:val="_Style 121"/>
    <w:basedOn w:val="1"/>
    <w:next w:val="33"/>
    <w:qFormat/>
    <w:uiPriority w:val="34"/>
    <w:pPr>
      <w:ind w:firstLine="420" w:firstLineChars="200"/>
    </w:pPr>
    <w:rPr>
      <w:rFonts w:cs="Times New Roman"/>
    </w:rPr>
  </w:style>
  <w:style w:type="paragraph" w:customStyle="1" w:styleId="46">
    <w:name w:val="start-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7">
    <w:name w:val="start-font-3"/>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48">
    <w:name w:val="纯文本 Char1"/>
    <w:qFormat/>
    <w:uiPriority w:val="0"/>
    <w:rPr>
      <w:rFonts w:ascii="宋体" w:hAnsi="Courier New" w:eastAsia="宋体" w:cs="Times New Roman"/>
      <w:kern w:val="0"/>
      <w:sz w:val="20"/>
      <w:szCs w:val="21"/>
    </w:rPr>
  </w:style>
  <w:style w:type="character" w:customStyle="1" w:styleId="49">
    <w:name w:val="正文文本缩进 字符"/>
    <w:basedOn w:val="27"/>
    <w:qFormat/>
    <w:uiPriority w:val="99"/>
    <w:rPr>
      <w:kern w:val="2"/>
      <w:sz w:val="21"/>
      <w:szCs w:val="24"/>
    </w:rPr>
  </w:style>
  <w:style w:type="character" w:customStyle="1" w:styleId="50">
    <w:name w:val="正文文本首行缩进 2 字符"/>
    <w:basedOn w:val="49"/>
    <w:link w:val="24"/>
    <w:qFormat/>
    <w:uiPriority w:val="99"/>
    <w:rPr>
      <w:kern w:val="2"/>
      <w:sz w:val="21"/>
      <w:szCs w:val="24"/>
    </w:rPr>
  </w:style>
  <w:style w:type="paragraph" w:customStyle="1" w:styleId="51">
    <w:name w:val="msolistparagraph"/>
    <w:basedOn w:val="1"/>
    <w:qFormat/>
    <w:uiPriority w:val="0"/>
    <w:pPr>
      <w:ind w:firstLine="420" w:firstLineChars="200"/>
    </w:pPr>
    <w:rPr>
      <w:rFonts w:ascii="Times New Roman" w:hAnsi="Times New Roman" w:cs="Times New Roman"/>
    </w:rPr>
  </w:style>
  <w:style w:type="character" w:customStyle="1" w:styleId="52">
    <w:name w:val="列出段落 Char"/>
    <w:basedOn w:val="27"/>
    <w:qFormat/>
    <w:uiPriority w:val="34"/>
    <w:rPr>
      <w:kern w:val="2"/>
      <w:sz w:val="21"/>
      <w:szCs w:val="22"/>
    </w:rPr>
  </w:style>
  <w:style w:type="character" w:customStyle="1" w:styleId="53">
    <w:name w:val="正文文本 字符"/>
    <w:basedOn w:val="27"/>
    <w:qFormat/>
    <w:uiPriority w:val="99"/>
    <w:rPr>
      <w:rFonts w:hint="default" w:ascii="Calibri" w:hAnsi="Calibri" w:eastAsia="宋体" w:cs="Times New Roman"/>
      <w:kern w:val="2"/>
      <w:sz w:val="21"/>
      <w:szCs w:val="22"/>
    </w:rPr>
  </w:style>
  <w:style w:type="character" w:customStyle="1" w:styleId="54">
    <w:name w:val="纯文本 Char"/>
    <w:basedOn w:val="27"/>
    <w:qFormat/>
    <w:uiPriority w:val="0"/>
    <w:rPr>
      <w:rFonts w:hint="eastAsia" w:ascii="宋体" w:hAnsi="Courier New" w:eastAsia="宋体" w:cs="宋体"/>
      <w:szCs w:val="21"/>
    </w:rPr>
  </w:style>
  <w:style w:type="paragraph" w:customStyle="1" w:styleId="55">
    <w:name w:val="_Style 116"/>
    <w:basedOn w:val="1"/>
    <w:next w:val="33"/>
    <w:qFormat/>
    <w:uiPriority w:val="99"/>
    <w:pPr>
      <w:ind w:firstLine="420" w:firstLineChars="200"/>
    </w:pPr>
    <w:rPr>
      <w:kern w:val="0"/>
      <w:sz w:val="20"/>
      <w:szCs w:val="20"/>
    </w:rPr>
  </w:style>
  <w:style w:type="character" w:customStyle="1" w:styleId="56">
    <w:name w:val="普通(网站) 字符"/>
    <w:basedOn w:val="27"/>
    <w:qFormat/>
    <w:uiPriority w:val="0"/>
    <w:rPr>
      <w:rFonts w:hint="eastAsia" w:ascii="宋体" w:hAnsi="宋体" w:eastAsia="宋体" w:cs="宋体"/>
      <w:sz w:val="24"/>
      <w:szCs w:val="24"/>
    </w:rPr>
  </w:style>
  <w:style w:type="character" w:customStyle="1" w:styleId="57">
    <w:name w:val="批注文字 Char"/>
    <w:basedOn w:val="27"/>
    <w:qFormat/>
    <w:uiPriority w:val="0"/>
    <w:rPr>
      <w:kern w:val="2"/>
      <w:sz w:val="21"/>
      <w:szCs w:val="24"/>
    </w:rPr>
  </w:style>
  <w:style w:type="character" w:customStyle="1" w:styleId="58">
    <w:name w:val="标题 1 字符"/>
    <w:basedOn w:val="27"/>
    <w:link w:val="3"/>
    <w:qFormat/>
    <w:uiPriority w:val="0"/>
    <w:rPr>
      <w:b/>
      <w:bCs/>
      <w:kern w:val="44"/>
      <w:sz w:val="44"/>
      <w:szCs w:val="44"/>
    </w:rPr>
  </w:style>
  <w:style w:type="character" w:customStyle="1" w:styleId="59">
    <w:name w:val="页脚 字符1"/>
    <w:basedOn w:val="27"/>
    <w:link w:val="14"/>
    <w:qFormat/>
    <w:uiPriority w:val="0"/>
    <w:rPr>
      <w:kern w:val="2"/>
      <w:sz w:val="18"/>
      <w:szCs w:val="18"/>
    </w:rPr>
  </w:style>
  <w:style w:type="character" w:customStyle="1" w:styleId="60">
    <w:name w:val="页眉 字符1"/>
    <w:basedOn w:val="27"/>
    <w:qFormat/>
    <w:uiPriority w:val="0"/>
    <w:rPr>
      <w:kern w:val="2"/>
      <w:sz w:val="18"/>
      <w:szCs w:val="18"/>
    </w:rPr>
  </w:style>
  <w:style w:type="character" w:customStyle="1" w:styleId="61">
    <w:name w:val="标题 2 字符1"/>
    <w:basedOn w:val="27"/>
    <w:qFormat/>
    <w:uiPriority w:val="0"/>
    <w:rPr>
      <w:rFonts w:hint="default" w:ascii="Cambria" w:hAnsi="Cambria" w:eastAsia="Cambria" w:cs="Cambria"/>
      <w:b/>
      <w:bCs/>
      <w:kern w:val="2"/>
      <w:sz w:val="32"/>
      <w:szCs w:val="32"/>
    </w:rPr>
  </w:style>
  <w:style w:type="character" w:customStyle="1" w:styleId="62">
    <w:name w:val="列出段落 Char1"/>
    <w:basedOn w:val="27"/>
    <w:qFormat/>
    <w:uiPriority w:val="0"/>
    <w:rPr>
      <w:rFonts w:hint="default" w:ascii="Calibri" w:hAnsi="Calibri" w:cs="Calibri"/>
      <w:kern w:val="2"/>
      <w:sz w:val="21"/>
      <w:szCs w:val="22"/>
    </w:rPr>
  </w:style>
  <w:style w:type="character" w:customStyle="1" w:styleId="63">
    <w:name w:val="纯文本 字符2"/>
    <w:basedOn w:val="27"/>
    <w:link w:val="11"/>
    <w:qFormat/>
    <w:uiPriority w:val="0"/>
    <w:rPr>
      <w:rFonts w:hint="eastAsia" w:ascii="宋体" w:hAnsi="Courier New" w:eastAsia="宋体" w:cs="宋体"/>
      <w:szCs w:val="21"/>
      <w:lang w:val="zh-CN"/>
    </w:rPr>
  </w:style>
  <w:style w:type="character" w:customStyle="1" w:styleId="64">
    <w:name w:val="标题 3 字符"/>
    <w:basedOn w:val="27"/>
    <w:link w:val="5"/>
    <w:qFormat/>
    <w:uiPriority w:val="9"/>
    <w:rPr>
      <w:rFonts w:ascii="Calibri" w:hAnsi="Calibri" w:eastAsia="宋体" w:cs="宋体"/>
      <w:b/>
      <w:kern w:val="2"/>
      <w:sz w:val="21"/>
      <w:szCs w:val="21"/>
    </w:rPr>
  </w:style>
  <w:style w:type="paragraph" w:customStyle="1" w:styleId="65">
    <w:name w:val="列表段落2"/>
    <w:basedOn w:val="1"/>
    <w:qFormat/>
    <w:uiPriority w:val="0"/>
    <w:pPr>
      <w:ind w:firstLine="420" w:firstLineChars="200"/>
    </w:pPr>
    <w:rPr>
      <w:rFonts w:ascii="Times New Roman" w:hAnsi="Times New Roman" w:cs="Times New Roman"/>
      <w:szCs w:val="24"/>
    </w:rPr>
  </w:style>
  <w:style w:type="character" w:customStyle="1" w:styleId="66">
    <w:name w:val="正文文本首行缩进 字符"/>
    <w:qFormat/>
    <w:uiPriority w:val="0"/>
    <w:rPr>
      <w:rFonts w:hint="default" w:ascii="Calibri" w:hAnsi="Calibri" w:eastAsia="宋体" w:cs="Times New Roman"/>
      <w:kern w:val="2"/>
      <w:sz w:val="21"/>
      <w:szCs w:val="22"/>
    </w:rPr>
  </w:style>
  <w:style w:type="paragraph" w:customStyle="1" w:styleId="67">
    <w:name w:val="p0"/>
    <w:basedOn w:val="1"/>
    <w:qFormat/>
    <w:uiPriority w:val="0"/>
    <w:pPr>
      <w:widowControl/>
    </w:pPr>
    <w:rPr>
      <w:rFonts w:cs="Times New Roman"/>
      <w:kern w:val="0"/>
      <w:szCs w:val="21"/>
    </w:rPr>
  </w:style>
  <w:style w:type="character" w:customStyle="1" w:styleId="68">
    <w:name w:val="font51"/>
    <w:basedOn w:val="27"/>
    <w:qFormat/>
    <w:uiPriority w:val="0"/>
    <w:rPr>
      <w:rFonts w:hint="eastAsia" w:ascii="宋体" w:hAnsi="宋体" w:eastAsia="宋体" w:cs="宋体"/>
      <w:color w:val="000000"/>
      <w:sz w:val="21"/>
      <w:szCs w:val="21"/>
      <w:u w:val="none"/>
    </w:rPr>
  </w:style>
  <w:style w:type="character" w:customStyle="1" w:styleId="69">
    <w:name w:val="列表段落 字符2"/>
    <w:basedOn w:val="27"/>
    <w:qFormat/>
    <w:uiPriority w:val="0"/>
  </w:style>
  <w:style w:type="character" w:customStyle="1" w:styleId="70">
    <w:name w:val="NormalCharacter"/>
    <w:basedOn w:val="27"/>
    <w:qFormat/>
    <w:uiPriority w:val="0"/>
  </w:style>
  <w:style w:type="character" w:customStyle="1" w:styleId="71">
    <w:name w:val="font31"/>
    <w:basedOn w:val="27"/>
    <w:qFormat/>
    <w:uiPriority w:val="0"/>
    <w:rPr>
      <w:rFonts w:hint="default" w:ascii="Times New Roman" w:hAnsi="Times New Roman" w:cs="Times New Roman"/>
      <w:color w:val="000000"/>
      <w:sz w:val="21"/>
      <w:szCs w:val="21"/>
      <w:u w:val="none"/>
    </w:rPr>
  </w:style>
  <w:style w:type="character" w:customStyle="1" w:styleId="72">
    <w:name w:val="font21"/>
    <w:basedOn w:val="27"/>
    <w:qFormat/>
    <w:uiPriority w:val="0"/>
    <w:rPr>
      <w:rFonts w:hint="eastAsia" w:ascii="宋体" w:hAnsi="宋体" w:eastAsia="宋体" w:cs="宋体"/>
      <w:color w:val="000000"/>
      <w:sz w:val="24"/>
      <w:szCs w:val="24"/>
      <w:u w:val="none"/>
    </w:rPr>
  </w:style>
  <w:style w:type="character" w:customStyle="1" w:styleId="73">
    <w:name w:val="font11"/>
    <w:basedOn w:val="27"/>
    <w:qFormat/>
    <w:uiPriority w:val="0"/>
    <w:rPr>
      <w:rFonts w:hint="eastAsia" w:ascii="宋体" w:hAnsi="宋体" w:eastAsia="宋体" w:cs="宋体"/>
      <w:color w:val="000000"/>
      <w:sz w:val="21"/>
      <w:szCs w:val="21"/>
      <w:u w:val="none"/>
    </w:rPr>
  </w:style>
  <w:style w:type="character" w:customStyle="1" w:styleId="74">
    <w:name w:val="纯文本 字符1"/>
    <w:basedOn w:val="27"/>
    <w:qFormat/>
    <w:uiPriority w:val="0"/>
    <w:rPr>
      <w:rFonts w:hint="eastAsia" w:ascii="宋体" w:hAnsi="Courier New" w:eastAsia="宋体" w:cs="宋体"/>
      <w:szCs w:val="21"/>
    </w:rPr>
  </w:style>
  <w:style w:type="character" w:customStyle="1" w:styleId="75">
    <w:name w:val="标题 字符"/>
    <w:basedOn w:val="27"/>
    <w:link w:val="21"/>
    <w:qFormat/>
    <w:uiPriority w:val="0"/>
    <w:rPr>
      <w:rFonts w:hint="default" w:ascii="Cambria" w:hAnsi="Cambria" w:eastAsia="Cambria" w:cs="Times New Roman"/>
      <w:b/>
      <w:bCs/>
      <w:kern w:val="2"/>
      <w:sz w:val="32"/>
      <w:szCs w:val="32"/>
    </w:rPr>
  </w:style>
  <w:style w:type="character" w:customStyle="1" w:styleId="76">
    <w:name w:val="脚注文本 字符"/>
    <w:basedOn w:val="27"/>
    <w:link w:val="17"/>
    <w:qFormat/>
    <w:uiPriority w:val="0"/>
    <w:rPr>
      <w:rFonts w:hint="eastAsia" w:ascii="宋体" w:hAnsi="宋体" w:eastAsia="宋体" w:cs="Times New Roman"/>
      <w:kern w:val="2"/>
      <w:sz w:val="24"/>
      <w:szCs w:val="18"/>
    </w:rPr>
  </w:style>
  <w:style w:type="character" w:customStyle="1" w:styleId="77">
    <w:name w:val="脚注文本 Char1"/>
    <w:basedOn w:val="27"/>
    <w:qFormat/>
    <w:uiPriority w:val="0"/>
    <w:rPr>
      <w:rFonts w:hint="default" w:ascii="Calibri" w:hAnsi="Calibri" w:eastAsia="宋体" w:cs="Times New Roman"/>
      <w:kern w:val="2"/>
      <w:sz w:val="18"/>
      <w:szCs w:val="18"/>
    </w:rPr>
  </w:style>
  <w:style w:type="character" w:customStyle="1" w:styleId="78">
    <w:name w:val="列表段落 字符1"/>
    <w:basedOn w:val="27"/>
    <w:qFormat/>
    <w:uiPriority w:val="0"/>
  </w:style>
  <w:style w:type="paragraph" w:customStyle="1" w:styleId="79">
    <w:name w:val="Table Paragraph"/>
    <w:basedOn w:val="1"/>
    <w:qFormat/>
    <w:uiPriority w:val="0"/>
    <w:rPr>
      <w:rFonts w:hint="eastAsia" w:ascii="宋体" w:hAnsi="宋体" w:cs="Times New Roman"/>
      <w:szCs w:val="24"/>
    </w:rPr>
  </w:style>
  <w:style w:type="character" w:customStyle="1" w:styleId="80">
    <w:name w:val="font41"/>
    <w:basedOn w:val="27"/>
    <w:qFormat/>
    <w:uiPriority w:val="0"/>
    <w:rPr>
      <w:rFonts w:hint="eastAsia" w:ascii="宋体" w:hAnsi="宋体" w:eastAsia="宋体" w:cs="宋体"/>
      <w:color w:val="FF0000"/>
      <w:sz w:val="24"/>
      <w:szCs w:val="24"/>
      <w:u w:val="none"/>
    </w:rPr>
  </w:style>
  <w:style w:type="character" w:customStyle="1" w:styleId="81">
    <w:name w:val="font91"/>
    <w:basedOn w:val="27"/>
    <w:qFormat/>
    <w:uiPriority w:val="0"/>
    <w:rPr>
      <w:rFonts w:hint="default" w:ascii="Times New Roman" w:hAnsi="Times New Roman" w:cs="Times New Roman"/>
      <w:color w:val="000000"/>
      <w:sz w:val="21"/>
      <w:szCs w:val="21"/>
      <w:u w:val="none"/>
    </w:rPr>
  </w:style>
  <w:style w:type="paragraph" w:customStyle="1" w:styleId="82">
    <w:name w:val="正文_0_0"/>
    <w:basedOn w:val="1"/>
    <w:qFormat/>
    <w:uiPriority w:val="0"/>
    <w:rPr>
      <w:rFonts w:cs="Times New Roman"/>
    </w:rPr>
  </w:style>
  <w:style w:type="character" w:customStyle="1" w:styleId="83">
    <w:name w:val="批注文字 字符1"/>
    <w:basedOn w:val="27"/>
    <w:qFormat/>
    <w:uiPriority w:val="0"/>
    <w:rPr>
      <w:szCs w:val="24"/>
    </w:rPr>
  </w:style>
  <w:style w:type="character" w:customStyle="1" w:styleId="84">
    <w:name w:val="列表段落 字符"/>
    <w:basedOn w:val="27"/>
    <w:qFormat/>
    <w:uiPriority w:val="34"/>
    <w:rPr>
      <w:rFonts w:hint="default" w:ascii="Calibri" w:hAnsi="Calibri" w:cs="Calibri"/>
      <w:kern w:val="2"/>
      <w:sz w:val="21"/>
      <w:szCs w:val="22"/>
    </w:rPr>
  </w:style>
  <w:style w:type="paragraph" w:customStyle="1" w:styleId="85">
    <w:name w:val="_Style 24"/>
    <w:basedOn w:val="1"/>
    <w:qFormat/>
    <w:uiPriority w:val="0"/>
    <w:pPr>
      <w:ind w:firstLine="420" w:firstLineChars="200"/>
    </w:pPr>
    <w:rPr>
      <w:rFonts w:cs="Times New Roman"/>
    </w:rPr>
  </w:style>
  <w:style w:type="character" w:customStyle="1" w:styleId="86">
    <w:name w:val="列表段落 字符3"/>
    <w:basedOn w:val="27"/>
    <w:qFormat/>
    <w:uiPriority w:val="0"/>
    <w:rPr>
      <w:rFonts w:hint="default" w:ascii="Calibri" w:hAnsi="Calibri" w:eastAsia="宋体" w:cs="Times New Roman"/>
      <w:kern w:val="2"/>
      <w:sz w:val="21"/>
      <w:szCs w:val="22"/>
    </w:rPr>
  </w:style>
  <w:style w:type="character" w:customStyle="1" w:styleId="87">
    <w:name w:val="列出段落 Char2"/>
    <w:basedOn w:val="27"/>
    <w:qFormat/>
    <w:uiPriority w:val="0"/>
    <w:rPr>
      <w:rFonts w:hint="default" w:ascii="Calibri" w:hAnsi="Calibri" w:eastAsia="宋体" w:cs="Times New Roman"/>
      <w:kern w:val="2"/>
      <w:sz w:val="21"/>
      <w:szCs w:val="22"/>
    </w:rPr>
  </w:style>
  <w:style w:type="character" w:customStyle="1" w:styleId="88">
    <w:name w:val="标题 2 字符2"/>
    <w:basedOn w:val="27"/>
    <w:link w:val="4"/>
    <w:qFormat/>
    <w:uiPriority w:val="0"/>
    <w:rPr>
      <w:rFonts w:ascii="Arial" w:hAnsi="Arial" w:eastAsia="黑体"/>
      <w:bCs/>
      <w:kern w:val="2"/>
      <w:sz w:val="32"/>
      <w:szCs w:val="32"/>
    </w:rPr>
  </w:style>
  <w:style w:type="character" w:customStyle="1" w:styleId="89">
    <w:name w:val="批注文字 字符2"/>
    <w:basedOn w:val="27"/>
    <w:link w:val="7"/>
    <w:qFormat/>
    <w:uiPriority w:val="0"/>
    <w:rPr>
      <w:kern w:val="2"/>
      <w:sz w:val="21"/>
      <w:szCs w:val="24"/>
    </w:rPr>
  </w:style>
  <w:style w:type="character" w:customStyle="1" w:styleId="90">
    <w:name w:val="普通(网站) 字符1"/>
    <w:basedOn w:val="27"/>
    <w:link w:val="20"/>
    <w:qFormat/>
    <w:uiPriority w:val="0"/>
    <w:rPr>
      <w:rFonts w:hint="eastAsia" w:ascii="宋体" w:hAnsi="宋体" w:eastAsia="宋体" w:cs="宋体"/>
      <w:sz w:val="24"/>
      <w:szCs w:val="24"/>
    </w:rPr>
  </w:style>
  <w:style w:type="character" w:customStyle="1" w:styleId="91">
    <w:name w:val="正文文本缩进 字符1"/>
    <w:basedOn w:val="27"/>
    <w:link w:val="9"/>
    <w:qFormat/>
    <w:uiPriority w:val="0"/>
    <w:rPr>
      <w:kern w:val="2"/>
      <w:sz w:val="21"/>
      <w:szCs w:val="22"/>
    </w:rPr>
  </w:style>
  <w:style w:type="paragraph" w:customStyle="1" w:styleId="92">
    <w:name w:val="正文文本首行缩进 21"/>
    <w:basedOn w:val="9"/>
    <w:qFormat/>
    <w:uiPriority w:val="0"/>
    <w:pPr>
      <w:ind w:firstLine="420" w:firstLineChars="200"/>
    </w:pPr>
    <w:rPr>
      <w:rFonts w:ascii="Times New Roman" w:hAnsi="Times New Roman" w:cs="Times New Roman"/>
      <w:kern w:val="0"/>
      <w:sz w:val="20"/>
      <w:szCs w:val="20"/>
    </w:rPr>
  </w:style>
  <w:style w:type="paragraph" w:customStyle="1" w:styleId="93">
    <w:name w:val="_Style 5"/>
    <w:basedOn w:val="1"/>
    <w:next w:val="1"/>
    <w:qFormat/>
    <w:uiPriority w:val="0"/>
    <w:pPr>
      <w:ind w:firstLine="420" w:firstLineChars="200"/>
    </w:pPr>
    <w:rPr>
      <w:rFonts w:ascii="Times New Roman" w:hAnsi="Times New Roman" w:cs="Times New Roman"/>
    </w:rPr>
  </w:style>
  <w:style w:type="character" w:customStyle="1" w:styleId="94">
    <w:name w:val="正文文本 字符1"/>
    <w:basedOn w:val="27"/>
    <w:link w:val="8"/>
    <w:qFormat/>
    <w:uiPriority w:val="0"/>
    <w:rPr>
      <w:rFonts w:hint="default" w:ascii="Calibri" w:hAnsi="Calibri" w:eastAsia="宋体" w:cs="Times New Roman"/>
      <w:kern w:val="2"/>
      <w:sz w:val="21"/>
      <w:szCs w:val="22"/>
    </w:rPr>
  </w:style>
  <w:style w:type="paragraph" w:customStyle="1" w:styleId="95">
    <w:name w:val="列表段落1"/>
    <w:basedOn w:val="1"/>
    <w:qFormat/>
    <w:uiPriority w:val="0"/>
    <w:pPr>
      <w:ind w:firstLine="420" w:firstLineChars="200"/>
    </w:pPr>
    <w:rPr>
      <w:rFonts w:hint="eastAsia" w:ascii="等线" w:hAnsi="等线" w:eastAsia="等线" w:cs="Times New Roman"/>
    </w:rPr>
  </w:style>
  <w:style w:type="character" w:customStyle="1" w:styleId="96">
    <w:name w:val="正文文本缩进 3 字符"/>
    <w:basedOn w:val="27"/>
    <w:link w:val="18"/>
    <w:qFormat/>
    <w:uiPriority w:val="0"/>
    <w:rPr>
      <w:rFonts w:hint="eastAsia" w:ascii="等线" w:hAnsi="等线" w:eastAsia="等线" w:cs="等线"/>
      <w:kern w:val="2"/>
      <w:sz w:val="16"/>
      <w:szCs w:val="16"/>
    </w:rPr>
  </w:style>
  <w:style w:type="character" w:customStyle="1" w:styleId="97">
    <w:name w:val="正文文本首行缩进 字符1"/>
    <w:link w:val="23"/>
    <w:qFormat/>
    <w:uiPriority w:val="0"/>
    <w:rPr>
      <w:rFonts w:hint="default" w:ascii="Calibri" w:hAnsi="Calibri" w:eastAsia="楷体_GB2312" w:cs="Calibri"/>
      <w:kern w:val="2"/>
      <w:sz w:val="32"/>
      <w:szCs w:val="22"/>
    </w:rPr>
  </w:style>
  <w:style w:type="character" w:customStyle="1" w:styleId="98">
    <w:name w:val="表格文字 Char"/>
    <w:basedOn w:val="27"/>
    <w:link w:val="99"/>
    <w:qFormat/>
    <w:uiPriority w:val="0"/>
    <w:rPr>
      <w:bCs/>
      <w:spacing w:val="10"/>
      <w:sz w:val="24"/>
    </w:rPr>
  </w:style>
  <w:style w:type="paragraph" w:customStyle="1" w:styleId="99">
    <w:name w:val="表格文字"/>
    <w:basedOn w:val="1"/>
    <w:link w:val="98"/>
    <w:qFormat/>
    <w:uiPriority w:val="0"/>
    <w:pPr>
      <w:spacing w:before="25" w:after="25"/>
      <w:jc w:val="left"/>
    </w:pPr>
    <w:rPr>
      <w:rFonts w:ascii="Times New Roman" w:hAnsi="Times New Roman" w:cs="Times New Roman"/>
      <w:bCs/>
      <w:spacing w:val="10"/>
      <w:kern w:val="0"/>
      <w:sz w:val="24"/>
      <w:szCs w:val="20"/>
    </w:rPr>
  </w:style>
  <w:style w:type="paragraph" w:customStyle="1" w:styleId="100">
    <w:name w:val="_Style 3"/>
    <w:basedOn w:val="1"/>
    <w:qFormat/>
    <w:uiPriority w:val="0"/>
    <w:rPr>
      <w:rFonts w:ascii="Times New Roman" w:hAnsi="Times New Roman" w:cs="Times New Roman"/>
    </w:rPr>
  </w:style>
  <w:style w:type="paragraph" w:customStyle="1" w:styleId="101">
    <w:name w:val="列表段落3"/>
    <w:basedOn w:val="1"/>
    <w:qFormat/>
    <w:uiPriority w:val="0"/>
    <w:pPr>
      <w:ind w:firstLine="420" w:firstLineChars="200"/>
    </w:pPr>
    <w:rPr>
      <w:rFonts w:cs="Times New Roman"/>
    </w:rPr>
  </w:style>
  <w:style w:type="character" w:customStyle="1" w:styleId="102">
    <w:name w:val="15"/>
    <w:basedOn w:val="27"/>
    <w:qFormat/>
    <w:uiPriority w:val="0"/>
    <w:rPr>
      <w:rFonts w:hint="default" w:ascii="Times New Roman" w:hAnsi="Times New Roman" w:cs="Times New Roman"/>
      <w:b/>
      <w:bCs/>
    </w:rPr>
  </w:style>
  <w:style w:type="character" w:customStyle="1" w:styleId="103">
    <w:name w:val="正文首行缩进 2 Char1"/>
    <w:basedOn w:val="27"/>
    <w:qFormat/>
    <w:uiPriority w:val="0"/>
  </w:style>
  <w:style w:type="character" w:customStyle="1" w:styleId="104">
    <w:name w:val="页眉 字符2"/>
    <w:basedOn w:val="27"/>
    <w:link w:val="15"/>
    <w:qFormat/>
    <w:uiPriority w:val="0"/>
    <w:rPr>
      <w:sz w:val="18"/>
      <w:szCs w:val="18"/>
    </w:rPr>
  </w:style>
  <w:style w:type="character" w:customStyle="1" w:styleId="105">
    <w:name w:val="页眉 Char1"/>
    <w:qFormat/>
    <w:uiPriority w:val="99"/>
    <w:rPr>
      <w:sz w:val="18"/>
      <w:szCs w:val="18"/>
      <w:lang w:val="zh-CN" w:eastAsia="zh-CN"/>
    </w:rPr>
  </w:style>
  <w:style w:type="character" w:customStyle="1" w:styleId="106">
    <w:name w:val="标题 2 Char"/>
    <w:basedOn w:val="27"/>
    <w:qFormat/>
    <w:uiPriority w:val="0"/>
    <w:rPr>
      <w:rFonts w:ascii="Arial" w:hAnsi="Arial" w:eastAsia="黑体" w:cs="Times New Roman"/>
      <w:b/>
      <w:bCs/>
      <w:sz w:val="32"/>
      <w:szCs w:val="32"/>
    </w:rPr>
  </w:style>
  <w:style w:type="paragraph" w:customStyle="1" w:styleId="107">
    <w:name w:val="正文1"/>
    <w:basedOn w:val="1"/>
    <w:qFormat/>
    <w:uiPriority w:val="0"/>
    <w:pPr>
      <w:widowControl/>
      <w:overflowPunct w:val="0"/>
      <w:autoSpaceDE w:val="0"/>
      <w:autoSpaceDN w:val="0"/>
      <w:adjustRightInd w:val="0"/>
      <w:textAlignment w:val="baseline"/>
    </w:pPr>
    <w:rPr>
      <w:rFonts w:ascii="宋体" w:cs="Times New Roman"/>
      <w:kern w:val="0"/>
      <w:szCs w:val="20"/>
    </w:rPr>
  </w:style>
  <w:style w:type="paragraph" w:customStyle="1" w:styleId="108">
    <w:name w:val="样式 正文首行缩进 + 宋体 小四 首行缩进:  1 字符"/>
    <w:basedOn w:val="1"/>
    <w:next w:val="1"/>
    <w:qFormat/>
    <w:uiPriority w:val="0"/>
    <w:pPr>
      <w:spacing w:after="120" w:line="360" w:lineRule="auto"/>
      <w:ind w:firstLine="150" w:firstLineChars="150"/>
    </w:pPr>
    <w:rPr>
      <w:rFonts w:ascii="宋体" w:hAnsi="宋体" w:cs="Times New Roman"/>
      <w:sz w:val="24"/>
      <w:szCs w:val="20"/>
    </w:rPr>
  </w:style>
  <w:style w:type="paragraph" w:customStyle="1" w:styleId="109">
    <w:name w:val="AOHead3"/>
    <w:basedOn w:val="1"/>
    <w:next w:val="1"/>
    <w:qFormat/>
    <w:uiPriority w:val="0"/>
    <w:pPr>
      <w:spacing w:line="360" w:lineRule="auto"/>
      <w:ind w:left="1260" w:firstLine="480" w:firstLineChars="200"/>
      <w:outlineLvl w:val="2"/>
    </w:pPr>
    <w:rPr>
      <w:rFonts w:ascii="Times New Roman" w:hAnsi="Times New Roman"/>
      <w:color w:val="0000FF"/>
      <w:sz w:val="24"/>
      <w:szCs w:val="24"/>
    </w:rPr>
  </w:style>
  <w:style w:type="paragraph" w:customStyle="1" w:styleId="110">
    <w:name w:val="修订1"/>
    <w:qFormat/>
    <w:uiPriority w:val="99"/>
    <w:rPr>
      <w:rFonts w:ascii="Calibri" w:hAnsi="Calibri" w:eastAsia="宋体" w:cs="宋体"/>
      <w:kern w:val="2"/>
      <w:sz w:val="21"/>
      <w:szCs w:val="22"/>
      <w:lang w:val="en-US" w:eastAsia="zh-CN" w:bidi="ar-SA"/>
    </w:rPr>
  </w:style>
  <w:style w:type="character" w:customStyle="1" w:styleId="111">
    <w:name w:val="日期 字符"/>
    <w:basedOn w:val="27"/>
    <w:link w:val="12"/>
    <w:semiHidden/>
    <w:qFormat/>
    <w:uiPriority w:val="99"/>
    <w:rPr>
      <w:rFonts w:ascii="Calibri" w:hAnsi="Calibri" w:cs="宋体"/>
      <w:kern w:val="2"/>
      <w:sz w:val="21"/>
      <w:szCs w:val="22"/>
    </w:rPr>
  </w:style>
  <w:style w:type="paragraph" w:customStyle="1" w:styleId="112">
    <w:name w:val="修订2"/>
    <w:hidden/>
    <w:unhideWhenUsed/>
    <w:qFormat/>
    <w:uiPriority w:val="99"/>
    <w:rPr>
      <w:rFonts w:ascii="Calibri" w:hAnsi="Calibri" w:eastAsia="宋体" w:cs="宋体"/>
      <w:kern w:val="2"/>
      <w:sz w:val="21"/>
      <w:szCs w:val="22"/>
      <w:lang w:val="en-US" w:eastAsia="zh-CN" w:bidi="ar-SA"/>
    </w:rPr>
  </w:style>
  <w:style w:type="paragraph" w:customStyle="1" w:styleId="113">
    <w:name w:val="修订3"/>
    <w:hidden/>
    <w:unhideWhenUsed/>
    <w:qFormat/>
    <w:uiPriority w:val="99"/>
    <w:rPr>
      <w:rFonts w:ascii="Calibri" w:hAnsi="Calibri" w:eastAsia="宋体" w:cs="宋体"/>
      <w:kern w:val="2"/>
      <w:sz w:val="21"/>
      <w:szCs w:val="22"/>
      <w:lang w:val="en-US" w:eastAsia="zh-CN" w:bidi="ar-SA"/>
    </w:rPr>
  </w:style>
  <w:style w:type="paragraph" w:customStyle="1" w:styleId="114">
    <w:name w:val="修订4"/>
    <w:hidden/>
    <w:unhideWhenUsed/>
    <w:qFormat/>
    <w:uiPriority w:val="99"/>
    <w:rPr>
      <w:rFonts w:ascii="Calibri" w:hAnsi="Calibri" w:eastAsia="宋体" w:cs="宋体"/>
      <w:kern w:val="2"/>
      <w:sz w:val="21"/>
      <w:szCs w:val="22"/>
      <w:lang w:val="en-US" w:eastAsia="zh-CN" w:bidi="ar-SA"/>
    </w:rPr>
  </w:style>
  <w:style w:type="paragraph" w:customStyle="1" w:styleId="115">
    <w:name w:val="修订5"/>
    <w:hidden/>
    <w:unhideWhenUsed/>
    <w:qFormat/>
    <w:uiPriority w:val="99"/>
    <w:rPr>
      <w:rFonts w:ascii="Calibri" w:hAnsi="Calibri" w:eastAsia="宋体" w:cs="宋体"/>
      <w:kern w:val="2"/>
      <w:sz w:val="21"/>
      <w:szCs w:val="22"/>
      <w:lang w:val="en-US" w:eastAsia="zh-CN" w:bidi="ar-SA"/>
    </w:rPr>
  </w:style>
  <w:style w:type="paragraph" w:customStyle="1" w:styleId="116">
    <w:name w:val="修订6"/>
    <w:hidden/>
    <w:unhideWhenUsed/>
    <w:qFormat/>
    <w:uiPriority w:val="99"/>
    <w:rPr>
      <w:rFonts w:ascii="Calibri" w:hAnsi="Calibri" w:eastAsia="宋体" w:cs="宋体"/>
      <w:kern w:val="2"/>
      <w:sz w:val="21"/>
      <w:szCs w:val="22"/>
      <w:lang w:val="en-US" w:eastAsia="zh-CN" w:bidi="ar-SA"/>
    </w:rPr>
  </w:style>
  <w:style w:type="paragraph" w:customStyle="1" w:styleId="117">
    <w:name w:val="修订7"/>
    <w:hidden/>
    <w:unhideWhenUsed/>
    <w:qFormat/>
    <w:uiPriority w:val="99"/>
    <w:rPr>
      <w:rFonts w:ascii="Calibri" w:hAnsi="Calibri" w:eastAsia="宋体" w:cs="宋体"/>
      <w:kern w:val="2"/>
      <w:sz w:val="21"/>
      <w:szCs w:val="22"/>
      <w:lang w:val="en-US" w:eastAsia="zh-CN" w:bidi="ar-SA"/>
    </w:rPr>
  </w:style>
  <w:style w:type="paragraph" w:customStyle="1" w:styleId="118">
    <w:name w:val="修订8"/>
    <w:hidden/>
    <w:unhideWhenUsed/>
    <w:qFormat/>
    <w:uiPriority w:val="99"/>
    <w:rPr>
      <w:rFonts w:ascii="Calibri" w:hAnsi="Calibri" w:eastAsia="宋体" w:cs="宋体"/>
      <w:kern w:val="2"/>
      <w:sz w:val="21"/>
      <w:szCs w:val="22"/>
      <w:lang w:val="en-US" w:eastAsia="zh-CN" w:bidi="ar-SA"/>
    </w:rPr>
  </w:style>
  <w:style w:type="paragraph" w:customStyle="1" w:styleId="119">
    <w:name w:val="修订9"/>
    <w:hidden/>
    <w:unhideWhenUsed/>
    <w:qFormat/>
    <w:uiPriority w:val="99"/>
    <w:rPr>
      <w:rFonts w:ascii="Calibri" w:hAnsi="Calibri" w:eastAsia="宋体" w:cs="宋体"/>
      <w:kern w:val="2"/>
      <w:sz w:val="21"/>
      <w:szCs w:val="22"/>
      <w:lang w:val="en-US" w:eastAsia="zh-CN" w:bidi="ar-SA"/>
    </w:rPr>
  </w:style>
  <w:style w:type="paragraph" w:customStyle="1" w:styleId="120">
    <w:name w:val="修订10"/>
    <w:hidden/>
    <w:unhideWhenUsed/>
    <w:qFormat/>
    <w:uiPriority w:val="99"/>
    <w:rPr>
      <w:rFonts w:ascii="Calibri" w:hAnsi="Calibri" w:eastAsia="宋体" w:cs="宋体"/>
      <w:kern w:val="2"/>
      <w:sz w:val="21"/>
      <w:szCs w:val="22"/>
      <w:lang w:val="en-US" w:eastAsia="zh-CN" w:bidi="ar-SA"/>
    </w:rPr>
  </w:style>
  <w:style w:type="paragraph" w:customStyle="1" w:styleId="121">
    <w:name w:val="修订11"/>
    <w:hidden/>
    <w:unhideWhenUsed/>
    <w:qFormat/>
    <w:uiPriority w:val="99"/>
    <w:rPr>
      <w:rFonts w:ascii="Calibri" w:hAnsi="Calibri" w:eastAsia="宋体" w:cs="宋体"/>
      <w:kern w:val="2"/>
      <w:sz w:val="21"/>
      <w:szCs w:val="22"/>
      <w:lang w:val="en-US" w:eastAsia="zh-CN" w:bidi="ar-SA"/>
    </w:rPr>
  </w:style>
  <w:style w:type="paragraph" w:customStyle="1" w:styleId="122">
    <w:name w:val="修订12"/>
    <w:hidden/>
    <w:unhideWhenUsed/>
    <w:qFormat/>
    <w:uiPriority w:val="99"/>
    <w:rPr>
      <w:rFonts w:ascii="Calibri" w:hAnsi="Calibri" w:eastAsia="宋体" w:cs="宋体"/>
      <w:kern w:val="2"/>
      <w:sz w:val="21"/>
      <w:szCs w:val="22"/>
      <w:lang w:val="en-US" w:eastAsia="zh-CN" w:bidi="ar-SA"/>
    </w:rPr>
  </w:style>
  <w:style w:type="paragraph" w:customStyle="1" w:styleId="123">
    <w:name w:val="修订13"/>
    <w:hidden/>
    <w:unhideWhenUsed/>
    <w:qFormat/>
    <w:uiPriority w:val="99"/>
    <w:rPr>
      <w:rFonts w:ascii="Calibri" w:hAnsi="Calibri" w:eastAsia="宋体" w:cs="宋体"/>
      <w:kern w:val="2"/>
      <w:sz w:val="21"/>
      <w:szCs w:val="22"/>
      <w:lang w:val="en-US" w:eastAsia="zh-CN" w:bidi="ar-SA"/>
    </w:rPr>
  </w:style>
  <w:style w:type="paragraph" w:customStyle="1" w:styleId="124">
    <w:name w:val="修订14"/>
    <w:hidden/>
    <w:unhideWhenUsed/>
    <w:qFormat/>
    <w:uiPriority w:val="99"/>
    <w:rPr>
      <w:rFonts w:ascii="Calibri" w:hAnsi="Calibri" w:eastAsia="宋体" w:cs="宋体"/>
      <w:kern w:val="2"/>
      <w:sz w:val="21"/>
      <w:szCs w:val="22"/>
      <w:lang w:val="en-US" w:eastAsia="zh-CN" w:bidi="ar-SA"/>
    </w:rPr>
  </w:style>
  <w:style w:type="paragraph" w:customStyle="1" w:styleId="125">
    <w:name w:val="修订15"/>
    <w:hidden/>
    <w:unhideWhenUsed/>
    <w:qFormat/>
    <w:uiPriority w:val="99"/>
    <w:rPr>
      <w:rFonts w:ascii="Calibri" w:hAnsi="Calibri" w:eastAsia="宋体" w:cs="宋体"/>
      <w:kern w:val="2"/>
      <w:sz w:val="21"/>
      <w:szCs w:val="22"/>
      <w:lang w:val="en-US" w:eastAsia="zh-CN" w:bidi="ar-SA"/>
    </w:rPr>
  </w:style>
  <w:style w:type="paragraph" w:customStyle="1" w:styleId="126">
    <w:name w:val="修订16"/>
    <w:hidden/>
    <w:unhideWhenUsed/>
    <w:qFormat/>
    <w:uiPriority w:val="99"/>
    <w:rPr>
      <w:rFonts w:ascii="Calibri" w:hAnsi="Calibri" w:eastAsia="宋体" w:cs="宋体"/>
      <w:kern w:val="2"/>
      <w:sz w:val="21"/>
      <w:szCs w:val="22"/>
      <w:lang w:val="en-US" w:eastAsia="zh-CN" w:bidi="ar-SA"/>
    </w:rPr>
  </w:style>
  <w:style w:type="paragraph" w:customStyle="1" w:styleId="127">
    <w:name w:val="引文目录标题1"/>
    <w:basedOn w:val="1"/>
    <w:next w:val="1"/>
    <w:qFormat/>
    <w:uiPriority w:val="0"/>
    <w:rPr>
      <w:rFonts w:ascii="Arial" w:hAnsi="Arial" w:cs="Times New Roman"/>
      <w:sz w:val="24"/>
      <w:szCs w:val="24"/>
    </w:rPr>
  </w:style>
  <w:style w:type="table" w:customStyle="1" w:styleId="128">
    <w:name w:val="网格型1"/>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9">
    <w:name w:val="fontstyle11"/>
    <w:basedOn w:val="27"/>
    <w:qFormat/>
    <w:uiPriority w:val="0"/>
    <w:rPr>
      <w:rFonts w:ascii="宋体" w:hAnsi="宋体" w:eastAsia="宋体" w:cs="宋体"/>
      <w:color w:val="000000"/>
      <w:sz w:val="36"/>
      <w:szCs w:val="36"/>
    </w:rPr>
  </w:style>
  <w:style w:type="character" w:customStyle="1" w:styleId="130">
    <w:name w:val="fontstyle01"/>
    <w:basedOn w:val="27"/>
    <w:qFormat/>
    <w:uiPriority w:val="0"/>
    <w:rPr>
      <w:rFonts w:ascii="黑体" w:hAnsi="宋体" w:eastAsia="黑体" w:cs="黑体"/>
      <w:color w:val="000000"/>
      <w:sz w:val="18"/>
      <w:szCs w:val="18"/>
    </w:rPr>
  </w:style>
  <w:style w:type="character" w:customStyle="1" w:styleId="131">
    <w:name w:val="fontstyle31"/>
    <w:basedOn w:val="27"/>
    <w:qFormat/>
    <w:uiPriority w:val="0"/>
    <w:rPr>
      <w:rFonts w:ascii="TimesNewRomanPSMT" w:hAnsi="TimesNewRomanPSMT" w:eastAsia="TimesNewRomanPSMT" w:cs="TimesNewRomanPSMT"/>
      <w:color w:val="000000"/>
      <w:sz w:val="18"/>
      <w:szCs w:val="18"/>
    </w:rPr>
  </w:style>
  <w:style w:type="character" w:customStyle="1" w:styleId="132">
    <w:name w:val="fontstyle41"/>
    <w:basedOn w:val="27"/>
    <w:qFormat/>
    <w:uiPriority w:val="0"/>
    <w:rPr>
      <w:rFonts w:ascii="TimesNewRomanPS-BoldMT" w:hAnsi="TimesNewRomanPS-BoldMT" w:eastAsia="TimesNewRomanPS-BoldMT" w:cs="TimesNewRomanPS-BoldMT"/>
      <w:b/>
      <w:color w:val="000000"/>
      <w:sz w:val="28"/>
      <w:szCs w:val="28"/>
    </w:rPr>
  </w:style>
  <w:style w:type="character" w:customStyle="1" w:styleId="133">
    <w:name w:val="fontstyle51"/>
    <w:basedOn w:val="27"/>
    <w:qFormat/>
    <w:uiPriority w:val="0"/>
    <w:rPr>
      <w:rFonts w:ascii="hakuyoxingshu7000" w:hAnsi="hakuyoxingshu7000" w:eastAsia="hakuyoxingshu7000" w:cs="hakuyoxingshu7000"/>
      <w:color w:val="000000"/>
      <w:sz w:val="22"/>
      <w:szCs w:val="22"/>
    </w:rPr>
  </w:style>
  <w:style w:type="character" w:customStyle="1" w:styleId="134">
    <w:name w:val="fontstyle61"/>
    <w:basedOn w:val="27"/>
    <w:qFormat/>
    <w:uiPriority w:val="0"/>
    <w:rPr>
      <w:rFonts w:ascii="Arial-BoldMT" w:hAnsi="Arial-BoldMT" w:eastAsia="Arial-BoldMT" w:cs="Arial-BoldMT"/>
      <w:b/>
      <w:color w:val="000000"/>
      <w:sz w:val="32"/>
      <w:szCs w:val="32"/>
    </w:rPr>
  </w:style>
  <w:style w:type="paragraph" w:customStyle="1" w:styleId="135">
    <w:name w:val="修订17"/>
    <w:hidden/>
    <w:unhideWhenUsed/>
    <w:qFormat/>
    <w:uiPriority w:val="99"/>
    <w:rPr>
      <w:rFonts w:ascii="Calibri" w:hAnsi="Calibri" w:eastAsia="宋体" w:cs="宋体"/>
      <w:kern w:val="2"/>
      <w:sz w:val="21"/>
      <w:szCs w:val="22"/>
      <w:lang w:val="en-US" w:eastAsia="zh-CN" w:bidi="ar-SA"/>
    </w:rPr>
  </w:style>
  <w:style w:type="paragraph" w:customStyle="1" w:styleId="136">
    <w:name w:val="修订18"/>
    <w:hidden/>
    <w:unhideWhenUsed/>
    <w:qFormat/>
    <w:uiPriority w:val="99"/>
    <w:rPr>
      <w:rFonts w:ascii="Calibri" w:hAnsi="Calibri" w:eastAsia="宋体" w:cs="宋体"/>
      <w:kern w:val="2"/>
      <w:sz w:val="21"/>
      <w:szCs w:val="22"/>
      <w:lang w:val="en-US" w:eastAsia="zh-CN" w:bidi="ar-SA"/>
    </w:rPr>
  </w:style>
  <w:style w:type="paragraph" w:customStyle="1" w:styleId="137">
    <w:name w:val="修订19"/>
    <w:hidden/>
    <w:unhideWhenUsed/>
    <w:qFormat/>
    <w:uiPriority w:val="99"/>
    <w:rPr>
      <w:rFonts w:ascii="Calibri" w:hAnsi="Calibri" w:eastAsia="宋体" w:cs="宋体"/>
      <w:kern w:val="2"/>
      <w:sz w:val="21"/>
      <w:szCs w:val="22"/>
      <w:lang w:val="en-US" w:eastAsia="zh-CN" w:bidi="ar-SA"/>
    </w:rPr>
  </w:style>
  <w:style w:type="paragraph" w:customStyle="1" w:styleId="138">
    <w:name w:val="修订20"/>
    <w:hidden/>
    <w:unhideWhenUsed/>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14</Pages>
  <Words>8232</Words>
  <Characters>8492</Characters>
  <Lines>228</Lines>
  <Paragraphs>299</Paragraphs>
  <TotalTime>113</TotalTime>
  <ScaleCrop>false</ScaleCrop>
  <LinksUpToDate>false</LinksUpToDate>
  <CharactersWithSpaces>8643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2025-05-23T09:54:00Z</dcterms:created>
  <dc:creator>dreamsummit</dc:creator>
  <cp:lastModifiedBy>云采链</cp:lastModifiedBy>
  <cp:lastPrinted>2018-10-16T04:01:00Z</cp:lastPrinted>
  <dcterms:modified xsi:type="dcterms:W3CDTF">2025-05-27T08:45:08Z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C5CEBAFBA64F416A8F5997F82EACBC61_13</vt:lpwstr>
  </property>
  <property fmtid="{D5CDD505-2E9C-101B-9397-08002B2CF9AE}" pid="4" name="KSOTemplateDocerSaveRecord">
    <vt:lpwstr>eyJoZGlkIjoiOTUyZTMzMGFmZDU3N2E2OTgxMzI3ZWIyZWQ1MDI2NWYiLCJ1c2VySWQiOiI0MDkwNDAzNDUifQ==</vt:lpwstr>
  </property>
</Properties>
</file>