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E968E">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2409EFEA">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7F13DEC1">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63077853">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59660FE9">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15837C22">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1645CC5E">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7998AA4A">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004F13D6">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采购人式：线上竞价</w:t>
      </w:r>
    </w:p>
    <w:p w14:paraId="45337BCC">
      <w:pPr>
        <w:spacing w:after="0" w:line="360" w:lineRule="auto"/>
        <w:ind w:left="1405" w:hanging="1405" w:hangingChars="500"/>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14:textFill>
            <w14:solidFill>
              <w14:schemeClr w14:val="tx1"/>
            </w14:solidFill>
          </w14:textFill>
        </w:rPr>
        <w:t>广东省肇庆监狱监区墙面铝扣板安装项目</w:t>
      </w:r>
    </w:p>
    <w:p w14:paraId="4BE9FC3C">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574942FE">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5D19EBE6">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6BAAD8CA">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48BF6257">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3FBE9AC6">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二〇二五年五月</w:t>
      </w:r>
    </w:p>
    <w:p w14:paraId="3D9997D5">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3EF1EA98">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5D5071CC">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5CF4D211">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7594554A">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4843DF0">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49D4C9C0">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7A4EBDF1">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563C1C89">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15341D01">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3F029F57">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47A041AC">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68EC681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7741BE6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若本项目竞价采购失败，采购人将重新采购，届时采购人有权根据项目具体情况，决定重新采购项目的采购人式。</w:t>
      </w:r>
    </w:p>
    <w:p w14:paraId="5D4149A2">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5C32E140">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5F41AB8A">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59557BFC">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7E878196">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7AB53559">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7A888621">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7D9C875A">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68F1F5BA">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61B0247F">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00DFD94C">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14B58593">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2B045C98">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eastAsia="宋体" w:cs="宋体"/>
          <w:kern w:val="0"/>
          <w:szCs w:val="20"/>
        </w:rPr>
        <w:t>；</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0EA89EA">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5E950970">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16232034">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7E3537CB">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14:textFill>
            <w14:solidFill>
              <w14:schemeClr w14:val="tx1"/>
            </w14:solidFill>
          </w14:textFill>
        </w:rPr>
        <w:t>（</w:t>
      </w:r>
      <w:r>
        <w:rPr>
          <w:rFonts w:hint="eastAsia" w:cs="宋体" w:asciiTheme="minorEastAsia" w:hAnsiTheme="minorEastAsia"/>
          <w:b/>
          <w:bCs/>
          <w:szCs w:val="21"/>
          <w:lang w:bidi="ar"/>
        </w:rPr>
        <w:t>上传</w:t>
      </w:r>
      <w:r>
        <w:rPr>
          <w:rFonts w:hint="eastAsia" w:cs="宋体" w:asciiTheme="minorEastAsia" w:hAnsiTheme="minorEastAsia"/>
          <w:b/>
          <w:bCs/>
          <w:szCs w:val="21"/>
          <w:shd w:val="clear" w:color="auto" w:fill="FFFFFF"/>
          <w:lang w:bidi="ar"/>
        </w:rPr>
        <w:t>报价表）。</w:t>
      </w:r>
    </w:p>
    <w:p w14:paraId="03F73F67">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A28F384">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5E93ADA1">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5EC9FA98">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747FB6D6">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2D54F475">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2A0940C2">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53F73954">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6555A7ED">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AEC75CC">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35A3B320">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02A2CD71">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45A0F003">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3D5AC6E6">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58CA01AC">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3200EB25">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37F015ED">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4B665309">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637BE24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6AC62980">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5560BEC8">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0994FD09">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657BF61A">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7486BFE1">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25C2F06D">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197181EC">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009DE8F1">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7CE1BD03">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36C9D6DE">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66D355E4">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0B669EA9">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2F65FAD8">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3.扫码关注微信公众号“云采链互联服务平台”，即可在线咨询相关事项。</w:t>
      </w:r>
    </w:p>
    <w:p w14:paraId="0F7348D6">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89D214E">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3B5563BB">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0F1AFD1E">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64BA900A">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6FD23483">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5C693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37083C01">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5B74CFF2">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62634AAF">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5BA848C1">
            <w:pPr>
              <w:spacing w:after="0"/>
              <w:jc w:val="center"/>
              <w:rPr>
                <w:rFonts w:hint="eastAsia" w:asciiTheme="minorEastAsia" w:hAnsiTheme="minorEastAsia"/>
                <w:b/>
                <w:szCs w:val="21"/>
              </w:rPr>
            </w:pPr>
            <w:r>
              <w:rPr>
                <w:rFonts w:hint="eastAsia" w:asciiTheme="minorEastAsia" w:hAnsiTheme="minorEastAsia"/>
                <w:b/>
                <w:szCs w:val="21"/>
              </w:rPr>
              <w:t>项目预算（含税）</w:t>
            </w:r>
          </w:p>
        </w:tc>
      </w:tr>
      <w:tr w14:paraId="30A2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66D27952">
            <w:pPr>
              <w:spacing w:after="0"/>
              <w:jc w:val="center"/>
              <w:rPr>
                <w:rFonts w:hint="eastAsia" w:asciiTheme="minorEastAsia" w:hAnsiTheme="minorEastAsia"/>
                <w:szCs w:val="21"/>
              </w:rPr>
            </w:pPr>
            <w:r>
              <w:rPr>
                <w:rFonts w:hint="eastAsia" w:asciiTheme="minorEastAsia" w:hAnsiTheme="minorEastAsia"/>
                <w:szCs w:val="21"/>
              </w:rPr>
              <w:t>广东省肇庆监狱监区墙面铝扣板安装项目</w:t>
            </w:r>
          </w:p>
        </w:tc>
        <w:tc>
          <w:tcPr>
            <w:tcW w:w="1056" w:type="dxa"/>
            <w:tcBorders>
              <w:top w:val="single" w:color="auto" w:sz="2" w:space="0"/>
              <w:bottom w:val="single" w:color="auto" w:sz="2" w:space="0"/>
            </w:tcBorders>
            <w:vAlign w:val="center"/>
          </w:tcPr>
          <w:p w14:paraId="3DC54F85">
            <w:pPr>
              <w:spacing w:after="0"/>
              <w:jc w:val="center"/>
              <w:rPr>
                <w:rFonts w:hint="eastAsia" w:asciiTheme="minorEastAsia" w:hAnsiTheme="minorEastAsia"/>
                <w:szCs w:val="21"/>
              </w:rPr>
            </w:pPr>
            <w:r>
              <w:rPr>
                <w:rFonts w:hint="eastAsia" w:asciiTheme="minorEastAsia" w:hAnsiTheme="minorEastAsia"/>
                <w:szCs w:val="21"/>
              </w:rPr>
              <w:t>1批</w:t>
            </w:r>
          </w:p>
        </w:tc>
        <w:tc>
          <w:tcPr>
            <w:tcW w:w="2931" w:type="dxa"/>
            <w:tcBorders>
              <w:top w:val="single" w:color="auto" w:sz="2" w:space="0"/>
              <w:bottom w:val="single" w:color="auto" w:sz="2" w:space="0"/>
            </w:tcBorders>
            <w:vAlign w:val="center"/>
          </w:tcPr>
          <w:p w14:paraId="39AB89C5">
            <w:pPr>
              <w:spacing w:after="0"/>
              <w:jc w:val="center"/>
              <w:rPr>
                <w:rFonts w:hint="eastAsia" w:asciiTheme="minorEastAsia" w:hAnsiTheme="minorEastAsia"/>
                <w:szCs w:val="21"/>
              </w:rPr>
            </w:pPr>
            <w:r>
              <w:rPr>
                <w:rFonts w:hint="eastAsia" w:asciiTheme="minorEastAsia" w:hAnsiTheme="minorEastAsia"/>
                <w:szCs w:val="21"/>
              </w:rPr>
              <w:t>自签订合同后10个工作日内</w:t>
            </w:r>
          </w:p>
        </w:tc>
        <w:tc>
          <w:tcPr>
            <w:tcW w:w="1716" w:type="dxa"/>
            <w:tcBorders>
              <w:top w:val="single" w:color="auto" w:sz="2" w:space="0"/>
              <w:bottom w:val="single" w:color="auto" w:sz="2" w:space="0"/>
            </w:tcBorders>
            <w:vAlign w:val="center"/>
          </w:tcPr>
          <w:p w14:paraId="581904F5">
            <w:pPr>
              <w:spacing w:after="0"/>
              <w:jc w:val="center"/>
              <w:rPr>
                <w:rFonts w:hint="eastAsia" w:asciiTheme="minorEastAsia" w:hAnsiTheme="minorEastAsia"/>
                <w:szCs w:val="21"/>
              </w:rPr>
            </w:pPr>
            <w:r>
              <w:rPr>
                <w:rFonts w:hint="eastAsia" w:asciiTheme="minorEastAsia" w:hAnsiTheme="minorEastAsia"/>
                <w:szCs w:val="21"/>
              </w:rPr>
              <w:t>人民币</w:t>
            </w:r>
            <w:r>
              <w:rPr>
                <w:rFonts w:hint="eastAsia" w:ascii="宋体" w:hAnsi="宋体" w:eastAsia="宋体" w:cstheme="minorEastAsia"/>
                <w:kern w:val="0"/>
                <w:szCs w:val="21"/>
                <w:u w:val="single"/>
                <w:lang w:bidi="ar"/>
              </w:rPr>
              <w:t>65000</w:t>
            </w:r>
            <w:r>
              <w:rPr>
                <w:rFonts w:hint="eastAsia" w:asciiTheme="minorEastAsia" w:hAnsiTheme="minorEastAsia"/>
                <w:szCs w:val="21"/>
              </w:rPr>
              <w:t>元</w:t>
            </w:r>
          </w:p>
        </w:tc>
      </w:tr>
    </w:tbl>
    <w:p w14:paraId="4FEF2CDF">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采购清单</w:t>
      </w:r>
    </w:p>
    <w:tbl>
      <w:tblPr>
        <w:tblStyle w:val="24"/>
        <w:tblW w:w="4992" w:type="pct"/>
        <w:jc w:val="center"/>
        <w:tblLayout w:type="autofit"/>
        <w:tblCellMar>
          <w:top w:w="0" w:type="dxa"/>
          <w:left w:w="0" w:type="dxa"/>
          <w:bottom w:w="0" w:type="dxa"/>
          <w:right w:w="0" w:type="dxa"/>
        </w:tblCellMar>
      </w:tblPr>
      <w:tblGrid>
        <w:gridCol w:w="1256"/>
        <w:gridCol w:w="3172"/>
        <w:gridCol w:w="1035"/>
        <w:gridCol w:w="1183"/>
        <w:gridCol w:w="1667"/>
      </w:tblGrid>
      <w:tr w14:paraId="11D3EB9A">
        <w:tblPrEx>
          <w:tblCellMar>
            <w:top w:w="0" w:type="dxa"/>
            <w:left w:w="0" w:type="dxa"/>
            <w:bottom w:w="0" w:type="dxa"/>
            <w:right w:w="0" w:type="dxa"/>
          </w:tblCellMar>
        </w:tblPrEx>
        <w:trPr>
          <w:trHeight w:val="1096" w:hRule="atLeast"/>
          <w:jc w:val="center"/>
        </w:trPr>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BBF2">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序号</w:t>
            </w:r>
          </w:p>
        </w:tc>
        <w:tc>
          <w:tcPr>
            <w:tcW w:w="1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7D4E">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产品名称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F77A">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数量</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CF85">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单位</w:t>
            </w:r>
          </w:p>
        </w:tc>
        <w:tc>
          <w:tcPr>
            <w:tcW w:w="1002" w:type="pct"/>
            <w:tcBorders>
              <w:top w:val="single" w:color="000000" w:sz="4" w:space="0"/>
              <w:left w:val="single" w:color="000000" w:sz="4" w:space="0"/>
              <w:bottom w:val="single" w:color="000000" w:sz="4" w:space="0"/>
              <w:right w:val="single" w:color="000000" w:sz="4" w:space="0"/>
            </w:tcBorders>
            <w:vAlign w:val="center"/>
          </w:tcPr>
          <w:p w14:paraId="43296225">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单价最高限价</w:t>
            </w:r>
          </w:p>
          <w:p w14:paraId="7A3B170C">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（元/平方米）</w:t>
            </w:r>
          </w:p>
        </w:tc>
      </w:tr>
      <w:tr w14:paraId="07DB4ADC">
        <w:tblPrEx>
          <w:tblCellMar>
            <w:top w:w="0" w:type="dxa"/>
            <w:left w:w="0" w:type="dxa"/>
            <w:bottom w:w="0" w:type="dxa"/>
            <w:right w:w="0" w:type="dxa"/>
          </w:tblCellMar>
        </w:tblPrEx>
        <w:trPr>
          <w:trHeight w:val="1096" w:hRule="atLeast"/>
          <w:jc w:val="center"/>
        </w:trPr>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CD07">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w:t>
            </w:r>
          </w:p>
        </w:tc>
        <w:tc>
          <w:tcPr>
            <w:tcW w:w="1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69C4">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铝扣板（蜂窝spc墙板）</w:t>
            </w:r>
          </w:p>
        </w:tc>
        <w:tc>
          <w:tcPr>
            <w:tcW w:w="6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C0F6">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500</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FE6E">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平方米</w:t>
            </w:r>
          </w:p>
        </w:tc>
        <w:tc>
          <w:tcPr>
            <w:tcW w:w="1002" w:type="pct"/>
            <w:tcBorders>
              <w:top w:val="single" w:color="000000" w:sz="4" w:space="0"/>
              <w:left w:val="single" w:color="000000" w:sz="4" w:space="0"/>
              <w:bottom w:val="single" w:color="000000" w:sz="4" w:space="0"/>
              <w:right w:val="single" w:color="000000" w:sz="4" w:space="0"/>
            </w:tcBorders>
            <w:vAlign w:val="center"/>
          </w:tcPr>
          <w:p w14:paraId="6BCF85E2">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130</w:t>
            </w:r>
          </w:p>
        </w:tc>
      </w:tr>
    </w:tbl>
    <w:p w14:paraId="1DEA4BF5">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参数要求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167"/>
        <w:gridCol w:w="3458"/>
        <w:gridCol w:w="3337"/>
      </w:tblGrid>
      <w:tr w14:paraId="5B6D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7EE8C005">
            <w:pPr>
              <w:jc w:val="center"/>
              <w:rPr>
                <w:rFonts w:hint="eastAsia" w:ascii="宋体" w:hAnsi="宋体" w:eastAsia="宋体" w:cs="宋体"/>
                <w:b/>
                <w:szCs w:val="21"/>
              </w:rPr>
            </w:pPr>
            <w:r>
              <w:rPr>
                <w:rFonts w:hint="eastAsia" w:ascii="宋体" w:hAnsi="宋体" w:eastAsia="宋体" w:cs="宋体"/>
                <w:b/>
                <w:szCs w:val="21"/>
                <w:lang w:bidi="ar"/>
              </w:rPr>
              <w:t>序号</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14:paraId="2B3537D8">
            <w:pPr>
              <w:jc w:val="center"/>
              <w:rPr>
                <w:rFonts w:hint="eastAsia" w:ascii="宋体" w:hAnsi="宋体" w:eastAsia="宋体" w:cs="宋体"/>
                <w:b/>
                <w:szCs w:val="21"/>
              </w:rPr>
            </w:pPr>
            <w:r>
              <w:rPr>
                <w:rFonts w:hint="eastAsia" w:ascii="宋体" w:hAnsi="宋体" w:eastAsia="宋体" w:cs="宋体"/>
                <w:b/>
                <w:szCs w:val="21"/>
                <w:lang w:bidi="ar"/>
              </w:rPr>
              <w:t>产品名称</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14:paraId="7432EC94">
            <w:pPr>
              <w:jc w:val="center"/>
              <w:rPr>
                <w:rFonts w:hint="eastAsia" w:ascii="宋体" w:hAnsi="宋体" w:eastAsia="宋体" w:cs="宋体"/>
                <w:b/>
                <w:szCs w:val="21"/>
              </w:rPr>
            </w:pPr>
            <w:r>
              <w:rPr>
                <w:rFonts w:hint="eastAsia" w:ascii="宋体" w:hAnsi="宋体" w:eastAsia="宋体" w:cs="宋体"/>
                <w:b/>
                <w:szCs w:val="21"/>
                <w:lang w:bidi="ar"/>
              </w:rPr>
              <w:t>详细参数</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0E44BB9A">
            <w:pPr>
              <w:jc w:val="center"/>
              <w:rPr>
                <w:rFonts w:hint="eastAsia" w:ascii="宋体" w:hAnsi="宋体" w:eastAsia="宋体" w:cs="宋体"/>
                <w:b/>
                <w:szCs w:val="21"/>
              </w:rPr>
            </w:pPr>
            <w:r>
              <w:rPr>
                <w:rFonts w:hint="eastAsia" w:ascii="宋体" w:hAnsi="宋体" w:eastAsia="宋体" w:cs="宋体"/>
                <w:b/>
                <w:szCs w:val="21"/>
                <w:lang w:bidi="ar"/>
              </w:rPr>
              <w:t>参考样式</w:t>
            </w:r>
          </w:p>
        </w:tc>
      </w:tr>
      <w:tr w14:paraId="1753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082D0A2D">
            <w:pPr>
              <w:jc w:val="center"/>
              <w:rPr>
                <w:rFonts w:hint="eastAsia" w:ascii="宋体" w:hAnsi="宋体" w:eastAsia="宋体" w:cs="宋体"/>
                <w:szCs w:val="21"/>
              </w:rPr>
            </w:pPr>
            <w:r>
              <w:rPr>
                <w:rFonts w:hint="eastAsia" w:ascii="宋体" w:hAnsi="宋体" w:eastAsia="宋体" w:cs="宋体"/>
                <w:szCs w:val="21"/>
                <w:lang w:bidi="ar"/>
              </w:rPr>
              <w:t>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14:paraId="23001103">
            <w:pPr>
              <w:widowControl/>
              <w:spacing w:line="400" w:lineRule="exact"/>
              <w:textAlignment w:val="center"/>
              <w:rPr>
                <w:rFonts w:hint="eastAsia" w:ascii="宋体" w:hAnsi="宋体" w:eastAsia="宋体" w:cs="宋体"/>
                <w:szCs w:val="21"/>
              </w:rPr>
            </w:pPr>
            <w:r>
              <w:rPr>
                <w:rFonts w:hint="eastAsia" w:ascii="宋体" w:hAnsi="宋体" w:eastAsia="宋体" w:cs="宋体"/>
                <w:color w:val="000000"/>
                <w:kern w:val="0"/>
                <w:szCs w:val="21"/>
                <w:lang w:bidi="ar"/>
              </w:rPr>
              <w:t>铝扣板（蜂窝spc墙板）</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14:paraId="7F3B0D57">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1.采用优质铝材。</w:t>
            </w:r>
          </w:p>
          <w:p w14:paraId="7E2E47E3">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2.烤漆涂层（如有）需均匀、厚实，涂层厚度在30-50微米，任何材质均应具有良好的耐候性、耐腐蚀性，抗油污，具有良好的防水性能。</w:t>
            </w:r>
          </w:p>
          <w:p w14:paraId="5CEE69E5">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3.蜂窝spc墙板，整体厚度8mm以上，正面板壁为厚1.5mm以上的spc材质板，哑光，铝蜂窝芯密度3mm*4mm。</w:t>
            </w:r>
          </w:p>
          <w:p w14:paraId="0E6E0B10">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4.具有良好的柔韧性，不轻易断裂。</w:t>
            </w:r>
          </w:p>
          <w:p w14:paraId="3E6F1B2C">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5.一套尺寸：8000mm*4000mm。</w:t>
            </w:r>
          </w:p>
          <w:p w14:paraId="4CA87C82">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6.一套护墙板需以不多于8块的板材拼接。</w:t>
            </w:r>
          </w:p>
          <w:p w14:paraId="3525AFE3">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7.板材之间接缝处应当采用与板材颜色相近的“三棵树”品牌结构胶进行覆盖填充</w:t>
            </w:r>
            <w:r>
              <w:rPr>
                <w:rFonts w:hint="eastAsia"/>
              </w:rPr>
              <w:t>（待安装的墙面为普通白墙，按照一般白墙的颜色确定板材颜色，结构胶颜色与板材相近）</w:t>
            </w:r>
            <w:r>
              <w:rPr>
                <w:rFonts w:hint="eastAsia" w:ascii="宋体" w:hAnsi="宋体" w:eastAsia="宋体" w:cs="宋体"/>
                <w:szCs w:val="21"/>
              </w:rPr>
              <w:t>。固定板材的钉子及其他配件均应当为不锈钢材质。</w:t>
            </w:r>
          </w:p>
          <w:p w14:paraId="1BE73307">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8.板材正面颜色应当与普通白色墙面接近且为哑光。</w:t>
            </w:r>
          </w:p>
          <w:p w14:paraId="3153657A">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9.包安装，并根据每个区域实际情况需现场进行切割。</w:t>
            </w:r>
          </w:p>
          <w:p w14:paraId="11AA8658">
            <w:pPr>
              <w:widowControl/>
              <w:spacing w:line="300" w:lineRule="exact"/>
              <w:jc w:val="left"/>
              <w:textAlignment w:val="center"/>
              <w:rPr>
                <w:rFonts w:hint="eastAsia" w:ascii="宋体" w:hAnsi="宋体" w:eastAsia="宋体" w:cs="宋体"/>
                <w:szCs w:val="21"/>
              </w:rPr>
            </w:pPr>
            <w:r>
              <w:rPr>
                <w:rFonts w:hint="eastAsia" w:ascii="宋体" w:hAnsi="宋体" w:eastAsia="宋体" w:cs="宋体"/>
                <w:szCs w:val="21"/>
              </w:rPr>
              <w:t>10.需将墙体现有的宣传内容拆下，待安装铝扣板后将宣传内容装回对应位置。若有开关或插板在安装位置，需要先拆除，后在铝扣板对应位置开孔并安装回开关或插座并确保安全、正常使用。</w:t>
            </w:r>
          </w:p>
        </w:tc>
        <w:tc>
          <w:tcPr>
            <w:tcW w:w="1836" w:type="pct"/>
            <w:tcBorders>
              <w:top w:val="single" w:color="auto" w:sz="4" w:space="0"/>
              <w:left w:val="single" w:color="auto" w:sz="4" w:space="0"/>
              <w:bottom w:val="single" w:color="auto" w:sz="4" w:space="0"/>
              <w:right w:val="single" w:color="auto" w:sz="4" w:space="0"/>
            </w:tcBorders>
            <w:shd w:val="clear" w:color="auto" w:fill="auto"/>
            <w:vAlign w:val="center"/>
          </w:tcPr>
          <w:p w14:paraId="2A196F86">
            <w:pPr>
              <w:widowControl/>
              <w:jc w:val="left"/>
              <w:textAlignment w:val="center"/>
              <w:rPr>
                <w:rFonts w:hint="eastAsia" w:ascii="宋体" w:hAnsi="宋体" w:eastAsia="宋体" w:cs="宋体"/>
                <w:szCs w:val="21"/>
              </w:rPr>
            </w:pPr>
            <w:r>
              <w:rPr>
                <w:rFonts w:hint="eastAsia" w:ascii="宋体" w:hAnsi="宋体" w:eastAsia="宋体" w:cs="宋体"/>
                <w:szCs w:val="21"/>
              </w:rPr>
              <w:drawing>
                <wp:inline distT="0" distB="0" distL="114300" distR="114300">
                  <wp:extent cx="1974850" cy="1111250"/>
                  <wp:effectExtent l="0" t="0" r="6350" b="12700"/>
                  <wp:docPr id="3" name="图片 3" descr="图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例1"/>
                          <pic:cNvPicPr>
                            <a:picLocks noChangeAspect="1"/>
                          </pic:cNvPicPr>
                        </pic:nvPicPr>
                        <pic:blipFill>
                          <a:blip r:embed="rId9"/>
                          <a:stretch>
                            <a:fillRect/>
                          </a:stretch>
                        </pic:blipFill>
                        <pic:spPr>
                          <a:xfrm>
                            <a:off x="0" y="0"/>
                            <a:ext cx="1974850" cy="1111250"/>
                          </a:xfrm>
                          <a:prstGeom prst="rect">
                            <a:avLst/>
                          </a:prstGeom>
                        </pic:spPr>
                      </pic:pic>
                    </a:graphicData>
                  </a:graphic>
                </wp:inline>
              </w:drawing>
            </w:r>
            <w:r>
              <w:rPr>
                <w:rFonts w:hint="eastAsia" w:ascii="宋体" w:hAnsi="宋体" w:eastAsia="宋体" w:cs="宋体"/>
                <w:szCs w:val="21"/>
              </w:rPr>
              <w:drawing>
                <wp:inline distT="0" distB="0" distL="114300" distR="114300">
                  <wp:extent cx="966470" cy="1719580"/>
                  <wp:effectExtent l="0" t="0" r="5080" b="13970"/>
                  <wp:docPr id="2" name="图片 2" descr="图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例2"/>
                          <pic:cNvPicPr>
                            <a:picLocks noChangeAspect="1"/>
                          </pic:cNvPicPr>
                        </pic:nvPicPr>
                        <pic:blipFill>
                          <a:blip r:embed="rId10"/>
                          <a:stretch>
                            <a:fillRect/>
                          </a:stretch>
                        </pic:blipFill>
                        <pic:spPr>
                          <a:xfrm>
                            <a:off x="0" y="0"/>
                            <a:ext cx="966470" cy="1719580"/>
                          </a:xfrm>
                          <a:prstGeom prst="rect">
                            <a:avLst/>
                          </a:prstGeom>
                        </pic:spPr>
                      </pic:pic>
                    </a:graphicData>
                  </a:graphic>
                </wp:inline>
              </w:drawing>
            </w:r>
            <w:r>
              <w:rPr>
                <w:rFonts w:hint="eastAsia" w:ascii="宋体" w:hAnsi="宋体" w:eastAsia="宋体" w:cs="宋体"/>
                <w:szCs w:val="21"/>
              </w:rPr>
              <w:drawing>
                <wp:inline distT="0" distB="0" distL="114300" distR="114300">
                  <wp:extent cx="873125" cy="1553210"/>
                  <wp:effectExtent l="0" t="0" r="3175" b="8890"/>
                  <wp:docPr id="1" name="图片 1" descr="图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例3"/>
                          <pic:cNvPicPr>
                            <a:picLocks noChangeAspect="1"/>
                          </pic:cNvPicPr>
                        </pic:nvPicPr>
                        <pic:blipFill>
                          <a:blip r:embed="rId11"/>
                          <a:stretch>
                            <a:fillRect/>
                          </a:stretch>
                        </pic:blipFill>
                        <pic:spPr>
                          <a:xfrm>
                            <a:off x="0" y="0"/>
                            <a:ext cx="873125" cy="1553210"/>
                          </a:xfrm>
                          <a:prstGeom prst="rect">
                            <a:avLst/>
                          </a:prstGeom>
                        </pic:spPr>
                      </pic:pic>
                    </a:graphicData>
                  </a:graphic>
                </wp:inline>
              </w:drawing>
            </w:r>
          </w:p>
        </w:tc>
      </w:tr>
    </w:tbl>
    <w:p w14:paraId="4A185896">
      <w:pPr>
        <w:pStyle w:val="11"/>
        <w:tabs>
          <w:tab w:val="left" w:pos="540"/>
        </w:tabs>
        <w:adjustRightInd w:val="0"/>
        <w:snapToGrid w:val="0"/>
        <w:spacing w:after="0" w:line="360" w:lineRule="auto"/>
        <w:rPr>
          <w:rFonts w:hint="eastAsia" w:hAnsi="宋体" w:cs="宋体"/>
          <w:b/>
          <w:bCs/>
          <w:sz w:val="21"/>
        </w:rPr>
      </w:pPr>
      <w:r>
        <w:rPr>
          <w:rFonts w:hint="eastAsia" w:hAnsi="宋体" w:cs="宋体"/>
          <w:b/>
          <w:bCs/>
          <w:sz w:val="21"/>
        </w:rPr>
        <w:t>注：如在供货后发现货物与合同、竞价文件等参数要求不符的，视为虚假响应，因此导致整批货物被拒收和索赔的，采购人有权以此单方解除本项目合同的，所有的损失和责任由成交供应商自行承担。</w:t>
      </w:r>
    </w:p>
    <w:p w14:paraId="4ABEDB08">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项目金额</w:t>
      </w:r>
    </w:p>
    <w:p w14:paraId="127502FE">
      <w:pPr>
        <w:pStyle w:val="19"/>
        <w:widowControl w:val="0"/>
        <w:numPr>
          <w:ilvl w:val="0"/>
          <w:numId w:val="15"/>
        </w:numPr>
        <w:snapToGrid w:val="0"/>
        <w:spacing w:before="0" w:beforeAutospacing="0" w:after="0" w:afterAutospacing="0" w:line="360" w:lineRule="auto"/>
        <w:rPr>
          <w:rFonts w:hint="eastAsia"/>
          <w:b/>
          <w:sz w:val="21"/>
          <w:szCs w:val="21"/>
        </w:rPr>
      </w:pPr>
      <w:r>
        <w:rPr>
          <w:rFonts w:hint="eastAsia"/>
          <w:kern w:val="2"/>
          <w:sz w:val="21"/>
          <w:szCs w:val="21"/>
          <w:lang w:bidi="ar"/>
        </w:rPr>
        <w:t>项目预算金额为：人民币6500</w:t>
      </w:r>
      <w:r>
        <w:rPr>
          <w:rFonts w:hint="eastAsia"/>
          <w:kern w:val="2"/>
          <w:sz w:val="21"/>
          <w:szCs w:val="21"/>
          <w:lang w:val="en-US" w:eastAsia="zh-CN" w:bidi="ar"/>
        </w:rPr>
        <w:t>0</w:t>
      </w:r>
      <w:r>
        <w:rPr>
          <w:rFonts w:hint="eastAsia"/>
          <w:kern w:val="2"/>
          <w:sz w:val="21"/>
          <w:szCs w:val="21"/>
          <w:lang w:bidi="ar"/>
        </w:rPr>
        <w:t>元，</w:t>
      </w:r>
      <w:r>
        <w:rPr>
          <w:rFonts w:hint="eastAsia"/>
          <w:kern w:val="2"/>
          <w:sz w:val="21"/>
          <w:szCs w:val="21"/>
          <w:lang w:val="zh-CN" w:bidi="ar"/>
        </w:rPr>
        <w:t>供应商的报价应包括货款、材料费、运费、装卸费、安装费、验收、税费、保险费（安装调试验收合格前的保险由成交供应商负责，成交供应商负责其派出的现场服务人员人身意外保险）、质保期服务及其他完成本项目所需的各项费用，项目实施后成交供应商不得另行收取其他任何费用。</w:t>
      </w:r>
    </w:p>
    <w:p w14:paraId="083B824A">
      <w:pPr>
        <w:pStyle w:val="19"/>
        <w:widowControl w:val="0"/>
        <w:numPr>
          <w:ilvl w:val="0"/>
          <w:numId w:val="15"/>
        </w:numPr>
        <w:snapToGrid w:val="0"/>
        <w:spacing w:before="0" w:beforeAutospacing="0" w:after="0" w:afterAutospacing="0" w:line="360" w:lineRule="auto"/>
        <w:rPr>
          <w:rFonts w:hint="eastAsia"/>
          <w:b/>
          <w:sz w:val="21"/>
          <w:szCs w:val="21"/>
        </w:rPr>
      </w:pPr>
      <w:r>
        <w:rPr>
          <w:rFonts w:hint="eastAsia"/>
          <w:kern w:val="2"/>
          <w:sz w:val="21"/>
          <w:szCs w:val="21"/>
          <w:lang w:bidi="ar"/>
        </w:rPr>
        <w:t>本</w:t>
      </w:r>
      <w:r>
        <w:rPr>
          <w:rFonts w:hint="eastAsia"/>
          <w:kern w:val="2"/>
          <w:sz w:val="21"/>
          <w:szCs w:val="21"/>
          <w:lang w:val="zh-CN" w:bidi="ar"/>
        </w:rPr>
        <w:t>项目合同</w:t>
      </w:r>
      <w:r>
        <w:rPr>
          <w:rFonts w:hint="eastAsia"/>
          <w:kern w:val="2"/>
          <w:sz w:val="21"/>
          <w:szCs w:val="21"/>
          <w:lang w:bidi="ar"/>
        </w:rPr>
        <w:t>结算价为固定不变价。</w:t>
      </w:r>
    </w:p>
    <w:p w14:paraId="59E67957">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合同签订期限</w:t>
      </w:r>
    </w:p>
    <w:p w14:paraId="58698436">
      <w:pPr>
        <w:pStyle w:val="19"/>
        <w:widowControl w:val="0"/>
        <w:snapToGrid w:val="0"/>
        <w:spacing w:before="0" w:beforeAutospacing="0" w:after="0" w:afterAutospacing="0" w:line="360" w:lineRule="auto"/>
        <w:ind w:firstLine="420" w:firstLineChars="200"/>
        <w:rPr>
          <w:rFonts w:hint="eastAsia"/>
          <w:kern w:val="2"/>
          <w:sz w:val="21"/>
          <w:szCs w:val="21"/>
          <w:lang w:val="zh-CN" w:bidi="ar"/>
        </w:rPr>
      </w:pPr>
      <w:r>
        <w:rPr>
          <w:rFonts w:hint="eastAsia"/>
          <w:kern w:val="2"/>
          <w:sz w:val="21"/>
          <w:szCs w:val="21"/>
          <w:lang w:val="zh-CN" w:bidi="ar"/>
        </w:rPr>
        <w:t>成交供应商与采购人在本项目结果公告发布之日起5个工作日内签订合同。</w:t>
      </w:r>
    </w:p>
    <w:p w14:paraId="45730F32">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货物要求</w:t>
      </w:r>
    </w:p>
    <w:p w14:paraId="6909D47F">
      <w:pPr>
        <w:pStyle w:val="19"/>
        <w:widowControl w:val="0"/>
        <w:numPr>
          <w:ilvl w:val="0"/>
          <w:numId w:val="16"/>
        </w:numPr>
        <w:tabs>
          <w:tab w:val="left" w:pos="420"/>
          <w:tab w:val="left" w:pos="540"/>
        </w:tabs>
        <w:adjustRightInd w:val="0"/>
        <w:snapToGrid w:val="0"/>
        <w:spacing w:before="0" w:beforeAutospacing="0" w:after="0" w:afterAutospacing="0" w:line="360" w:lineRule="auto"/>
        <w:jc w:val="both"/>
        <w:rPr>
          <w:rFonts w:hint="eastAsia"/>
          <w:sz w:val="21"/>
          <w:szCs w:val="21"/>
        </w:rPr>
      </w:pPr>
      <w:r>
        <w:rPr>
          <w:rFonts w:hint="eastAsia"/>
          <w:sz w:val="21"/>
          <w:szCs w:val="21"/>
          <w:lang w:bidi="ar"/>
        </w:rPr>
        <w:t>交货地点：广东省肇庆监狱。</w:t>
      </w:r>
    </w:p>
    <w:p w14:paraId="32946860">
      <w:pPr>
        <w:pStyle w:val="19"/>
        <w:widowControl w:val="0"/>
        <w:numPr>
          <w:ilvl w:val="0"/>
          <w:numId w:val="16"/>
        </w:numPr>
        <w:tabs>
          <w:tab w:val="left" w:pos="420"/>
          <w:tab w:val="left" w:pos="540"/>
        </w:tabs>
        <w:adjustRightInd w:val="0"/>
        <w:snapToGrid w:val="0"/>
        <w:spacing w:before="0" w:beforeAutospacing="0" w:after="0" w:afterAutospacing="0" w:line="360" w:lineRule="auto"/>
        <w:jc w:val="both"/>
        <w:rPr>
          <w:rFonts w:hint="eastAsia"/>
          <w:sz w:val="21"/>
          <w:szCs w:val="21"/>
        </w:rPr>
      </w:pPr>
      <w:r>
        <w:rPr>
          <w:rFonts w:hint="eastAsia"/>
          <w:sz w:val="21"/>
          <w:szCs w:val="21"/>
          <w:lang w:bidi="ar"/>
        </w:rPr>
        <w:t>所供应的货品必须正规渠道进货，产品质量达到国家标准；货物牌标识内容清晰、有出厂合格证。产品质量应符合中华人民共和国国家安全质量标准、环保标准、行业标准、货物来源国官方标准；凡属于《中华人民共和国实施强制性产品认证的产品目录》的产品，须在交货时提供该产品的《中国强制认证》（CCC认证）。实际采购中，采购人将按核定的结算单价金额及数量进行支付，成交供应商不得拒绝供货或提高单价，供货数量由采购人根据实际需要提出。</w:t>
      </w:r>
    </w:p>
    <w:p w14:paraId="7696E44F">
      <w:pPr>
        <w:pStyle w:val="19"/>
        <w:widowControl w:val="0"/>
        <w:numPr>
          <w:ilvl w:val="0"/>
          <w:numId w:val="16"/>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成交供应商在实施过程中如果质量不符合国家有关规范、合同和竞价文件的有关规定。如有不符合上述要求，采购人要求退货的，成交供应商必须无条件立即执行，并承担由此产生的各种费用，交货期不予顺延。</w:t>
      </w:r>
    </w:p>
    <w:p w14:paraId="597303D3">
      <w:pPr>
        <w:pStyle w:val="19"/>
        <w:widowControl w:val="0"/>
        <w:numPr>
          <w:ilvl w:val="0"/>
          <w:numId w:val="16"/>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货物为原制造商制造的全新产品，无污染，无侵权行为、表面无划损、无任何缺陷隐患，在中国境内可依常规安全合法使用。货物为原厂商未启封全新包装，具出厂合格证，序列号、箱号与出厂批号一致，并可追索查阅。否则，采购人有权拒绝验收。</w:t>
      </w:r>
    </w:p>
    <w:p w14:paraId="3D249703">
      <w:pPr>
        <w:pStyle w:val="19"/>
        <w:widowControl w:val="0"/>
        <w:numPr>
          <w:ilvl w:val="0"/>
          <w:numId w:val="16"/>
        </w:numPr>
        <w:snapToGrid w:val="0"/>
        <w:spacing w:before="0" w:beforeAutospacing="0" w:after="0" w:afterAutospacing="0" w:line="360" w:lineRule="auto"/>
        <w:jc w:val="both"/>
        <w:rPr>
          <w:rFonts w:hint="eastAsia"/>
          <w:sz w:val="21"/>
          <w:szCs w:val="21"/>
        </w:rPr>
      </w:pPr>
      <w:r>
        <w:rPr>
          <w:rFonts w:hint="eastAsia"/>
          <w:kern w:val="2"/>
          <w:sz w:val="21"/>
          <w:szCs w:val="21"/>
          <w:lang w:bidi="ar"/>
        </w:rPr>
        <w:t>成交供应商自签订合同后10个工作日内将所有物品送达采购人指定地点并安装。</w:t>
      </w:r>
    </w:p>
    <w:p w14:paraId="34823C62">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lang w:val="zh-CN"/>
        </w:rPr>
        <w:t>供货及验收</w:t>
      </w:r>
    </w:p>
    <w:p w14:paraId="3F0DCD7F">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货物验收在采购人和成交供应商双方共同参与下按国家有关的规定、规范进行。</w:t>
      </w:r>
    </w:p>
    <w:p w14:paraId="58057E84">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b/>
          <w:bCs/>
          <w:sz w:val="21"/>
          <w:szCs w:val="21"/>
        </w:rPr>
      </w:pPr>
      <w:r>
        <w:rPr>
          <w:rFonts w:hint="eastAsia"/>
          <w:kern w:val="2"/>
          <w:sz w:val="21"/>
          <w:szCs w:val="21"/>
          <w:lang w:bidi="ar"/>
        </w:rPr>
        <w:t>采购人要求对全部配件的型号、规格、数量、外型、外观、包装进行验收。产品质保期为</w:t>
      </w:r>
      <w:r>
        <w:rPr>
          <w:rFonts w:hint="eastAsia"/>
          <w:kern w:val="2"/>
          <w:sz w:val="21"/>
          <w:szCs w:val="21"/>
          <w:u w:val="single"/>
          <w:lang w:bidi="ar"/>
        </w:rPr>
        <w:t>5</w:t>
      </w:r>
      <w:r>
        <w:rPr>
          <w:rFonts w:hint="eastAsia"/>
          <w:kern w:val="2"/>
          <w:sz w:val="21"/>
          <w:szCs w:val="21"/>
          <w:lang w:bidi="ar"/>
        </w:rPr>
        <w:t>年。</w:t>
      </w:r>
    </w:p>
    <w:p w14:paraId="32FAE494">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验收时如发现所交付的货物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14:paraId="5DEE848A">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如果合同货物运输和安装过程中因事故造成货物短缺、损坏，成交供应商应及时安排补货、换货，以保证合同货物安装的成功完成。换货的相关费用由成交供应商承担。</w:t>
      </w:r>
    </w:p>
    <w:p w14:paraId="570F42B1">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成交供应商保证合同项下提供的货物不侵犯任何第三方的专利、商标或版权。否则，成交供应商须承担对第三方的专利或版权的侵权责任并承担因此而发生的所有费用。</w:t>
      </w:r>
    </w:p>
    <w:p w14:paraId="43B0BB46">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成交供应商不得提供所列采购清单以外的货物，如不符合采购清单中参数等要求的，采购人有权拒绝。如成交供应商以次充好，提供的产品不符合采购要求或者达不到参与本项目竞价时响应的产品要求，采购人有权立即单方解除合同，并将成交供应商列入采购黑名单，一年内不得参与采购人的项目竞价。</w:t>
      </w:r>
    </w:p>
    <w:p w14:paraId="548CE4A9">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成交供应商应严格按采购人要求（品种、规格、质量、数量、重量等参数规格要求）供应货物，货品有商标，铭牌上按生产制造单位的标准有名称、地址、联系方式、生产日期、编号、型号、规格等。成交供应商应将设备的用户手册、保修手册、有关单证资料及配备件、随机工具等交付给采购人，使用操作及安全须知等重要资料应附有中文说明。未经采购人同意，不得变更，否则，采购人有权退货并自行采购同等质量的货物，由此产生的费用和经济损失均由成交供应商承担，成交供应商还同时承担违约责任。</w:t>
      </w:r>
    </w:p>
    <w:p w14:paraId="773DF3FB">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配件材料的包装必须是制造商原厂包装，其包装均应有良好的防湿、防锈、防潮、防雨、防腐及防碰撞的措施。凡由于包装不良造成的损失和由此产生的费用均由成交供应商承担。</w:t>
      </w:r>
    </w:p>
    <w:p w14:paraId="75ED6921">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交付验收标准依次序对照适用标准：符合中华人民共和国国家安全质量标准、环保标准或行业标准；符合竞价文件和响应承诺中采购人认可的合理最佳配置、参数及各项要求。</w:t>
      </w:r>
    </w:p>
    <w:p w14:paraId="35B08333">
      <w:pPr>
        <w:pStyle w:val="19"/>
        <w:widowControl w:val="0"/>
        <w:numPr>
          <w:ilvl w:val="0"/>
          <w:numId w:val="17"/>
        </w:numPr>
        <w:tabs>
          <w:tab w:val="left" w:pos="567"/>
        </w:tabs>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成交供应商应确保产品质量。提供的假冒伪劣商品或因商品的质量问题造成安全事故，成交供应商承担一切责任并赔偿一切损失。对有质疑的商品可送有关检测机构进行质量确认，如质量有问题，则检测费由成交供应商支付，视同违约，承担违约责任。</w:t>
      </w:r>
    </w:p>
    <w:p w14:paraId="1FF6065B">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包装和运输</w:t>
      </w:r>
    </w:p>
    <w:p w14:paraId="562EF1FE">
      <w:pPr>
        <w:pStyle w:val="19"/>
        <w:widowControl w:val="0"/>
        <w:numPr>
          <w:ilvl w:val="0"/>
          <w:numId w:val="18"/>
        </w:numPr>
        <w:snapToGrid w:val="0"/>
        <w:spacing w:before="0" w:beforeAutospacing="0" w:after="0" w:afterAutospacing="0" w:line="360" w:lineRule="auto"/>
        <w:jc w:val="both"/>
        <w:rPr>
          <w:rFonts w:hint="eastAsia"/>
          <w:color w:val="000000"/>
          <w:sz w:val="21"/>
          <w:szCs w:val="21"/>
        </w:rPr>
      </w:pPr>
      <w:r>
        <w:rPr>
          <w:rFonts w:hint="eastAsia"/>
          <w:color w:val="000000"/>
          <w:kern w:val="2"/>
          <w:sz w:val="21"/>
          <w:szCs w:val="21"/>
          <w:lang w:bidi="ar"/>
        </w:rPr>
        <w:t>成交供应商应提供运至交付地点所需要的包装，包装应符合经济、牢固、美观的要求，采取防潮、防晒、防锈、防震及防止其它损坏的必要措施，以防止货物在运转中损坏或变质。</w:t>
      </w:r>
    </w:p>
    <w:p w14:paraId="4A7A2C58">
      <w:pPr>
        <w:pStyle w:val="19"/>
        <w:widowControl w:val="0"/>
        <w:numPr>
          <w:ilvl w:val="0"/>
          <w:numId w:val="18"/>
        </w:numPr>
        <w:snapToGrid w:val="0"/>
        <w:spacing w:before="0" w:beforeAutospacing="0" w:after="0" w:afterAutospacing="0" w:line="360" w:lineRule="auto"/>
        <w:jc w:val="both"/>
        <w:rPr>
          <w:rFonts w:hint="eastAsia"/>
          <w:color w:val="000000"/>
          <w:sz w:val="21"/>
          <w:szCs w:val="21"/>
        </w:rPr>
      </w:pPr>
      <w:r>
        <w:rPr>
          <w:rFonts w:hint="eastAsia"/>
          <w:color w:val="000000"/>
          <w:kern w:val="2"/>
          <w:sz w:val="21"/>
          <w:szCs w:val="21"/>
          <w:lang w:bidi="ar"/>
        </w:rPr>
        <w:t>包装必须要符合相关法律、法规的要求，包括与环境、职业健康和安全有关的法律、法规标准。</w:t>
      </w:r>
    </w:p>
    <w:p w14:paraId="38EF3F77">
      <w:pPr>
        <w:pStyle w:val="19"/>
        <w:widowControl w:val="0"/>
        <w:numPr>
          <w:ilvl w:val="0"/>
          <w:numId w:val="18"/>
        </w:numPr>
        <w:snapToGrid w:val="0"/>
        <w:spacing w:before="0" w:beforeAutospacing="0" w:after="0" w:afterAutospacing="0" w:line="360" w:lineRule="auto"/>
        <w:jc w:val="both"/>
        <w:rPr>
          <w:rFonts w:hint="eastAsia"/>
          <w:color w:val="000000"/>
          <w:sz w:val="21"/>
          <w:szCs w:val="21"/>
        </w:rPr>
      </w:pPr>
      <w:r>
        <w:rPr>
          <w:rFonts w:hint="eastAsia"/>
          <w:color w:val="000000"/>
          <w:kern w:val="2"/>
          <w:sz w:val="21"/>
          <w:szCs w:val="21"/>
          <w:lang w:bidi="ar"/>
        </w:rPr>
        <w:t>运输包装应根据产品的特点及国家相关标准标注有相应的运输标志。</w:t>
      </w:r>
    </w:p>
    <w:p w14:paraId="4C5F3FD4">
      <w:pPr>
        <w:pStyle w:val="19"/>
        <w:widowControl w:val="0"/>
        <w:numPr>
          <w:ilvl w:val="0"/>
          <w:numId w:val="18"/>
        </w:numPr>
        <w:snapToGrid w:val="0"/>
        <w:spacing w:before="0" w:beforeAutospacing="0" w:after="0" w:afterAutospacing="0" w:line="360" w:lineRule="auto"/>
        <w:jc w:val="both"/>
        <w:rPr>
          <w:rFonts w:hint="eastAsia"/>
          <w:sz w:val="21"/>
          <w:szCs w:val="21"/>
        </w:rPr>
      </w:pPr>
      <w:r>
        <w:rPr>
          <w:rFonts w:hint="eastAsia"/>
          <w:color w:val="000000"/>
          <w:kern w:val="2"/>
          <w:sz w:val="21"/>
          <w:szCs w:val="21"/>
          <w:lang w:bidi="ar"/>
        </w:rPr>
        <w:t>成交供应商负责将货物运输并卸载到采购人指定地点。</w:t>
      </w:r>
    </w:p>
    <w:p w14:paraId="417D55D7">
      <w:pPr>
        <w:pStyle w:val="19"/>
        <w:widowControl w:val="0"/>
        <w:numPr>
          <w:ilvl w:val="0"/>
          <w:numId w:val="18"/>
        </w:numPr>
        <w:snapToGrid w:val="0"/>
        <w:spacing w:before="0" w:beforeAutospacing="0" w:after="0" w:afterAutospacing="0" w:line="360" w:lineRule="auto"/>
        <w:jc w:val="both"/>
        <w:rPr>
          <w:rFonts w:hint="eastAsia"/>
          <w:sz w:val="21"/>
          <w:szCs w:val="21"/>
        </w:rPr>
      </w:pPr>
      <w:r>
        <w:rPr>
          <w:rFonts w:hint="eastAsia"/>
          <w:color w:val="000000"/>
          <w:kern w:val="2"/>
          <w:sz w:val="21"/>
          <w:szCs w:val="21"/>
          <w:lang w:bidi="ar"/>
        </w:rPr>
        <w:t>成交供应商</w:t>
      </w:r>
      <w:r>
        <w:rPr>
          <w:rFonts w:hint="eastAsia"/>
          <w:sz w:val="21"/>
          <w:szCs w:val="21"/>
        </w:rPr>
        <w:t>必须依照竞价文件的要求和响应文件的承诺，将货物安装并调试至正常运行的最佳状态。</w:t>
      </w:r>
    </w:p>
    <w:p w14:paraId="20193DB6">
      <w:pPr>
        <w:pStyle w:val="19"/>
        <w:widowControl w:val="0"/>
        <w:numPr>
          <w:ilvl w:val="0"/>
          <w:numId w:val="18"/>
        </w:numPr>
        <w:snapToGrid w:val="0"/>
        <w:spacing w:before="0" w:beforeAutospacing="0" w:after="0" w:afterAutospacing="0" w:line="360" w:lineRule="auto"/>
        <w:jc w:val="both"/>
        <w:rPr>
          <w:rFonts w:hint="eastAsia"/>
          <w:sz w:val="21"/>
          <w:szCs w:val="21"/>
        </w:rPr>
      </w:pPr>
      <w:r>
        <w:rPr>
          <w:rFonts w:hint="eastAsia"/>
          <w:color w:val="000000"/>
          <w:kern w:val="2"/>
          <w:sz w:val="21"/>
          <w:szCs w:val="21"/>
          <w:lang w:bidi="ar"/>
        </w:rPr>
        <w:t>成交供应商</w:t>
      </w:r>
      <w:r>
        <w:rPr>
          <w:rFonts w:hint="eastAsia"/>
          <w:sz w:val="21"/>
          <w:szCs w:val="21"/>
        </w:rPr>
        <w:t>负责合同货物的安装，一切费用由</w:t>
      </w:r>
      <w:r>
        <w:rPr>
          <w:rFonts w:hint="eastAsia"/>
          <w:color w:val="000000"/>
          <w:kern w:val="2"/>
          <w:sz w:val="21"/>
          <w:szCs w:val="21"/>
          <w:lang w:bidi="ar"/>
        </w:rPr>
        <w:t>成交供应商</w:t>
      </w:r>
      <w:r>
        <w:rPr>
          <w:rFonts w:hint="eastAsia"/>
          <w:sz w:val="21"/>
          <w:szCs w:val="21"/>
        </w:rPr>
        <w:t>负责。</w:t>
      </w:r>
    </w:p>
    <w:p w14:paraId="1A052210">
      <w:pPr>
        <w:pStyle w:val="19"/>
        <w:widowControl w:val="0"/>
        <w:numPr>
          <w:ilvl w:val="0"/>
          <w:numId w:val="18"/>
        </w:numPr>
        <w:snapToGrid w:val="0"/>
        <w:spacing w:before="0" w:beforeAutospacing="0" w:after="0" w:afterAutospacing="0" w:line="360" w:lineRule="auto"/>
        <w:jc w:val="both"/>
        <w:rPr>
          <w:rFonts w:hint="eastAsia"/>
          <w:sz w:val="21"/>
          <w:szCs w:val="21"/>
        </w:rPr>
      </w:pPr>
      <w:r>
        <w:rPr>
          <w:rFonts w:hint="eastAsia"/>
          <w:color w:val="000000"/>
          <w:kern w:val="2"/>
          <w:sz w:val="21"/>
          <w:szCs w:val="21"/>
          <w:lang w:bidi="ar"/>
        </w:rPr>
        <w:t>成交供应商</w:t>
      </w:r>
      <w:r>
        <w:rPr>
          <w:rFonts w:hint="eastAsia"/>
          <w:sz w:val="21"/>
          <w:szCs w:val="21"/>
        </w:rPr>
        <w:t>安装时须对各安装场地内的其他货物、设施有良好保护措施。</w:t>
      </w:r>
      <w:bookmarkStart w:id="2" w:name="_GoBack"/>
      <w:bookmarkEnd w:id="2"/>
    </w:p>
    <w:p w14:paraId="57230764">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保险</w:t>
      </w:r>
    </w:p>
    <w:p w14:paraId="6721F507">
      <w:pPr>
        <w:pStyle w:val="19"/>
        <w:widowControl w:val="0"/>
        <w:snapToGrid w:val="0"/>
        <w:spacing w:before="0" w:beforeAutospacing="0" w:after="0" w:afterAutospacing="0" w:line="360" w:lineRule="auto"/>
        <w:ind w:left="420" w:firstLine="420" w:firstLineChars="200"/>
        <w:jc w:val="both"/>
        <w:rPr>
          <w:rFonts w:hint="eastAsia"/>
          <w:color w:val="000000"/>
          <w:kern w:val="2"/>
          <w:sz w:val="21"/>
          <w:szCs w:val="21"/>
          <w:lang w:bidi="ar"/>
        </w:rPr>
      </w:pPr>
      <w:r>
        <w:rPr>
          <w:rFonts w:hint="eastAsia"/>
          <w:color w:val="000000"/>
          <w:kern w:val="2"/>
          <w:sz w:val="21"/>
          <w:szCs w:val="21"/>
          <w:lang w:bidi="ar"/>
        </w:rPr>
        <w:t>货物到达交货地点之前的所有保险费用和派往采购人进行服务人员的人身险和其他有关险种，以及有关费用由成交供应商负责。</w:t>
      </w:r>
    </w:p>
    <w:p w14:paraId="321E6B8C">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lang w:val="zh-CN"/>
        </w:rPr>
        <w:t>质保期</w:t>
      </w:r>
      <w:r>
        <w:rPr>
          <w:rFonts w:hint="eastAsia" w:cs="宋体" w:asciiTheme="minorEastAsia" w:hAnsiTheme="minorEastAsia" w:eastAsiaTheme="minorEastAsia"/>
          <w:b/>
          <w:bCs/>
          <w:sz w:val="21"/>
        </w:rPr>
        <w:t>及售后服务</w:t>
      </w:r>
    </w:p>
    <w:p w14:paraId="5C254112">
      <w:pPr>
        <w:pStyle w:val="19"/>
        <w:widowControl w:val="0"/>
        <w:numPr>
          <w:ilvl w:val="0"/>
          <w:numId w:val="19"/>
        </w:numPr>
        <w:autoSpaceDE w:val="0"/>
        <w:autoSpaceDN w:val="0"/>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质量保修范围：由于材料、工艺等问题而导致的产品功能失效、性能下降等缺陷(属于自然力或战争等不可抗拒力、人为因素等造成的除外)。</w:t>
      </w:r>
    </w:p>
    <w:p w14:paraId="108E16EB">
      <w:pPr>
        <w:pStyle w:val="19"/>
        <w:widowControl w:val="0"/>
        <w:numPr>
          <w:ilvl w:val="0"/>
          <w:numId w:val="19"/>
        </w:numPr>
        <w:autoSpaceDE w:val="0"/>
        <w:autoSpaceDN w:val="0"/>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质保期为</w:t>
      </w:r>
      <w:r>
        <w:rPr>
          <w:rFonts w:hint="eastAsia"/>
          <w:kern w:val="2"/>
          <w:sz w:val="21"/>
          <w:szCs w:val="21"/>
          <w:u w:val="single"/>
          <w:lang w:bidi="ar"/>
        </w:rPr>
        <w:t xml:space="preserve"> 5 </w:t>
      </w:r>
      <w:r>
        <w:rPr>
          <w:rFonts w:hint="eastAsia"/>
          <w:kern w:val="2"/>
          <w:sz w:val="21"/>
          <w:szCs w:val="21"/>
          <w:lang w:bidi="ar"/>
        </w:rPr>
        <w:t>年，质保期自货物最终验收合格之日起算，质保期内成交供应商对所供货物实行包修、包换、包退、包维护保养，期满后可同时提供终身有偿维修保养服务。质保期内，在非人为因素情况下，一切备品备件均由成交供应商免费提供。</w:t>
      </w:r>
    </w:p>
    <w:p w14:paraId="5FF081DA">
      <w:pPr>
        <w:pStyle w:val="19"/>
        <w:widowControl w:val="0"/>
        <w:numPr>
          <w:ilvl w:val="0"/>
          <w:numId w:val="19"/>
        </w:numPr>
        <w:autoSpaceDE w:val="0"/>
        <w:autoSpaceDN w:val="0"/>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采购人对不符合要求的货物，成交供应商必须无条件退货或更换。因成交供应商供应不合格的、假冒伪劣、以次充好的商品而造成采购人安全事故的，合同立即终止，采购人有权追究相关法律责任。</w:t>
      </w:r>
    </w:p>
    <w:p w14:paraId="583BF477">
      <w:pPr>
        <w:pStyle w:val="19"/>
        <w:widowControl w:val="0"/>
        <w:numPr>
          <w:ilvl w:val="0"/>
          <w:numId w:val="19"/>
        </w:numPr>
        <w:autoSpaceDE w:val="0"/>
        <w:autoSpaceDN w:val="0"/>
        <w:adjustRightInd w:val="0"/>
        <w:snapToGrid w:val="0"/>
        <w:spacing w:before="0" w:beforeAutospacing="0" w:after="0" w:afterAutospacing="0" w:line="360" w:lineRule="auto"/>
        <w:jc w:val="both"/>
        <w:textAlignment w:val="baseline"/>
        <w:rPr>
          <w:rFonts w:hint="eastAsia"/>
          <w:sz w:val="21"/>
          <w:szCs w:val="21"/>
          <w:lang w:val="zh-CN"/>
        </w:rPr>
      </w:pPr>
      <w:r>
        <w:rPr>
          <w:rFonts w:hint="eastAsia"/>
          <w:kern w:val="2"/>
          <w:sz w:val="21"/>
          <w:szCs w:val="21"/>
          <w:lang w:bidi="ar"/>
        </w:rPr>
        <w:t>对采购人的服务通知，</w:t>
      </w:r>
      <w:r>
        <w:rPr>
          <w:rFonts w:hint="eastAsia"/>
          <w:kern w:val="2"/>
          <w:sz w:val="21"/>
          <w:szCs w:val="21"/>
          <w:u w:val="single"/>
          <w:lang w:bidi="ar"/>
        </w:rPr>
        <w:t>7个工作日</w:t>
      </w:r>
      <w:r>
        <w:rPr>
          <w:rFonts w:hint="eastAsia"/>
          <w:kern w:val="2"/>
          <w:sz w:val="21"/>
          <w:szCs w:val="21"/>
          <w:lang w:bidi="ar"/>
        </w:rPr>
        <w:t>内处理完毕。若在</w:t>
      </w:r>
      <w:r>
        <w:rPr>
          <w:rFonts w:hint="eastAsia"/>
          <w:kern w:val="2"/>
          <w:sz w:val="21"/>
          <w:szCs w:val="21"/>
          <w:u w:val="single"/>
          <w:lang w:bidi="ar"/>
        </w:rPr>
        <w:t>7个工作日</w:t>
      </w:r>
      <w:r>
        <w:rPr>
          <w:rFonts w:hint="eastAsia"/>
          <w:kern w:val="2"/>
          <w:sz w:val="21"/>
          <w:szCs w:val="21"/>
          <w:lang w:bidi="ar"/>
        </w:rPr>
        <w:t>内仍未能有效解决，成交供应商须免费提供同档次的货物予采购人临时使用采取应急措施解决，不得影响采购人的正常工作业务。如</w:t>
      </w:r>
      <w:r>
        <w:rPr>
          <w:rFonts w:hint="eastAsia"/>
          <w:kern w:val="2"/>
          <w:sz w:val="21"/>
          <w:szCs w:val="21"/>
          <w:lang w:val="en-US" w:eastAsia="zh-CN" w:bidi="ar"/>
        </w:rPr>
        <w:t>成交供应商</w:t>
      </w:r>
      <w:r>
        <w:rPr>
          <w:rFonts w:hint="eastAsia"/>
          <w:kern w:val="2"/>
          <w:sz w:val="21"/>
          <w:szCs w:val="21"/>
          <w:lang w:bidi="ar"/>
        </w:rPr>
        <w:t>未能按照本条约定履行或怠于、拒绝履行质保义务的，采购人有权自行寻找第三方提供维保服务，由此产生的费用及造成的一切损失由</w:t>
      </w:r>
      <w:r>
        <w:rPr>
          <w:rFonts w:hint="eastAsia"/>
          <w:kern w:val="2"/>
          <w:sz w:val="21"/>
          <w:szCs w:val="21"/>
          <w:lang w:val="en-US" w:eastAsia="zh-CN" w:bidi="ar"/>
        </w:rPr>
        <w:t>成交供应商</w:t>
      </w:r>
      <w:r>
        <w:rPr>
          <w:rFonts w:hint="eastAsia"/>
          <w:kern w:val="2"/>
          <w:sz w:val="21"/>
          <w:szCs w:val="21"/>
          <w:lang w:bidi="ar"/>
        </w:rPr>
        <w:t>单方</w:t>
      </w:r>
      <w:r>
        <w:rPr>
          <w:rFonts w:hint="eastAsia"/>
          <w:kern w:val="2"/>
          <w:sz w:val="21"/>
          <w:szCs w:val="21"/>
          <w:lang w:val="en-US" w:eastAsia="zh-CN" w:bidi="ar"/>
        </w:rPr>
        <w:t>面</w:t>
      </w:r>
      <w:r>
        <w:rPr>
          <w:rFonts w:hint="eastAsia"/>
          <w:kern w:val="2"/>
          <w:sz w:val="21"/>
          <w:szCs w:val="21"/>
          <w:lang w:bidi="ar"/>
        </w:rPr>
        <w:t>承担。。</w:t>
      </w:r>
    </w:p>
    <w:p w14:paraId="0C1934BC">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付款及结算方式</w:t>
      </w:r>
    </w:p>
    <w:p w14:paraId="39BE6670">
      <w:pPr>
        <w:pStyle w:val="19"/>
        <w:widowControl w:val="0"/>
        <w:numPr>
          <w:ilvl w:val="0"/>
          <w:numId w:val="20"/>
        </w:numPr>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按实际采购数量及结算单价进行结算。成交供应商须按采购人的要求完成供货后，于次月10日前凭国家正式发票向采购人申请支付款项，采购人验收货物合格后且收到发票之日起于三十日内一次性结算，遇节假日时间顺延，特殊情况双方协商解决。</w:t>
      </w:r>
    </w:p>
    <w:p w14:paraId="48EC230E">
      <w:pPr>
        <w:pStyle w:val="19"/>
        <w:widowControl w:val="0"/>
        <w:numPr>
          <w:ilvl w:val="0"/>
          <w:numId w:val="20"/>
        </w:numPr>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按合同支付款项前，成交供应商应向采购人提供与支付金额相符的有效发票，且收款方、出具发票方、合同乙方均必须与成交供应商名称一致；</w:t>
      </w:r>
    </w:p>
    <w:p w14:paraId="3FA8CF97">
      <w:pPr>
        <w:pStyle w:val="19"/>
        <w:widowControl w:val="0"/>
        <w:numPr>
          <w:ilvl w:val="0"/>
          <w:numId w:val="20"/>
        </w:numPr>
        <w:adjustRightInd w:val="0"/>
        <w:snapToGrid w:val="0"/>
        <w:spacing w:before="0" w:beforeAutospacing="0" w:after="0" w:afterAutospacing="0" w:line="360" w:lineRule="auto"/>
        <w:jc w:val="both"/>
        <w:textAlignment w:val="baseline"/>
        <w:rPr>
          <w:rFonts w:hint="eastAsia"/>
          <w:color w:val="000000"/>
          <w:sz w:val="21"/>
          <w:szCs w:val="21"/>
        </w:rPr>
      </w:pPr>
      <w:r>
        <w:rPr>
          <w:rFonts w:hint="eastAsia"/>
          <w:kern w:val="2"/>
          <w:sz w:val="21"/>
          <w:szCs w:val="21"/>
          <w:lang w:bidi="ar"/>
        </w:rPr>
        <w:t>付款方式：采用支票、银行汇票、电汇三种形式。</w:t>
      </w:r>
    </w:p>
    <w:p w14:paraId="35D90F9D">
      <w:pPr>
        <w:pStyle w:val="19"/>
        <w:widowControl w:val="0"/>
        <w:numPr>
          <w:ilvl w:val="0"/>
          <w:numId w:val="20"/>
        </w:numPr>
        <w:adjustRightInd w:val="0"/>
        <w:snapToGrid w:val="0"/>
        <w:spacing w:before="0" w:beforeAutospacing="0" w:after="0" w:afterAutospacing="0" w:line="360" w:lineRule="auto"/>
        <w:jc w:val="both"/>
        <w:textAlignment w:val="baseline"/>
        <w:rPr>
          <w:rFonts w:hint="eastAsia"/>
          <w:color w:val="000000"/>
          <w:sz w:val="21"/>
          <w:szCs w:val="21"/>
        </w:rPr>
      </w:pPr>
      <w:r>
        <w:rPr>
          <w:rFonts w:hint="eastAsia"/>
          <w:color w:val="000000"/>
          <w:kern w:val="2"/>
          <w:sz w:val="21"/>
          <w:szCs w:val="21"/>
          <w:lang w:bidi="ar"/>
        </w:rPr>
        <w:t>如采购人对成交供应商提交的对账请款等凭证存在异议，采购人有权中止支付且不构成违约，双方应尽快重新组织对账。</w:t>
      </w:r>
    </w:p>
    <w:p w14:paraId="172225E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异议索赔</w:t>
      </w:r>
    </w:p>
    <w:p w14:paraId="1A7DBAE5">
      <w:pPr>
        <w:pStyle w:val="19"/>
        <w:widowControl w:val="0"/>
        <w:numPr>
          <w:ilvl w:val="0"/>
          <w:numId w:val="21"/>
        </w:numPr>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成交供应商对于所提供的货物与合同要求不符负有责任。成交供应商须同意采购人拒收货物，成交供应商负担由此发生的一切损失和费用。包括银行利息、运输和保险费、检</w:t>
      </w:r>
      <w:bookmarkStart w:id="1" w:name="_Hlt345252789"/>
      <w:bookmarkEnd w:id="1"/>
      <w:r>
        <w:rPr>
          <w:rFonts w:hint="eastAsia"/>
          <w:kern w:val="2"/>
          <w:sz w:val="21"/>
          <w:szCs w:val="21"/>
          <w:lang w:bidi="ar"/>
        </w:rPr>
        <w:t>验费、仓储和装卸费等必要的费用。</w:t>
      </w:r>
    </w:p>
    <w:p w14:paraId="0CE833A3">
      <w:pPr>
        <w:pStyle w:val="19"/>
        <w:widowControl w:val="0"/>
        <w:numPr>
          <w:ilvl w:val="0"/>
          <w:numId w:val="21"/>
        </w:numPr>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对有缺陷的零件、部件和设备，成交供应商须同意免费更换，以达到合同规定的规格、质量和性能，成交供应商承担一切费用和风险并负担采购人遭受的一切损失。同时成交供应商相应顺延被更换货物的质保期。</w:t>
      </w:r>
    </w:p>
    <w:p w14:paraId="7F8CD2EF">
      <w:pPr>
        <w:pStyle w:val="19"/>
        <w:widowControl w:val="0"/>
        <w:numPr>
          <w:ilvl w:val="0"/>
          <w:numId w:val="21"/>
        </w:numPr>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如果在采购人发出索赔通知后</w:t>
      </w:r>
      <w:r>
        <w:rPr>
          <w:rFonts w:hint="eastAsia"/>
          <w:kern w:val="2"/>
          <w:sz w:val="21"/>
          <w:szCs w:val="21"/>
          <w:u w:val="single"/>
          <w:lang w:bidi="ar"/>
        </w:rPr>
        <w:t xml:space="preserve"> 5 </w:t>
      </w:r>
      <w:r>
        <w:rPr>
          <w:rFonts w:hint="eastAsia"/>
          <w:kern w:val="2"/>
          <w:sz w:val="21"/>
          <w:szCs w:val="21"/>
          <w:lang w:bidi="ar"/>
        </w:rPr>
        <w:t>天内，成交供应商未作答复，上述索赔应视为已被成交供应商接受。如成交供应商未能在收到索赔通知后</w:t>
      </w:r>
      <w:r>
        <w:rPr>
          <w:rFonts w:hint="eastAsia"/>
          <w:kern w:val="2"/>
          <w:sz w:val="21"/>
          <w:szCs w:val="21"/>
          <w:u w:val="single"/>
          <w:lang w:bidi="ar"/>
        </w:rPr>
        <w:t xml:space="preserve"> 5 </w:t>
      </w:r>
      <w:r>
        <w:rPr>
          <w:rFonts w:hint="eastAsia"/>
          <w:kern w:val="2"/>
          <w:sz w:val="21"/>
          <w:szCs w:val="21"/>
          <w:lang w:bidi="ar"/>
        </w:rPr>
        <w:t>天内或征得采购人同意的延长期内，按照采购人选择的方法解决索赔事宜，采购人将有权从货款中扣回索赔金额，同时保留进一步要求索赔的权力。</w:t>
      </w:r>
    </w:p>
    <w:p w14:paraId="0C7587DE">
      <w:pPr>
        <w:pStyle w:val="19"/>
        <w:widowControl w:val="0"/>
        <w:numPr>
          <w:ilvl w:val="0"/>
          <w:numId w:val="21"/>
        </w:numPr>
        <w:adjustRightInd w:val="0"/>
        <w:snapToGrid w:val="0"/>
        <w:spacing w:before="0" w:beforeAutospacing="0" w:after="0" w:afterAutospacing="0" w:line="360" w:lineRule="auto"/>
        <w:jc w:val="both"/>
        <w:textAlignment w:val="baseline"/>
        <w:rPr>
          <w:rFonts w:hint="eastAsia"/>
          <w:sz w:val="21"/>
          <w:szCs w:val="21"/>
        </w:rPr>
      </w:pPr>
      <w:r>
        <w:rPr>
          <w:rFonts w:hint="eastAsia"/>
          <w:kern w:val="2"/>
          <w:sz w:val="21"/>
          <w:szCs w:val="21"/>
          <w:lang w:bidi="ar"/>
        </w:rPr>
        <w:t>采购人在使用成交供应商供应的货物或货物的任何一部分及享受成交供应商向采购人提供的服务时，如受第三方提出的侵犯其专利权、商标权或其他知识产权的起诉，由成交供应商承担一切责任，且成交供应商应赔偿采购人由于上述原因而造成的损失（包括但不限于赔偿费、诉讼费、律师费等）。</w:t>
      </w:r>
    </w:p>
    <w:p w14:paraId="695316EA">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不可抗力</w:t>
      </w:r>
    </w:p>
    <w:p w14:paraId="6DEAA9BF">
      <w:pPr>
        <w:pStyle w:val="19"/>
        <w:widowControl w:val="0"/>
        <w:numPr>
          <w:ilvl w:val="0"/>
          <w:numId w:val="22"/>
        </w:numPr>
        <w:snapToGrid w:val="0"/>
        <w:spacing w:before="0" w:beforeAutospacing="0" w:after="0" w:afterAutospacing="0" w:line="360" w:lineRule="auto"/>
        <w:jc w:val="both"/>
        <w:rPr>
          <w:rFonts w:hint="eastAsia"/>
          <w:sz w:val="21"/>
          <w:szCs w:val="21"/>
        </w:rPr>
      </w:pPr>
      <w:r>
        <w:rPr>
          <w:rFonts w:hint="eastAsia"/>
          <w:kern w:val="2"/>
          <w:sz w:val="21"/>
          <w:szCs w:val="21"/>
          <w:lang w:bidi="ar"/>
        </w:rPr>
        <w:t>由于不可预见、不可避免、不可克服等不可抗力的原因，一方不能履行合同义务的，应当在不可抗力发生之日起</w:t>
      </w:r>
      <w:r>
        <w:rPr>
          <w:rFonts w:hint="eastAsia"/>
          <w:kern w:val="2"/>
          <w:sz w:val="21"/>
          <w:szCs w:val="21"/>
          <w:u w:val="single"/>
          <w:lang w:bidi="ar"/>
        </w:rPr>
        <w:t xml:space="preserve"> 10 </w:t>
      </w:r>
      <w:r>
        <w:rPr>
          <w:rFonts w:hint="eastAsia"/>
          <w:kern w:val="2"/>
          <w:sz w:val="21"/>
          <w:szCs w:val="21"/>
          <w:lang w:bidi="ar"/>
        </w:rPr>
        <w:t>天内以书面形式通知对方，证明不可抗力事件的存在。</w:t>
      </w:r>
    </w:p>
    <w:p w14:paraId="22CD87C2">
      <w:pPr>
        <w:pStyle w:val="19"/>
        <w:widowControl w:val="0"/>
        <w:numPr>
          <w:ilvl w:val="0"/>
          <w:numId w:val="22"/>
        </w:numPr>
        <w:snapToGrid w:val="0"/>
        <w:spacing w:before="0" w:beforeAutospacing="0" w:after="0" w:afterAutospacing="0" w:line="360" w:lineRule="auto"/>
        <w:jc w:val="both"/>
        <w:rPr>
          <w:rFonts w:hint="eastAsia"/>
          <w:sz w:val="21"/>
          <w:szCs w:val="21"/>
        </w:rPr>
      </w:pPr>
      <w:r>
        <w:rPr>
          <w:rFonts w:hint="eastAsia"/>
          <w:kern w:val="2"/>
          <w:sz w:val="21"/>
          <w:szCs w:val="21"/>
          <w:lang w:bidi="ar"/>
        </w:rPr>
        <w:t>不可抗力事件发生后，采购人和成交供应商应当积极寻求以合理的方式履行合同。如不可抗力无法消除，致使合同目的无法实现的，双方均有权解除合同，且均不互相索赔。</w:t>
      </w:r>
    </w:p>
    <w:p w14:paraId="76E1AED8">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w:t>
      </w:r>
    </w:p>
    <w:p w14:paraId="47902D5E">
      <w:pPr>
        <w:pStyle w:val="19"/>
        <w:widowControl w:val="0"/>
        <w:numPr>
          <w:ilvl w:val="0"/>
          <w:numId w:val="23"/>
        </w:numPr>
        <w:snapToGrid w:val="0"/>
        <w:spacing w:before="0" w:beforeAutospacing="0" w:after="0" w:afterAutospacing="0" w:line="360" w:lineRule="auto"/>
        <w:jc w:val="both"/>
        <w:rPr>
          <w:rFonts w:hint="eastAsia"/>
          <w:sz w:val="21"/>
          <w:szCs w:val="21"/>
        </w:rPr>
      </w:pPr>
      <w:r>
        <w:rPr>
          <w:rFonts w:hint="eastAsia"/>
          <w:kern w:val="2"/>
          <w:sz w:val="21"/>
          <w:szCs w:val="21"/>
          <w:lang w:bidi="ar"/>
        </w:rPr>
        <w:t>成交供应商逾期交货及未按时履行保修义务，则按合同总价每天</w:t>
      </w:r>
      <w:r>
        <w:rPr>
          <w:rFonts w:hint="eastAsia"/>
          <w:kern w:val="2"/>
          <w:sz w:val="21"/>
          <w:szCs w:val="21"/>
          <w:u w:val="single"/>
          <w:lang w:bidi="ar"/>
        </w:rPr>
        <w:t xml:space="preserve"> 5 </w:t>
      </w:r>
      <w:r>
        <w:rPr>
          <w:rFonts w:hint="eastAsia"/>
          <w:kern w:val="2"/>
          <w:sz w:val="21"/>
          <w:szCs w:val="21"/>
          <w:lang w:bidi="ar"/>
        </w:rPr>
        <w:t>‰支付违约金给采购人。如超过合同规定交货期限</w:t>
      </w:r>
      <w:r>
        <w:rPr>
          <w:rFonts w:hint="eastAsia"/>
          <w:kern w:val="2"/>
          <w:sz w:val="21"/>
          <w:szCs w:val="21"/>
          <w:u w:val="single"/>
          <w:lang w:bidi="ar"/>
        </w:rPr>
        <w:t xml:space="preserve"> </w:t>
      </w:r>
      <w:r>
        <w:rPr>
          <w:rFonts w:hint="eastAsia"/>
          <w:kern w:val="2"/>
          <w:sz w:val="21"/>
          <w:szCs w:val="21"/>
          <w:u w:val="single"/>
          <w:lang w:val="en-US" w:eastAsia="zh-CN" w:bidi="ar"/>
        </w:rPr>
        <w:t>7</w:t>
      </w:r>
      <w:r>
        <w:rPr>
          <w:rFonts w:hint="eastAsia"/>
          <w:kern w:val="2"/>
          <w:sz w:val="21"/>
          <w:szCs w:val="21"/>
          <w:u w:val="single"/>
          <w:lang w:bidi="ar"/>
        </w:rPr>
        <w:t xml:space="preserve"> </w:t>
      </w:r>
      <w:r>
        <w:rPr>
          <w:rFonts w:hint="eastAsia"/>
          <w:kern w:val="2"/>
          <w:sz w:val="21"/>
          <w:szCs w:val="21"/>
          <w:lang w:bidi="ar"/>
        </w:rPr>
        <w:t>天成交供应商仍不能交货完毕，则视为成交供应商不能交货。</w:t>
      </w:r>
    </w:p>
    <w:p w14:paraId="3D7B020C">
      <w:pPr>
        <w:pStyle w:val="19"/>
        <w:widowControl w:val="0"/>
        <w:numPr>
          <w:ilvl w:val="0"/>
          <w:numId w:val="23"/>
        </w:numPr>
        <w:snapToGrid w:val="0"/>
        <w:spacing w:before="0" w:beforeAutospacing="0" w:after="0" w:afterAutospacing="0" w:line="360" w:lineRule="auto"/>
        <w:jc w:val="both"/>
        <w:rPr>
          <w:rFonts w:hint="eastAsia"/>
          <w:sz w:val="21"/>
          <w:szCs w:val="21"/>
        </w:rPr>
      </w:pPr>
      <w:r>
        <w:rPr>
          <w:rFonts w:hint="eastAsia"/>
          <w:kern w:val="2"/>
          <w:sz w:val="21"/>
          <w:szCs w:val="21"/>
          <w:lang w:bidi="ar"/>
        </w:rPr>
        <w:t>成交供应商不能交货，则按合同总价</w:t>
      </w:r>
      <w:r>
        <w:rPr>
          <w:rFonts w:hint="eastAsia"/>
          <w:kern w:val="2"/>
          <w:sz w:val="21"/>
          <w:szCs w:val="21"/>
          <w:u w:val="single"/>
          <w:lang w:bidi="ar"/>
        </w:rPr>
        <w:t xml:space="preserve">30 </w:t>
      </w:r>
      <w:r>
        <w:rPr>
          <w:rFonts w:hint="eastAsia"/>
          <w:kern w:val="2"/>
          <w:sz w:val="21"/>
          <w:szCs w:val="21"/>
          <w:lang w:bidi="ar"/>
        </w:rPr>
        <w:t>%支付违约金给采购人。同时，采购人有权单方面解除合同。如上述违约金金额仍不足以补偿采购人因成交供应商违约造成的损失，采购人有权进一步向成交供应商提出索赔。</w:t>
      </w:r>
    </w:p>
    <w:p w14:paraId="5CD8683B">
      <w:pPr>
        <w:pStyle w:val="19"/>
        <w:widowControl w:val="0"/>
        <w:numPr>
          <w:ilvl w:val="0"/>
          <w:numId w:val="23"/>
        </w:numPr>
        <w:snapToGrid w:val="0"/>
        <w:spacing w:before="0" w:beforeAutospacing="0" w:after="0" w:afterAutospacing="0" w:line="360" w:lineRule="auto"/>
        <w:jc w:val="both"/>
        <w:rPr>
          <w:rFonts w:hint="eastAsia"/>
          <w:sz w:val="21"/>
          <w:szCs w:val="21"/>
        </w:rPr>
      </w:pPr>
      <w:r>
        <w:rPr>
          <w:rFonts w:hint="eastAsia"/>
          <w:kern w:val="2"/>
          <w:sz w:val="21"/>
          <w:szCs w:val="21"/>
          <w:lang w:bidi="ar"/>
        </w:rPr>
        <w:t>货物未能一次性通过验收，则采购人同意由成交供应商予以整改，并在第一次验收结束之日起</w:t>
      </w:r>
      <w:r>
        <w:rPr>
          <w:rFonts w:hint="eastAsia"/>
          <w:kern w:val="2"/>
          <w:sz w:val="21"/>
          <w:szCs w:val="21"/>
          <w:u w:val="single"/>
          <w:lang w:bidi="ar"/>
        </w:rPr>
        <w:t xml:space="preserve"> 3 </w:t>
      </w:r>
      <w:r>
        <w:rPr>
          <w:rFonts w:hint="eastAsia"/>
          <w:kern w:val="2"/>
          <w:sz w:val="21"/>
          <w:szCs w:val="21"/>
          <w:lang w:bidi="ar"/>
        </w:rPr>
        <w:t>天内重新组织验收；经</w:t>
      </w:r>
      <w:r>
        <w:rPr>
          <w:rFonts w:hint="eastAsia"/>
          <w:kern w:val="2"/>
          <w:sz w:val="21"/>
          <w:szCs w:val="21"/>
          <w:u w:val="single"/>
          <w:lang w:bidi="ar"/>
        </w:rPr>
        <w:t xml:space="preserve"> 3 </w:t>
      </w:r>
      <w:r>
        <w:rPr>
          <w:rFonts w:hint="eastAsia"/>
          <w:kern w:val="2"/>
          <w:sz w:val="21"/>
          <w:szCs w:val="21"/>
          <w:lang w:bidi="ar"/>
        </w:rPr>
        <w:t>次验收不合格的，采购人有权单方面解除合同。如因此给采购人造成损失的，采购人有权向成交供应商提出索赔。</w:t>
      </w:r>
    </w:p>
    <w:p w14:paraId="6BFCA335">
      <w:pPr>
        <w:pStyle w:val="19"/>
        <w:widowControl w:val="0"/>
        <w:numPr>
          <w:ilvl w:val="0"/>
          <w:numId w:val="23"/>
        </w:numPr>
        <w:snapToGrid w:val="0"/>
        <w:spacing w:before="0" w:beforeAutospacing="0" w:after="0" w:afterAutospacing="0" w:line="360" w:lineRule="auto"/>
        <w:jc w:val="both"/>
        <w:rPr>
          <w:rFonts w:hint="eastAsia"/>
          <w:sz w:val="21"/>
          <w:szCs w:val="21"/>
        </w:rPr>
      </w:pPr>
      <w:r>
        <w:rPr>
          <w:rFonts w:hint="eastAsia"/>
          <w:kern w:val="2"/>
          <w:sz w:val="21"/>
          <w:szCs w:val="21"/>
          <w:lang w:bidi="ar"/>
        </w:rPr>
        <w:t>如果采购人逾期付款，则按拖欠金额每天</w:t>
      </w:r>
      <w:r>
        <w:rPr>
          <w:rFonts w:hint="eastAsia"/>
          <w:kern w:val="2"/>
          <w:sz w:val="21"/>
          <w:szCs w:val="21"/>
          <w:u w:val="single"/>
          <w:lang w:bidi="ar"/>
        </w:rPr>
        <w:t xml:space="preserve"> 2 </w:t>
      </w:r>
      <w:r>
        <w:rPr>
          <w:rFonts w:hint="eastAsia"/>
          <w:kern w:val="2"/>
          <w:sz w:val="21"/>
          <w:szCs w:val="21"/>
          <w:lang w:bidi="ar"/>
        </w:rPr>
        <w:t>‰支付违约金给成交供应商，直至该款付清为止。</w:t>
      </w:r>
    </w:p>
    <w:p w14:paraId="014B5119">
      <w:pPr>
        <w:pStyle w:val="19"/>
        <w:widowControl w:val="0"/>
        <w:numPr>
          <w:ilvl w:val="0"/>
          <w:numId w:val="23"/>
        </w:numPr>
        <w:snapToGrid w:val="0"/>
        <w:spacing w:before="0" w:beforeAutospacing="0" w:after="0" w:afterAutospacing="0" w:line="360" w:lineRule="auto"/>
        <w:jc w:val="both"/>
        <w:rPr>
          <w:rFonts w:hint="eastAsia"/>
          <w:sz w:val="21"/>
          <w:szCs w:val="21"/>
        </w:rPr>
      </w:pPr>
      <w:r>
        <w:rPr>
          <w:rFonts w:hint="eastAsia"/>
          <w:kern w:val="2"/>
          <w:sz w:val="21"/>
          <w:szCs w:val="21"/>
          <w:lang w:val="en-US" w:eastAsia="zh-CN" w:bidi="ar"/>
        </w:rPr>
        <w:t>因成交供应商违反合同约定，</w:t>
      </w:r>
      <w:r>
        <w:rPr>
          <w:rFonts w:hint="eastAsia"/>
          <w:kern w:val="2"/>
          <w:sz w:val="21"/>
          <w:szCs w:val="21"/>
          <w:lang w:bidi="ar"/>
        </w:rPr>
        <w:t>采购人解除合同</w:t>
      </w:r>
      <w:r>
        <w:rPr>
          <w:rFonts w:hint="eastAsia"/>
          <w:kern w:val="2"/>
          <w:sz w:val="21"/>
          <w:szCs w:val="21"/>
          <w:lang w:val="en-US" w:eastAsia="zh-CN" w:bidi="ar"/>
        </w:rPr>
        <w:t>的</w:t>
      </w:r>
      <w:r>
        <w:rPr>
          <w:rFonts w:hint="eastAsia"/>
          <w:kern w:val="2"/>
          <w:sz w:val="21"/>
          <w:szCs w:val="21"/>
          <w:lang w:bidi="ar"/>
        </w:rPr>
        <w:t>，成交供应商须在接到采购人解约通知之日起</w:t>
      </w:r>
      <w:r>
        <w:rPr>
          <w:rFonts w:hint="eastAsia"/>
          <w:kern w:val="2"/>
          <w:sz w:val="21"/>
          <w:szCs w:val="21"/>
          <w:u w:val="single"/>
          <w:lang w:bidi="ar"/>
        </w:rPr>
        <w:t xml:space="preserve"> 7 </w:t>
      </w:r>
      <w:r>
        <w:rPr>
          <w:rFonts w:hint="eastAsia"/>
          <w:kern w:val="2"/>
          <w:sz w:val="21"/>
          <w:szCs w:val="21"/>
          <w:lang w:bidi="ar"/>
        </w:rPr>
        <w:t>天内退回采购人已支付的价款。</w:t>
      </w:r>
    </w:p>
    <w:p w14:paraId="7DDDF976">
      <w:pPr>
        <w:pStyle w:val="19"/>
        <w:widowControl w:val="0"/>
        <w:numPr>
          <w:ilvl w:val="0"/>
          <w:numId w:val="23"/>
        </w:numPr>
        <w:snapToGrid w:val="0"/>
        <w:spacing w:before="0" w:beforeAutospacing="0" w:after="0" w:afterAutospacing="0" w:line="360" w:lineRule="auto"/>
        <w:jc w:val="both"/>
        <w:rPr>
          <w:rFonts w:hint="eastAsia"/>
          <w:sz w:val="21"/>
          <w:szCs w:val="21"/>
        </w:rPr>
      </w:pPr>
      <w:r>
        <w:rPr>
          <w:rFonts w:hint="eastAsia"/>
          <w:kern w:val="2"/>
          <w:sz w:val="21"/>
          <w:szCs w:val="21"/>
          <w:lang w:bidi="ar"/>
        </w:rPr>
        <w:t>合同期内，如成交供应商累计出现3次（含3次）以上违约行为的（包括但不限于逾期供货、供货数量、质量不符合要求的），采购人有权立即解除本项目合同，并要求成交供应商按合同总价款的20%支付违约金。</w:t>
      </w:r>
    </w:p>
    <w:p w14:paraId="58BFFF93">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争议解决方式</w:t>
      </w:r>
    </w:p>
    <w:p w14:paraId="22F2F789">
      <w:pPr>
        <w:pStyle w:val="19"/>
        <w:widowControl w:val="0"/>
        <w:numPr>
          <w:ilvl w:val="0"/>
          <w:numId w:val="24"/>
        </w:numPr>
        <w:snapToGrid w:val="0"/>
        <w:spacing w:before="0" w:beforeAutospacing="0" w:after="0" w:afterAutospacing="0" w:line="360" w:lineRule="auto"/>
        <w:jc w:val="both"/>
        <w:rPr>
          <w:rFonts w:hint="eastAsia"/>
          <w:sz w:val="21"/>
          <w:szCs w:val="21"/>
        </w:rPr>
      </w:pPr>
      <w:r>
        <w:rPr>
          <w:rFonts w:hint="eastAsia"/>
          <w:kern w:val="2"/>
          <w:sz w:val="21"/>
          <w:szCs w:val="21"/>
          <w:lang w:bidi="ar"/>
        </w:rPr>
        <w:t>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53788610">
      <w:pPr>
        <w:pStyle w:val="19"/>
        <w:widowControl w:val="0"/>
        <w:numPr>
          <w:ilvl w:val="0"/>
          <w:numId w:val="24"/>
        </w:numPr>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kern w:val="2"/>
          <w:sz w:val="21"/>
          <w:szCs w:val="21"/>
          <w:lang w:bidi="ar"/>
        </w:rPr>
        <w:t>合同发生争议，由双方协商或由政府采购监督管理部门调解解决，协商或调解不成时向采购人所在地的人民法院提起诉讼。在诉讼期间，除有争议部分的事项外，合同其他部分仍应继续履行。</w:t>
      </w:r>
    </w:p>
    <w:p w14:paraId="1D463980">
      <w:pPr>
        <w:spacing w:after="0" w:line="360" w:lineRule="auto"/>
        <w:ind w:firstLine="420" w:firstLineChars="200"/>
        <w:rPr>
          <w:rFonts w:hint="eastAsia" w:ascii="宋体" w:hAnsi="宋体" w:eastAsia="宋体" w:cs="宋体"/>
          <w:szCs w:val="21"/>
        </w:rPr>
      </w:pPr>
    </w:p>
    <w:p w14:paraId="1FA52ADF">
      <w:pPr>
        <w:spacing w:after="0" w:line="360" w:lineRule="auto"/>
        <w:ind w:firstLine="422" w:firstLineChars="200"/>
        <w:rPr>
          <w:rFonts w:hint="eastAsia"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br w:type="page"/>
      </w:r>
    </w:p>
    <w:p w14:paraId="219FC405">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866CC42">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4967" w:type="pct"/>
        <w:jc w:val="center"/>
        <w:tblLayout w:type="autofit"/>
        <w:tblCellMar>
          <w:top w:w="0" w:type="dxa"/>
          <w:left w:w="0" w:type="dxa"/>
          <w:bottom w:w="0" w:type="dxa"/>
          <w:right w:w="0" w:type="dxa"/>
        </w:tblCellMar>
      </w:tblPr>
      <w:tblGrid>
        <w:gridCol w:w="885"/>
        <w:gridCol w:w="1479"/>
        <w:gridCol w:w="868"/>
        <w:gridCol w:w="921"/>
        <w:gridCol w:w="1729"/>
        <w:gridCol w:w="1618"/>
        <w:gridCol w:w="771"/>
      </w:tblGrid>
      <w:tr w14:paraId="0E853115">
        <w:tblPrEx>
          <w:tblCellMar>
            <w:top w:w="0" w:type="dxa"/>
            <w:left w:w="0" w:type="dxa"/>
            <w:bottom w:w="0" w:type="dxa"/>
            <w:right w:w="0" w:type="dxa"/>
          </w:tblCellMar>
        </w:tblPrEx>
        <w:trPr>
          <w:trHeight w:val="1096"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F9B4">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序号</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7443">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产品名称</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C895">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数量</w:t>
            </w: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D7F7">
            <w:pPr>
              <w:widowControl/>
              <w:spacing w:line="360" w:lineRule="auto"/>
              <w:jc w:val="center"/>
              <w:textAlignment w:val="center"/>
              <w:rPr>
                <w:rFonts w:hint="eastAsia" w:ascii="宋体" w:hAnsi="宋体" w:eastAsia="宋体" w:cs="宋体"/>
                <w:bCs/>
                <w:color w:val="000000"/>
                <w:szCs w:val="21"/>
              </w:rPr>
            </w:pPr>
            <w:r>
              <w:rPr>
                <w:rFonts w:hint="eastAsia" w:ascii="宋体" w:hAnsi="宋体" w:eastAsia="宋体" w:cs="宋体"/>
                <w:bCs/>
                <w:color w:val="000000"/>
                <w:kern w:val="0"/>
                <w:szCs w:val="21"/>
                <w:lang w:bidi="ar"/>
              </w:rPr>
              <w:t>单位</w:t>
            </w:r>
          </w:p>
        </w:tc>
        <w:tc>
          <w:tcPr>
            <w:tcW w:w="1045" w:type="pct"/>
            <w:tcBorders>
              <w:top w:val="single" w:color="000000" w:sz="4" w:space="0"/>
              <w:left w:val="single" w:color="000000" w:sz="4" w:space="0"/>
              <w:bottom w:val="single" w:color="000000" w:sz="4" w:space="0"/>
              <w:right w:val="single" w:color="000000" w:sz="4" w:space="0"/>
            </w:tcBorders>
            <w:vAlign w:val="center"/>
          </w:tcPr>
          <w:p w14:paraId="2A1F8878">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单价最高限价</w:t>
            </w:r>
          </w:p>
          <w:p w14:paraId="5C1BBB81">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（元/平方米）</w:t>
            </w:r>
          </w:p>
        </w:tc>
        <w:tc>
          <w:tcPr>
            <w:tcW w:w="978" w:type="pct"/>
            <w:tcBorders>
              <w:top w:val="single" w:color="000000" w:sz="4" w:space="0"/>
              <w:left w:val="single" w:color="000000" w:sz="4" w:space="0"/>
              <w:bottom w:val="single" w:color="000000" w:sz="4" w:space="0"/>
              <w:right w:val="single" w:color="000000" w:sz="4" w:space="0"/>
            </w:tcBorders>
            <w:vAlign w:val="center"/>
          </w:tcPr>
          <w:p w14:paraId="276F9FEB">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单价报价</w:t>
            </w:r>
          </w:p>
          <w:p w14:paraId="009F5808">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（元/平方米）</w:t>
            </w:r>
          </w:p>
        </w:tc>
        <w:tc>
          <w:tcPr>
            <w:tcW w:w="463" w:type="pct"/>
            <w:tcBorders>
              <w:top w:val="single" w:color="000000" w:sz="4" w:space="0"/>
              <w:left w:val="single" w:color="000000" w:sz="4" w:space="0"/>
              <w:bottom w:val="single" w:color="000000" w:sz="4" w:space="0"/>
              <w:right w:val="single" w:color="000000" w:sz="4" w:space="0"/>
            </w:tcBorders>
            <w:vAlign w:val="center"/>
          </w:tcPr>
          <w:p w14:paraId="4B4E755A">
            <w:pPr>
              <w:widowControl/>
              <w:spacing w:line="360" w:lineRule="auto"/>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备注</w:t>
            </w:r>
          </w:p>
        </w:tc>
      </w:tr>
      <w:tr w14:paraId="31314201">
        <w:tblPrEx>
          <w:tblCellMar>
            <w:top w:w="0" w:type="dxa"/>
            <w:left w:w="0" w:type="dxa"/>
            <w:bottom w:w="0" w:type="dxa"/>
            <w:right w:w="0" w:type="dxa"/>
          </w:tblCellMar>
        </w:tblPrEx>
        <w:trPr>
          <w:trHeight w:val="1096"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0D32">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7178">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铝扣板（蜂窝spc墙板）</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0B66">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500</w:t>
            </w: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F3C3">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平方米</w:t>
            </w:r>
          </w:p>
        </w:tc>
        <w:tc>
          <w:tcPr>
            <w:tcW w:w="1045" w:type="pct"/>
            <w:tcBorders>
              <w:top w:val="single" w:color="000000" w:sz="4" w:space="0"/>
              <w:left w:val="single" w:color="000000" w:sz="4" w:space="0"/>
              <w:bottom w:val="single" w:color="000000" w:sz="4" w:space="0"/>
              <w:right w:val="single" w:color="000000" w:sz="4" w:space="0"/>
            </w:tcBorders>
            <w:vAlign w:val="center"/>
          </w:tcPr>
          <w:p w14:paraId="2FFE1654">
            <w:pPr>
              <w:widowControl/>
              <w:spacing w:line="300" w:lineRule="exact"/>
              <w:jc w:val="center"/>
              <w:textAlignment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130</w:t>
            </w:r>
          </w:p>
        </w:tc>
        <w:tc>
          <w:tcPr>
            <w:tcW w:w="978" w:type="pct"/>
            <w:tcBorders>
              <w:top w:val="single" w:color="000000" w:sz="4" w:space="0"/>
              <w:left w:val="single" w:color="000000" w:sz="4" w:space="0"/>
              <w:bottom w:val="single" w:color="000000" w:sz="4" w:space="0"/>
              <w:right w:val="single" w:color="000000" w:sz="4" w:space="0"/>
            </w:tcBorders>
            <w:vAlign w:val="center"/>
          </w:tcPr>
          <w:p w14:paraId="78F8ED06">
            <w:pPr>
              <w:widowControl/>
              <w:spacing w:line="300" w:lineRule="exact"/>
              <w:jc w:val="center"/>
              <w:textAlignment w:val="center"/>
              <w:rPr>
                <w:rFonts w:hint="eastAsia" w:ascii="宋体" w:hAnsi="宋体" w:eastAsia="宋体" w:cs="宋体"/>
                <w:bCs/>
                <w:color w:val="000000"/>
                <w:kern w:val="0"/>
                <w:szCs w:val="21"/>
                <w:lang w:bidi="ar"/>
              </w:rPr>
            </w:pPr>
          </w:p>
        </w:tc>
        <w:tc>
          <w:tcPr>
            <w:tcW w:w="463" w:type="pct"/>
            <w:tcBorders>
              <w:top w:val="single" w:color="000000" w:sz="4" w:space="0"/>
              <w:left w:val="single" w:color="000000" w:sz="4" w:space="0"/>
              <w:bottom w:val="single" w:color="000000" w:sz="4" w:space="0"/>
              <w:right w:val="single" w:color="000000" w:sz="4" w:space="0"/>
            </w:tcBorders>
            <w:vAlign w:val="center"/>
          </w:tcPr>
          <w:p w14:paraId="6DCC3D43">
            <w:pPr>
              <w:widowControl/>
              <w:spacing w:line="300" w:lineRule="exact"/>
              <w:jc w:val="center"/>
              <w:textAlignment w:val="center"/>
              <w:rPr>
                <w:rFonts w:hint="eastAsia" w:ascii="宋体" w:hAnsi="宋体" w:eastAsia="宋体" w:cs="宋体"/>
                <w:bCs/>
                <w:color w:val="000000"/>
                <w:kern w:val="0"/>
                <w:szCs w:val="21"/>
                <w:lang w:bidi="ar"/>
              </w:rPr>
            </w:pPr>
          </w:p>
        </w:tc>
      </w:tr>
      <w:tr w14:paraId="7CA5EEE3">
        <w:tblPrEx>
          <w:tblCellMar>
            <w:top w:w="0" w:type="dxa"/>
            <w:left w:w="0" w:type="dxa"/>
            <w:bottom w:w="0" w:type="dxa"/>
            <w:right w:w="0" w:type="dxa"/>
          </w:tblCellMar>
        </w:tblPrEx>
        <w:trPr>
          <w:trHeight w:val="109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D5EC">
            <w:pPr>
              <w:widowControl/>
              <w:spacing w:line="300" w:lineRule="exact"/>
              <w:jc w:val="left"/>
              <w:textAlignment w:val="center"/>
              <w:rPr>
                <w:rFonts w:hint="default" w:ascii="宋体" w:hAnsi="宋体" w:eastAsia="宋体" w:cs="宋体"/>
                <w:bCs/>
                <w:color w:val="000000"/>
                <w:kern w:val="0"/>
                <w:szCs w:val="21"/>
                <w:u w:val="single"/>
                <w:lang w:bidi="ar"/>
              </w:rPr>
            </w:pPr>
            <w:r>
              <w:rPr>
                <w:rFonts w:hint="eastAsia" w:ascii="宋体" w:hAnsi="宋体" w:eastAsia="宋体" w:cs="宋体"/>
                <w:bCs/>
                <w:color w:val="000000"/>
                <w:kern w:val="0"/>
                <w:szCs w:val="21"/>
                <w:lang w:bidi="ar"/>
              </w:rPr>
              <w:t>合计（单价*数量）：</w:t>
            </w:r>
            <w:r>
              <w:rPr>
                <w:rFonts w:hint="eastAsia" w:ascii="宋体" w:hAnsi="宋体" w:eastAsia="宋体" w:cs="宋体"/>
                <w:bCs/>
                <w:color w:val="000000"/>
                <w:kern w:val="0"/>
                <w:szCs w:val="21"/>
                <w:lang w:val="en-US" w:eastAsia="zh-CN" w:bidi="ar"/>
              </w:rPr>
              <w:t xml:space="preserve"> </w:t>
            </w:r>
            <w:r>
              <w:rPr>
                <w:rFonts w:hint="eastAsia" w:ascii="宋体" w:hAnsi="宋体" w:eastAsia="宋体" w:cs="宋体"/>
                <w:bCs/>
                <w:color w:val="000000"/>
                <w:kern w:val="0"/>
                <w:szCs w:val="21"/>
                <w:u w:val="single"/>
                <w:lang w:val="en-US" w:eastAsia="zh-CN" w:bidi="ar"/>
              </w:rPr>
              <w:t xml:space="preserve">      </w:t>
            </w:r>
            <w:r>
              <w:rPr>
                <w:rFonts w:hint="eastAsia" w:ascii="宋体" w:hAnsi="宋体" w:eastAsia="宋体" w:cs="宋体"/>
                <w:bCs/>
                <w:color w:val="000000"/>
                <w:kern w:val="0"/>
                <w:szCs w:val="21"/>
                <w:u w:val="none"/>
                <w:lang w:val="en-US" w:eastAsia="zh-CN" w:bidi="ar"/>
              </w:rPr>
              <w:t>元</w:t>
            </w:r>
          </w:p>
        </w:tc>
      </w:tr>
    </w:tbl>
    <w:p w14:paraId="2B5FA337">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34DA564">
      <w:pPr>
        <w:pStyle w:val="19"/>
        <w:numPr>
          <w:ilvl w:val="0"/>
          <w:numId w:val="25"/>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788863D1">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40B59D0B">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09BCBDB7">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5BD8B076">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1E289E46">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157A0E5E">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50A3570">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0D807FBB">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04A1B2A">
      <w:pPr>
        <w:pStyle w:val="4"/>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44FED3EA">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10E2DF22">
      <w:pPr>
        <w:spacing w:after="0" w:line="360" w:lineRule="auto"/>
        <w:rPr>
          <w:rFonts w:hint="eastAsia" w:ascii="宋体" w:hAnsi="宋体" w:eastAsia="宋体" w:cs="宋体"/>
          <w:color w:val="000000" w:themeColor="text1"/>
          <w:lang w:val="zh-CN"/>
          <w14:textFill>
            <w14:solidFill>
              <w14:schemeClr w14:val="tx1"/>
            </w14:solidFill>
          </w14:textFill>
        </w:rPr>
      </w:pPr>
    </w:p>
    <w:p w14:paraId="0D83495C">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广东省肇庆监狱监区墙面铝扣板安装项目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71D617F0">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7FC454F3">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5017A0B5">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64F8DD80">
      <w:pPr>
        <w:pStyle w:val="32"/>
        <w:numPr>
          <w:ilvl w:val="0"/>
          <w:numId w:val="26"/>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A3F6ABA">
      <w:pPr>
        <w:pStyle w:val="32"/>
        <w:numPr>
          <w:ilvl w:val="0"/>
          <w:numId w:val="26"/>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256AEA6">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73BCDBA9">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3951A41">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6B25D39E">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5BC7CAB">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A325275">
      <w:pPr>
        <w:spacing w:after="0" w:line="360" w:lineRule="auto"/>
        <w:rPr>
          <w:rFonts w:hint="eastAsia" w:ascii="宋体" w:hAnsi="宋体" w:eastAsia="宋体" w:cs="宋体"/>
          <w:color w:val="000000" w:themeColor="text1"/>
          <w14:textFill>
            <w14:solidFill>
              <w14:schemeClr w14:val="tx1"/>
            </w14:solidFill>
          </w14:textFill>
        </w:rPr>
      </w:pPr>
    </w:p>
    <w:p w14:paraId="0B39B378">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463D17D">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B705A75">
      <w:pPr>
        <w:spacing w:after="0"/>
        <w:rPr>
          <w:rFonts w:hint="eastAsia" w:ascii="宋体" w:hAnsi="宋体" w:eastAsia="宋体" w:cs="宋体"/>
          <w:b/>
          <w:color w:val="000000" w:themeColor="text1"/>
          <w:szCs w:val="24"/>
          <w14:textFill>
            <w14:solidFill>
              <w14:schemeClr w14:val="tx1"/>
            </w14:solidFill>
          </w14:textFill>
        </w:rPr>
      </w:pPr>
    </w:p>
    <w:p w14:paraId="18AB9D44">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65D97F22">
      <w:pPr>
        <w:spacing w:after="0"/>
        <w:rPr>
          <w:rFonts w:hint="eastAsia" w:ascii="宋体" w:hAnsi="宋体" w:eastAsia="宋体" w:cs="宋体"/>
          <w:b/>
          <w:color w:val="000000" w:themeColor="text1"/>
          <w:szCs w:val="24"/>
          <w14:textFill>
            <w14:solidFill>
              <w14:schemeClr w14:val="tx1"/>
            </w14:solidFill>
          </w14:textFill>
        </w:rPr>
      </w:pPr>
    </w:p>
    <w:p w14:paraId="2B0947E3">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广东省肇庆监狱监区墙面铝扣板安装项目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3D72C648">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B051B2B">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6C455EA7">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693FF7D9">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199F6379">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5C80507B">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64A95713">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4ABDC70A">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18889A06">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631CF27D">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59AEA2B9">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51741B49">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317A1F4">
      <w:pPr>
        <w:pStyle w:val="32"/>
        <w:numPr>
          <w:ilvl w:val="0"/>
          <w:numId w:val="27"/>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B5F98DC">
      <w:pPr>
        <w:pStyle w:val="32"/>
        <w:numPr>
          <w:ilvl w:val="0"/>
          <w:numId w:val="27"/>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D8DFF36">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C565F7C">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61D037A">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123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121C">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FB25E"/>
    <w:multiLevelType w:val="singleLevel"/>
    <w:tmpl w:val="91AFB25E"/>
    <w:lvl w:ilvl="0" w:tentative="0">
      <w:start w:val="1"/>
      <w:numFmt w:val="chineseCounting"/>
      <w:suff w:val="nothing"/>
      <w:lvlText w:val="（%1）"/>
      <w:lvlJc w:val="left"/>
      <w:pPr>
        <w:ind w:left="0" w:firstLine="420"/>
      </w:pPr>
      <w:rPr>
        <w:rFonts w:hint="eastAsia"/>
        <w:b w:val="0"/>
        <w:bCs w:val="0"/>
      </w:r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B3889766"/>
    <w:multiLevelType w:val="singleLevel"/>
    <w:tmpl w:val="B3889766"/>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DAB2C295"/>
    <w:multiLevelType w:val="singleLevel"/>
    <w:tmpl w:val="DAB2C295"/>
    <w:lvl w:ilvl="0" w:tentative="0">
      <w:start w:val="1"/>
      <w:numFmt w:val="chineseCounting"/>
      <w:suff w:val="nothing"/>
      <w:lvlText w:val="（%1）"/>
      <w:lvlJc w:val="left"/>
      <w:pPr>
        <w:ind w:left="0" w:firstLine="420"/>
      </w:pPr>
      <w:rPr>
        <w:rFonts w:hint="eastAsia"/>
      </w:rPr>
    </w:lvl>
  </w:abstractNum>
  <w:abstractNum w:abstractNumId="5">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A4B470F"/>
    <w:multiLevelType w:val="singleLevel"/>
    <w:tmpl w:val="FA4B470F"/>
    <w:lvl w:ilvl="0" w:tentative="0">
      <w:start w:val="1"/>
      <w:numFmt w:val="chineseCounting"/>
      <w:suff w:val="nothing"/>
      <w:lvlText w:val="（%1）"/>
      <w:lvlJc w:val="left"/>
      <w:pPr>
        <w:ind w:left="0" w:firstLine="420"/>
      </w:pPr>
      <w:rPr>
        <w:rFonts w:hint="eastAsia"/>
      </w:rPr>
    </w:lvl>
  </w:abstractNum>
  <w:abstractNum w:abstractNumId="8">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363BAF4B"/>
    <w:multiLevelType w:val="singleLevel"/>
    <w:tmpl w:val="363BAF4B"/>
    <w:lvl w:ilvl="0" w:tentative="0">
      <w:start w:val="1"/>
      <w:numFmt w:val="chineseCounting"/>
      <w:suff w:val="nothing"/>
      <w:lvlText w:val="（%1）"/>
      <w:lvlJc w:val="left"/>
      <w:pPr>
        <w:ind w:left="0" w:firstLine="420"/>
      </w:pPr>
      <w:rPr>
        <w:rFonts w:hint="eastAsia"/>
        <w:b w:val="0"/>
        <w:bCs w:val="0"/>
      </w:rPr>
    </w:lvl>
  </w:abstractNum>
  <w:abstractNum w:abstractNumId="17">
    <w:nsid w:val="44D4A5A8"/>
    <w:multiLevelType w:val="singleLevel"/>
    <w:tmpl w:val="44D4A5A8"/>
    <w:lvl w:ilvl="0" w:tentative="0">
      <w:start w:val="1"/>
      <w:numFmt w:val="chineseCounting"/>
      <w:suff w:val="nothing"/>
      <w:lvlText w:val="（%1）"/>
      <w:lvlJc w:val="left"/>
      <w:pPr>
        <w:ind w:left="0" w:firstLine="420"/>
      </w:pPr>
      <w:rPr>
        <w:rFonts w:hint="eastAsia"/>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4D7F6613"/>
    <w:multiLevelType w:val="singleLevel"/>
    <w:tmpl w:val="4D7F6613"/>
    <w:lvl w:ilvl="0" w:tentative="0">
      <w:start w:val="1"/>
      <w:numFmt w:val="chineseCounting"/>
      <w:suff w:val="nothing"/>
      <w:lvlText w:val="（%1）"/>
      <w:lvlJc w:val="left"/>
      <w:pPr>
        <w:ind w:left="0" w:firstLine="420"/>
      </w:pPr>
      <w:rPr>
        <w:rFonts w:hint="eastAsia"/>
      </w:rPr>
    </w:lvl>
  </w:abstractNum>
  <w:abstractNum w:abstractNumId="21">
    <w:nsid w:val="50EC9A4E"/>
    <w:multiLevelType w:val="singleLevel"/>
    <w:tmpl w:val="50EC9A4E"/>
    <w:lvl w:ilvl="0" w:tentative="0">
      <w:start w:val="1"/>
      <w:numFmt w:val="chineseCounting"/>
      <w:suff w:val="nothing"/>
      <w:lvlText w:val="（%1）"/>
      <w:lvlJc w:val="left"/>
      <w:pPr>
        <w:ind w:left="0" w:firstLine="420"/>
      </w:pPr>
      <w:rPr>
        <w:rFonts w:hint="eastAsia"/>
      </w:rPr>
    </w:lvl>
  </w:abstractNum>
  <w:abstractNum w:abstractNumId="22">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3">
    <w:nsid w:val="6083E52B"/>
    <w:multiLevelType w:val="singleLevel"/>
    <w:tmpl w:val="6083E52B"/>
    <w:lvl w:ilvl="0" w:tentative="0">
      <w:start w:val="1"/>
      <w:numFmt w:val="chineseCounting"/>
      <w:suff w:val="nothing"/>
      <w:lvlText w:val="（%1）"/>
      <w:lvlJc w:val="left"/>
      <w:pPr>
        <w:ind w:left="0" w:firstLine="420"/>
      </w:pPr>
      <w:rPr>
        <w:rFonts w:hint="eastAsia"/>
      </w:rPr>
    </w:lvl>
  </w:abstractNum>
  <w:abstractNum w:abstractNumId="2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6C44B4B"/>
    <w:multiLevelType w:val="singleLevel"/>
    <w:tmpl w:val="76C44B4B"/>
    <w:lvl w:ilvl="0" w:tentative="0">
      <w:start w:val="1"/>
      <w:numFmt w:val="chineseCounting"/>
      <w:suff w:val="nothing"/>
      <w:lvlText w:val="（%1）"/>
      <w:lvlJc w:val="left"/>
      <w:pPr>
        <w:ind w:left="0" w:firstLine="420"/>
      </w:pPr>
      <w:rPr>
        <w:rFonts w:hint="eastAsia"/>
      </w:rPr>
    </w:lvl>
  </w:abstractNum>
  <w:num w:numId="1">
    <w:abstractNumId w:val="9"/>
  </w:num>
  <w:num w:numId="2">
    <w:abstractNumId w:val="24"/>
  </w:num>
  <w:num w:numId="3">
    <w:abstractNumId w:val="6"/>
  </w:num>
  <w:num w:numId="4">
    <w:abstractNumId w:val="18"/>
  </w:num>
  <w:num w:numId="5">
    <w:abstractNumId w:val="3"/>
  </w:num>
  <w:num w:numId="6">
    <w:abstractNumId w:val="10"/>
  </w:num>
  <w:num w:numId="7">
    <w:abstractNumId w:val="12"/>
  </w:num>
  <w:num w:numId="8">
    <w:abstractNumId w:val="22"/>
  </w:num>
  <w:num w:numId="9">
    <w:abstractNumId w:val="13"/>
  </w:num>
  <w:num w:numId="10">
    <w:abstractNumId w:val="5"/>
  </w:num>
  <w:num w:numId="11">
    <w:abstractNumId w:val="1"/>
  </w:num>
  <w:num w:numId="12">
    <w:abstractNumId w:val="11"/>
  </w:num>
  <w:num w:numId="13">
    <w:abstractNumId w:val="14"/>
  </w:num>
  <w:num w:numId="14">
    <w:abstractNumId w:val="8"/>
  </w:num>
  <w:num w:numId="15">
    <w:abstractNumId w:val="0"/>
  </w:num>
  <w:num w:numId="16">
    <w:abstractNumId w:val="4"/>
  </w:num>
  <w:num w:numId="17">
    <w:abstractNumId w:val="16"/>
  </w:num>
  <w:num w:numId="18">
    <w:abstractNumId w:val="7"/>
  </w:num>
  <w:num w:numId="19">
    <w:abstractNumId w:val="21"/>
  </w:num>
  <w:num w:numId="20">
    <w:abstractNumId w:val="2"/>
  </w:num>
  <w:num w:numId="21">
    <w:abstractNumId w:val="26"/>
  </w:num>
  <w:num w:numId="22">
    <w:abstractNumId w:val="20"/>
  </w:num>
  <w:num w:numId="23">
    <w:abstractNumId w:val="23"/>
  </w:num>
  <w:num w:numId="24">
    <w:abstractNumId w:val="17"/>
  </w:num>
  <w:num w:numId="25">
    <w:abstractNumId w:val="25"/>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A56"/>
    <w:rsid w:val="000A1C3F"/>
    <w:rsid w:val="000A53F4"/>
    <w:rsid w:val="000A6EA7"/>
    <w:rsid w:val="000A6FFF"/>
    <w:rsid w:val="000B040C"/>
    <w:rsid w:val="000B125D"/>
    <w:rsid w:val="000B3F59"/>
    <w:rsid w:val="000B4B0B"/>
    <w:rsid w:val="000B74EA"/>
    <w:rsid w:val="000C0210"/>
    <w:rsid w:val="000C3356"/>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D728E"/>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7E"/>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4DC2"/>
    <w:rsid w:val="00906CA0"/>
    <w:rsid w:val="009078D4"/>
    <w:rsid w:val="00914237"/>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0302"/>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3B1E"/>
    <w:rsid w:val="009A4BF3"/>
    <w:rsid w:val="009B0AAE"/>
    <w:rsid w:val="009B29E4"/>
    <w:rsid w:val="009B2D19"/>
    <w:rsid w:val="009B4D41"/>
    <w:rsid w:val="009B53C7"/>
    <w:rsid w:val="009B7B95"/>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1729"/>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C7FD6"/>
    <w:rsid w:val="00BD23DA"/>
    <w:rsid w:val="00BD2C02"/>
    <w:rsid w:val="00BD3301"/>
    <w:rsid w:val="00BD441B"/>
    <w:rsid w:val="00BD4CD9"/>
    <w:rsid w:val="00BD7D5C"/>
    <w:rsid w:val="00BE0B0B"/>
    <w:rsid w:val="00BE1C3E"/>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BDC"/>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77B42"/>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5822"/>
    <w:rsid w:val="00DF6672"/>
    <w:rsid w:val="00DF706C"/>
    <w:rsid w:val="00E00F1C"/>
    <w:rsid w:val="00E01F9F"/>
    <w:rsid w:val="00E05F4A"/>
    <w:rsid w:val="00E06F98"/>
    <w:rsid w:val="00E07AB9"/>
    <w:rsid w:val="00E103A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1F330EC"/>
    <w:rsid w:val="02181129"/>
    <w:rsid w:val="026C76E6"/>
    <w:rsid w:val="02CE4282"/>
    <w:rsid w:val="02E42FCA"/>
    <w:rsid w:val="033112BB"/>
    <w:rsid w:val="03316E9F"/>
    <w:rsid w:val="04375C44"/>
    <w:rsid w:val="04B65424"/>
    <w:rsid w:val="050745CD"/>
    <w:rsid w:val="052B2EF5"/>
    <w:rsid w:val="059A3B3C"/>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46E86"/>
    <w:rsid w:val="09BC2FDC"/>
    <w:rsid w:val="09CF5276"/>
    <w:rsid w:val="09D75DE9"/>
    <w:rsid w:val="09ED2957"/>
    <w:rsid w:val="09F22026"/>
    <w:rsid w:val="0A117003"/>
    <w:rsid w:val="0A47106E"/>
    <w:rsid w:val="0A6F7AD4"/>
    <w:rsid w:val="0AD27DEA"/>
    <w:rsid w:val="0AE77571"/>
    <w:rsid w:val="0AF35C4B"/>
    <w:rsid w:val="0AF9203D"/>
    <w:rsid w:val="0B2602D7"/>
    <w:rsid w:val="0B430904"/>
    <w:rsid w:val="0B515A26"/>
    <w:rsid w:val="0B571438"/>
    <w:rsid w:val="0B742F24"/>
    <w:rsid w:val="0C5602B0"/>
    <w:rsid w:val="0C72525B"/>
    <w:rsid w:val="0C96145B"/>
    <w:rsid w:val="0CBC3BE7"/>
    <w:rsid w:val="0CBE46E5"/>
    <w:rsid w:val="0D040750"/>
    <w:rsid w:val="0D156991"/>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130C4"/>
    <w:rsid w:val="14347E1A"/>
    <w:rsid w:val="144249E3"/>
    <w:rsid w:val="146C6F48"/>
    <w:rsid w:val="14C916D8"/>
    <w:rsid w:val="14EF039A"/>
    <w:rsid w:val="14F03EE3"/>
    <w:rsid w:val="159C2AA3"/>
    <w:rsid w:val="15A13F9D"/>
    <w:rsid w:val="15A9411A"/>
    <w:rsid w:val="15CF03BA"/>
    <w:rsid w:val="15F32D11"/>
    <w:rsid w:val="16056AA8"/>
    <w:rsid w:val="16310E1E"/>
    <w:rsid w:val="169B6010"/>
    <w:rsid w:val="16AD27BB"/>
    <w:rsid w:val="16C15797"/>
    <w:rsid w:val="171470CF"/>
    <w:rsid w:val="17276DB1"/>
    <w:rsid w:val="175956CC"/>
    <w:rsid w:val="17DF3CE0"/>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C604EE"/>
    <w:rsid w:val="22F000F4"/>
    <w:rsid w:val="232C463A"/>
    <w:rsid w:val="2343188A"/>
    <w:rsid w:val="23753379"/>
    <w:rsid w:val="23BD489B"/>
    <w:rsid w:val="23E055AE"/>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A5499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4E27BE"/>
    <w:rsid w:val="2F8B41C5"/>
    <w:rsid w:val="2FAF1ED5"/>
    <w:rsid w:val="2FB8401E"/>
    <w:rsid w:val="2FD110DF"/>
    <w:rsid w:val="2FD95850"/>
    <w:rsid w:val="3009348A"/>
    <w:rsid w:val="31496CA7"/>
    <w:rsid w:val="316E6392"/>
    <w:rsid w:val="321D3020"/>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BD23EC"/>
    <w:rsid w:val="3AC337DD"/>
    <w:rsid w:val="3B490A10"/>
    <w:rsid w:val="3B864C9E"/>
    <w:rsid w:val="3B9260FC"/>
    <w:rsid w:val="3C1B4F26"/>
    <w:rsid w:val="3C4A1D69"/>
    <w:rsid w:val="3C964B49"/>
    <w:rsid w:val="3D18595F"/>
    <w:rsid w:val="3D817CF7"/>
    <w:rsid w:val="3DB54D85"/>
    <w:rsid w:val="3E4967FF"/>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BE1F7F"/>
    <w:rsid w:val="42F4328A"/>
    <w:rsid w:val="43431F3B"/>
    <w:rsid w:val="435C3439"/>
    <w:rsid w:val="43773A88"/>
    <w:rsid w:val="43784CFA"/>
    <w:rsid w:val="438D1DAF"/>
    <w:rsid w:val="439D3B2B"/>
    <w:rsid w:val="43A00300"/>
    <w:rsid w:val="44796D3B"/>
    <w:rsid w:val="44861074"/>
    <w:rsid w:val="44935E12"/>
    <w:rsid w:val="44A2656B"/>
    <w:rsid w:val="44B32765"/>
    <w:rsid w:val="450D6168"/>
    <w:rsid w:val="451F3201"/>
    <w:rsid w:val="452A026D"/>
    <w:rsid w:val="456816EF"/>
    <w:rsid w:val="459E2DC7"/>
    <w:rsid w:val="45BF73DE"/>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61873"/>
    <w:rsid w:val="4F3B3178"/>
    <w:rsid w:val="4F407689"/>
    <w:rsid w:val="4F971FE8"/>
    <w:rsid w:val="4FA72089"/>
    <w:rsid w:val="4FD83BD6"/>
    <w:rsid w:val="4FE305E6"/>
    <w:rsid w:val="50836E8D"/>
    <w:rsid w:val="50EE4F57"/>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4962B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3C6263"/>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8045EA"/>
    <w:rsid w:val="61D90439"/>
    <w:rsid w:val="61DB47E1"/>
    <w:rsid w:val="61DF2A10"/>
    <w:rsid w:val="62045801"/>
    <w:rsid w:val="627A29E2"/>
    <w:rsid w:val="62B631CD"/>
    <w:rsid w:val="62C21041"/>
    <w:rsid w:val="62CB2154"/>
    <w:rsid w:val="633C28F4"/>
    <w:rsid w:val="637C4BF3"/>
    <w:rsid w:val="638330D1"/>
    <w:rsid w:val="649164CF"/>
    <w:rsid w:val="65174EBB"/>
    <w:rsid w:val="65610CAB"/>
    <w:rsid w:val="658D448B"/>
    <w:rsid w:val="659869BD"/>
    <w:rsid w:val="65AF4A62"/>
    <w:rsid w:val="66456AEC"/>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B8269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2D2E0A"/>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6B3819"/>
    <w:rsid w:val="7C9469C9"/>
    <w:rsid w:val="7CDD3F85"/>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Body Text"/>
    <w:basedOn w:val="1"/>
    <w:next w:val="1"/>
    <w:link w:val="93"/>
    <w:semiHidden/>
    <w:unhideWhenUsed/>
    <w:qFormat/>
    <w:uiPriority w:val="99"/>
    <w:pPr>
      <w:spacing w:after="120"/>
    </w:pPr>
  </w:style>
  <w:style w:type="paragraph" w:styleId="7">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8">
    <w:name w:val="annotation text"/>
    <w:basedOn w:val="1"/>
    <w:link w:val="88"/>
    <w:unhideWhenUsed/>
    <w:qFormat/>
    <w:uiPriority w:val="99"/>
    <w:pPr>
      <w:jc w:val="left"/>
    </w:pPr>
    <w:rPr>
      <w:rFonts w:ascii="Times New Roman" w:hAnsi="Times New Roman" w:eastAsia="宋体" w:cs="Times New Roman"/>
      <w:szCs w:val="24"/>
    </w:r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8"/>
    <w:next w:val="8"/>
    <w:link w:val="35"/>
    <w:semiHidden/>
    <w:unhideWhenUsed/>
    <w:qFormat/>
    <w:uiPriority w:val="99"/>
    <w:rPr>
      <w:b/>
      <w:bCs/>
    </w:rPr>
  </w:style>
  <w:style w:type="paragraph" w:styleId="22">
    <w:name w:val="Body Text First Indent"/>
    <w:basedOn w:val="6"/>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3"/>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2"/>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4"/>
    <w:qFormat/>
    <w:uiPriority w:val="0"/>
    <w:rPr>
      <w:rFonts w:hint="default" w:ascii="Arial" w:hAnsi="Arial" w:eastAsia="黑体" w:cs="Arial"/>
      <w:b/>
      <w:bCs/>
      <w:kern w:val="2"/>
      <w:sz w:val="32"/>
      <w:szCs w:val="32"/>
    </w:rPr>
  </w:style>
  <w:style w:type="character" w:customStyle="1" w:styleId="88">
    <w:name w:val="批注文字 字符2"/>
    <w:basedOn w:val="26"/>
    <w:link w:val="8"/>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6"/>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修订2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134">
    <w:name w:val="网格型2"/>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默认"/>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TW" w:eastAsia="zh-TW" w:bidi="ar-SA"/>
    </w:rPr>
  </w:style>
  <w:style w:type="paragraph" w:customStyle="1" w:styleId="13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7904</Words>
  <Characters>8026</Characters>
  <Lines>224</Lines>
  <Paragraphs>222</Paragraphs>
  <TotalTime>10</TotalTime>
  <ScaleCrop>false</ScaleCrop>
  <LinksUpToDate>false</LinksUpToDate>
  <CharactersWithSpaces>8053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2025-04-23T10:30:00Z</dcterms:created>
  <dc:creator>云采链</dc:creator>
  <cp:lastModifiedBy>云采链</cp:lastModifiedBy>
  <cp:lastPrinted>2018-10-16T04:01:00Z</cp:lastPrinted>
  <dcterms:modified xsi:type="dcterms:W3CDTF">2025-05-21T04:03:15Z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6244199DBAB54A49A44C927DE98326CC_13</vt:lpwstr>
  </property>
  <property fmtid="{D5CDD505-2E9C-101B-9397-08002B2CF9AE}" pid="4" name="KSOTemplateDocerSaveRecord">
    <vt:lpwstr>eyJoZGlkIjoiNjllMTQ1N2NiYWJhNmE3MmJmNjczYjE3MmE0Mzc5ZDEiLCJ1c2VySWQiOiIyNzgxOTkwNjUifQ==</vt:lpwstr>
  </property>
</Properties>
</file>