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0770">
      <w:pPr>
        <w:jc w:val="center"/>
        <w:rPr>
          <w:rFonts w:ascii="方正小标宋简体" w:hAnsi="方正小标宋简体" w:eastAsia="方正小标宋简体" w:cs="方正小标宋简体"/>
          <w:sz w:val="96"/>
          <w:szCs w:val="96"/>
        </w:rPr>
      </w:pPr>
    </w:p>
    <w:p w14:paraId="7D49A2DD">
      <w:pPr>
        <w:jc w:val="center"/>
        <w:rPr>
          <w:rFonts w:ascii="方正小标宋简体" w:hAnsi="方正小标宋简体" w:eastAsia="方正小标宋简体" w:cs="方正小标宋简体"/>
          <w:sz w:val="96"/>
          <w:szCs w:val="96"/>
        </w:rPr>
      </w:pPr>
    </w:p>
    <w:p w14:paraId="131A3D46">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合 同 书</w:t>
      </w:r>
    </w:p>
    <w:p w14:paraId="1AEDC8E3">
      <w:pPr>
        <w:rPr>
          <w:rFonts w:ascii="宋体" w:hAnsi="宋体" w:eastAsia="宋体" w:cs="Times New Roman"/>
          <w:lang w:val="zh-CN"/>
        </w:rPr>
      </w:pPr>
    </w:p>
    <w:p w14:paraId="56AFED94">
      <w:pPr>
        <w:rPr>
          <w:rFonts w:ascii="宋体" w:hAnsi="宋体" w:eastAsia="宋体" w:cs="Times New Roman"/>
          <w:lang w:val="zh-CN"/>
        </w:rPr>
      </w:pPr>
    </w:p>
    <w:p w14:paraId="0CC4537E">
      <w:pPr>
        <w:rPr>
          <w:rFonts w:ascii="宋体" w:hAnsi="宋体" w:eastAsia="宋体" w:cs="Times New Roman"/>
          <w:lang w:val="zh-CN"/>
        </w:rPr>
      </w:pPr>
    </w:p>
    <w:p w14:paraId="7939F909">
      <w:pPr>
        <w:rPr>
          <w:rFonts w:ascii="宋体" w:hAnsi="宋体" w:eastAsia="宋体" w:cs="Times New Roman"/>
          <w:lang w:val="zh-CN"/>
        </w:rPr>
      </w:pPr>
    </w:p>
    <w:p w14:paraId="48DFD404">
      <w:pPr>
        <w:rPr>
          <w:rFonts w:ascii="宋体" w:hAnsi="宋体" w:eastAsia="宋体" w:cs="Times New Roman"/>
          <w:lang w:val="zh-CN"/>
        </w:rPr>
      </w:pPr>
    </w:p>
    <w:p w14:paraId="3418F7EB">
      <w:pPr>
        <w:rPr>
          <w:rFonts w:ascii="宋体" w:hAnsi="宋体" w:eastAsia="宋体" w:cs="Times New Roman"/>
          <w:lang w:val="zh-CN"/>
        </w:rPr>
      </w:pPr>
    </w:p>
    <w:p w14:paraId="311FCA08">
      <w:pPr>
        <w:rPr>
          <w:rFonts w:ascii="宋体" w:hAnsi="宋体" w:eastAsia="宋体" w:cs="Times New Roman"/>
          <w:lang w:val="zh-CN"/>
        </w:rPr>
      </w:pPr>
    </w:p>
    <w:p w14:paraId="6EC17BF9">
      <w:pPr>
        <w:rPr>
          <w:rFonts w:ascii="宋体" w:hAnsi="宋体" w:eastAsia="宋体" w:cs="Times New Roman"/>
          <w:lang w:val="zh-CN"/>
        </w:rPr>
      </w:pPr>
    </w:p>
    <w:p w14:paraId="6A3DDBA1">
      <w:pPr>
        <w:rPr>
          <w:rFonts w:ascii="宋体" w:hAnsi="宋体" w:eastAsia="宋体" w:cs="Times New Roman"/>
          <w:lang w:val="zh-CN"/>
        </w:rPr>
      </w:pPr>
    </w:p>
    <w:p w14:paraId="2BE81070">
      <w:pPr>
        <w:rPr>
          <w:rFonts w:ascii="宋体" w:hAnsi="宋体" w:eastAsia="宋体" w:cs="Times New Roman"/>
          <w:lang w:val="zh-CN"/>
        </w:rPr>
      </w:pPr>
    </w:p>
    <w:p w14:paraId="7E005ABD">
      <w:pPr>
        <w:rPr>
          <w:rFonts w:ascii="宋体" w:hAnsi="宋体" w:eastAsia="宋体" w:cs="Times New Roman"/>
          <w:lang w:val="zh-CN"/>
        </w:rPr>
      </w:pPr>
    </w:p>
    <w:p w14:paraId="2BCF2E76">
      <w:pPr>
        <w:rPr>
          <w:rFonts w:ascii="宋体" w:hAnsi="宋体" w:eastAsia="宋体" w:cs="Times New Roman"/>
          <w:lang w:val="zh-CN"/>
        </w:rPr>
      </w:pPr>
    </w:p>
    <w:p w14:paraId="418C4932">
      <w:pPr>
        <w:rPr>
          <w:rFonts w:ascii="宋体" w:hAnsi="宋体" w:eastAsia="宋体" w:cs="Times New Roman"/>
          <w:lang w:val="zh-CN"/>
        </w:rPr>
      </w:pPr>
    </w:p>
    <w:p w14:paraId="08221BAB">
      <w:pPr>
        <w:rPr>
          <w:rFonts w:ascii="宋体" w:hAnsi="宋体" w:eastAsia="宋体" w:cs="Times New Roman"/>
          <w:lang w:val="zh-CN"/>
        </w:rPr>
      </w:pPr>
    </w:p>
    <w:p w14:paraId="5011B066">
      <w:pPr>
        <w:rPr>
          <w:rFonts w:ascii="宋体" w:hAnsi="宋体" w:eastAsia="宋体" w:cs="Times New Roman"/>
          <w:lang w:val="zh-CN"/>
        </w:rPr>
      </w:pPr>
    </w:p>
    <w:p w14:paraId="6DF13BD9">
      <w:pPr>
        <w:rPr>
          <w:rFonts w:ascii="宋体" w:hAnsi="宋体" w:eastAsia="宋体" w:cs="Times New Roman"/>
          <w:lang w:val="zh-CN"/>
        </w:rPr>
      </w:pPr>
    </w:p>
    <w:p w14:paraId="79995FEF">
      <w:pPr>
        <w:rPr>
          <w:rFonts w:ascii="宋体" w:hAnsi="宋体" w:eastAsia="宋体" w:cs="Times New Roman"/>
          <w:lang w:val="zh-CN"/>
        </w:rPr>
      </w:pPr>
    </w:p>
    <w:p w14:paraId="4F8158A6">
      <w:pPr>
        <w:rPr>
          <w:rFonts w:ascii="宋体" w:hAnsi="宋体" w:eastAsia="宋体" w:cs="Times New Roman"/>
          <w:lang w:val="zh-CN"/>
        </w:rPr>
      </w:pPr>
    </w:p>
    <w:p w14:paraId="580DC692">
      <w:pPr>
        <w:ind w:firstLine="1400" w:firstLineChars="500"/>
        <w:jc w:val="left"/>
        <w:rPr>
          <w:rFonts w:hint="eastAsia" w:ascii="宋体" w:hAnsi="宋体" w:eastAsia="宋体" w:cs="Times New Roman"/>
          <w:sz w:val="28"/>
          <w:szCs w:val="32"/>
          <w:u w:val="single"/>
        </w:rPr>
      </w:pPr>
      <w:r>
        <w:rPr>
          <w:rFonts w:hint="eastAsia" w:ascii="宋体" w:hAnsi="宋体" w:eastAsia="宋体" w:cs="Times New Roman"/>
          <w:sz w:val="28"/>
          <w:szCs w:val="32"/>
        </w:rPr>
        <w:t>采购方：</w:t>
      </w:r>
      <w:r>
        <w:rPr>
          <w:rFonts w:hint="eastAsia" w:ascii="宋体" w:hAnsi="宋体" w:eastAsia="宋体" w:cs="Times New Roman"/>
          <w:sz w:val="28"/>
          <w:szCs w:val="32"/>
          <w:u w:val="single"/>
        </w:rPr>
        <w:t xml:space="preserve">     广东省肇庆监狱(下称“甲方”）    </w:t>
      </w:r>
    </w:p>
    <w:p w14:paraId="7D765872">
      <w:pPr>
        <w:ind w:firstLine="1400" w:firstLineChars="500"/>
        <w:jc w:val="left"/>
        <w:rPr>
          <w:rFonts w:hint="default" w:eastAsia="宋体"/>
          <w:lang w:val="en-US" w:eastAsia="zh-CN"/>
        </w:rPr>
      </w:pPr>
      <w:r>
        <w:rPr>
          <w:rFonts w:hint="eastAsia" w:ascii="宋体" w:hAnsi="宋体" w:eastAsia="宋体" w:cs="Times New Roman"/>
          <w:sz w:val="28"/>
          <w:szCs w:val="32"/>
        </w:rPr>
        <w:t>供货方</w:t>
      </w:r>
      <w:r>
        <w:rPr>
          <w:rFonts w:hint="eastAsia" w:ascii="宋体" w:hAnsi="宋体" w:eastAsia="宋体" w:cs="Times New Roman"/>
          <w:sz w:val="28"/>
          <w:szCs w:val="32"/>
          <w:lang w:eastAsia="zh-CN"/>
        </w:rPr>
        <w:t>：</w:t>
      </w:r>
      <w:r>
        <w:rPr>
          <w:rFonts w:hint="eastAsia" w:ascii="宋体" w:hAnsi="宋体" w:eastAsia="宋体" w:cs="Times New Roman"/>
          <w:sz w:val="28"/>
          <w:szCs w:val="32"/>
          <w:u w:val="single"/>
          <w:lang w:val="en-US" w:eastAsia="zh-CN"/>
        </w:rPr>
        <w:t xml:space="preserve">                                     </w:t>
      </w:r>
    </w:p>
    <w:p w14:paraId="618FD994">
      <w:pPr>
        <w:ind w:firstLine="1400" w:firstLineChars="500"/>
        <w:jc w:val="left"/>
        <w:rPr>
          <w:rFonts w:hint="default" w:ascii="宋体" w:hAnsi="宋体" w:eastAsia="宋体" w:cs="Times New Roman"/>
          <w:sz w:val="28"/>
          <w:szCs w:val="32"/>
          <w:lang w:val="en-US" w:eastAsia="zh-CN"/>
        </w:rPr>
      </w:pPr>
      <w:r>
        <w:rPr>
          <w:rFonts w:hint="eastAsia" w:ascii="宋体" w:hAnsi="宋体" w:eastAsia="宋体" w:cs="Times New Roman"/>
          <w:sz w:val="28"/>
          <w:szCs w:val="32"/>
        </w:rPr>
        <w:t>签订地点:</w:t>
      </w:r>
      <w:r>
        <w:rPr>
          <w:rFonts w:hint="eastAsia" w:ascii="宋体" w:hAnsi="宋体" w:eastAsia="宋体" w:cs="Times New Roman"/>
          <w:sz w:val="28"/>
          <w:szCs w:val="32"/>
          <w:u w:val="single"/>
          <w:lang w:val="en-US" w:eastAsia="zh-CN"/>
        </w:rPr>
        <w:t xml:space="preserve">          广东省四会市              </w:t>
      </w:r>
    </w:p>
    <w:p w14:paraId="091CE0FE">
      <w:pPr>
        <w:rPr>
          <w:rFonts w:ascii="宋体" w:hAnsi="宋体" w:eastAsia="宋体" w:cs="Times New Roman"/>
        </w:rPr>
      </w:pPr>
    </w:p>
    <w:p w14:paraId="0DED5047">
      <w:pPr>
        <w:rPr>
          <w:rFonts w:ascii="宋体" w:hAnsi="宋体" w:eastAsia="宋体" w:cs="Times New Roman"/>
          <w:lang w:val="zh-CN"/>
        </w:rPr>
      </w:pPr>
    </w:p>
    <w:p w14:paraId="1691895C">
      <w:pPr>
        <w:rPr>
          <w:rFonts w:ascii="宋体" w:hAnsi="宋体" w:eastAsia="宋体" w:cs="Times New Roman"/>
          <w:lang w:val="zh-CN"/>
        </w:rPr>
      </w:pPr>
    </w:p>
    <w:p w14:paraId="08EDF446">
      <w:pPr>
        <w:rPr>
          <w:rFonts w:ascii="宋体" w:hAnsi="宋体" w:eastAsia="宋体" w:cs="Times New Roman"/>
          <w:lang w:val="zh-CN"/>
        </w:rPr>
      </w:pPr>
    </w:p>
    <w:p w14:paraId="19E979B6">
      <w:pPr>
        <w:rPr>
          <w:rFonts w:ascii="宋体" w:hAnsi="宋体" w:eastAsia="宋体" w:cs="Times New Roman"/>
          <w:lang w:val="zh-CN"/>
        </w:rPr>
      </w:pPr>
    </w:p>
    <w:p w14:paraId="32BD6531">
      <w:pPr>
        <w:tabs>
          <w:tab w:val="left" w:pos="567"/>
        </w:tabs>
        <w:adjustRightInd w:val="0"/>
        <w:snapToGrid w:val="0"/>
        <w:spacing w:line="360" w:lineRule="auto"/>
        <w:ind w:firstLine="420" w:firstLineChars="200"/>
        <w:textAlignment w:val="baseline"/>
        <w:rPr>
          <w:rFonts w:ascii="宋体" w:hAnsi="宋体" w:eastAsia="宋体" w:cs="Times New Roman"/>
          <w:szCs w:val="21"/>
          <w:lang w:eastAsia="zh-TW"/>
        </w:rPr>
      </w:pPr>
      <w:r>
        <w:rPr>
          <w:rFonts w:hint="eastAsia" w:ascii="宋体" w:hAnsi="宋体" w:eastAsia="宋体" w:cs="Times New Roman"/>
          <w:szCs w:val="21"/>
          <w:lang w:eastAsia="zh-TW"/>
        </w:rPr>
        <w:t>甲乙双方按照《中华人民共和国民法典》的规定，经双方协商，本着平等互利和诚实信用的原则，一致同意签订本合同。</w:t>
      </w:r>
    </w:p>
    <w:p w14:paraId="7EB8EB93"/>
    <w:p w14:paraId="1E83489D">
      <w:pPr>
        <w:numPr>
          <w:ilvl w:val="0"/>
          <w:numId w:val="1"/>
        </w:numPr>
        <w:ind w:left="-420" w:firstLine="420"/>
        <w:outlineLvl w:val="1"/>
        <w:rPr>
          <w:rFonts w:ascii="宋体" w:hAnsi="宋体" w:eastAsia="宋体"/>
          <w:b/>
          <w:bCs/>
          <w:szCs w:val="21"/>
        </w:rPr>
      </w:pPr>
      <w:r>
        <w:rPr>
          <w:rFonts w:hint="eastAsia" w:ascii="宋体" w:hAnsi="宋体" w:eastAsia="宋体"/>
          <w:b/>
          <w:bCs/>
          <w:szCs w:val="21"/>
        </w:rPr>
        <w:t>项目一览表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1081"/>
        <w:gridCol w:w="2455"/>
        <w:gridCol w:w="2132"/>
      </w:tblGrid>
      <w:tr w14:paraId="245C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74" w:type="pct"/>
            <w:vAlign w:val="center"/>
          </w:tcPr>
          <w:p w14:paraId="12A23A0E">
            <w:pPr>
              <w:jc w:val="center"/>
            </w:pPr>
            <w:r>
              <w:rPr>
                <w:rFonts w:hint="eastAsia" w:ascii="宋体" w:hAnsi="宋体" w:eastAsia="宋体"/>
                <w:b/>
                <w:szCs w:val="21"/>
              </w:rPr>
              <w:t>项目名称</w:t>
            </w:r>
          </w:p>
        </w:tc>
        <w:tc>
          <w:tcPr>
            <w:tcW w:w="634" w:type="pct"/>
            <w:vAlign w:val="center"/>
          </w:tcPr>
          <w:p w14:paraId="0991257B">
            <w:pPr>
              <w:jc w:val="center"/>
            </w:pPr>
            <w:r>
              <w:rPr>
                <w:rFonts w:hint="eastAsia" w:ascii="宋体" w:hAnsi="宋体" w:eastAsia="宋体"/>
                <w:b/>
                <w:szCs w:val="21"/>
              </w:rPr>
              <w:t>数量</w:t>
            </w:r>
          </w:p>
        </w:tc>
        <w:tc>
          <w:tcPr>
            <w:tcW w:w="1440" w:type="pct"/>
            <w:vAlign w:val="center"/>
          </w:tcPr>
          <w:p w14:paraId="3C98BFE8">
            <w:pPr>
              <w:jc w:val="center"/>
            </w:pPr>
            <w:r>
              <w:rPr>
                <w:rFonts w:hint="eastAsia" w:ascii="宋体" w:hAnsi="宋体" w:eastAsia="宋体"/>
                <w:b/>
                <w:szCs w:val="21"/>
              </w:rPr>
              <w:t>交货期</w:t>
            </w:r>
          </w:p>
        </w:tc>
        <w:tc>
          <w:tcPr>
            <w:tcW w:w="1250" w:type="pct"/>
            <w:vAlign w:val="center"/>
          </w:tcPr>
          <w:p w14:paraId="53310275">
            <w:pPr>
              <w:jc w:val="center"/>
            </w:pPr>
            <w:r>
              <w:rPr>
                <w:rFonts w:hint="eastAsia" w:ascii="宋体" w:hAnsi="宋体" w:eastAsia="宋体"/>
                <w:b/>
              </w:rPr>
              <w:t>合同金额</w:t>
            </w:r>
          </w:p>
        </w:tc>
      </w:tr>
      <w:tr w14:paraId="6DC3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pct"/>
            <w:vAlign w:val="center"/>
          </w:tcPr>
          <w:p w14:paraId="6EDB2380">
            <w:pPr>
              <w:spacing w:line="360" w:lineRule="auto"/>
              <w:jc w:val="center"/>
            </w:pPr>
            <w:r>
              <w:rPr>
                <w:rFonts w:hint="eastAsia"/>
              </w:rPr>
              <w:t>广东省肇庆监狱监区</w:t>
            </w:r>
            <w:r>
              <w:rPr>
                <w:rFonts w:hint="eastAsia"/>
                <w:lang w:val="en-US" w:eastAsia="zh-CN"/>
              </w:rPr>
              <w:t>墙面铝扣板安装</w:t>
            </w:r>
            <w:r>
              <w:rPr>
                <w:rFonts w:hint="eastAsia"/>
              </w:rPr>
              <w:t>项目</w:t>
            </w:r>
          </w:p>
        </w:tc>
        <w:tc>
          <w:tcPr>
            <w:tcW w:w="634" w:type="pct"/>
            <w:vAlign w:val="center"/>
          </w:tcPr>
          <w:p w14:paraId="799D81F3">
            <w:pPr>
              <w:spacing w:line="360" w:lineRule="auto"/>
              <w:jc w:val="center"/>
            </w:pPr>
            <w:r>
              <w:rPr>
                <w:rFonts w:hint="eastAsia" w:ascii="宋体" w:hAnsi="宋体" w:eastAsia="宋体" w:cs="宋体"/>
                <w:color w:val="000000" w:themeColor="text1"/>
                <w:szCs w:val="21"/>
                <w14:textFill>
                  <w14:solidFill>
                    <w14:schemeClr w14:val="tx1"/>
                  </w14:solidFill>
                </w14:textFill>
              </w:rPr>
              <w:t>1批</w:t>
            </w:r>
          </w:p>
        </w:tc>
        <w:tc>
          <w:tcPr>
            <w:tcW w:w="1440" w:type="pct"/>
            <w:vAlign w:val="center"/>
          </w:tcPr>
          <w:p w14:paraId="4E68A38A">
            <w:pPr>
              <w:keepNext/>
              <w:adjustRightInd w:val="0"/>
              <w:jc w:val="center"/>
              <w:textAlignment w:val="center"/>
            </w:pPr>
            <w:r>
              <w:rPr>
                <w:rFonts w:hint="eastAsia" w:ascii="宋体" w:hAnsi="宋体" w:eastAsia="宋体" w:cstheme="minorEastAsia"/>
                <w:kern w:val="0"/>
                <w:szCs w:val="21"/>
                <w:lang w:bidi="ar"/>
              </w:rPr>
              <w:t>自签订合同后</w:t>
            </w:r>
            <w:r>
              <w:rPr>
                <w:rFonts w:hint="eastAsia" w:ascii="宋体" w:hAnsi="宋体" w:eastAsia="宋体" w:cstheme="minorEastAsia"/>
                <w:kern w:val="0"/>
                <w:szCs w:val="21"/>
                <w:lang w:val="en-US" w:eastAsia="zh-CN" w:bidi="ar"/>
              </w:rPr>
              <w:t>10</w:t>
            </w:r>
            <w:r>
              <w:rPr>
                <w:rFonts w:hint="eastAsia" w:ascii="宋体" w:hAnsi="宋体" w:eastAsia="宋体" w:cstheme="minorEastAsia"/>
                <w:kern w:val="0"/>
                <w:szCs w:val="21"/>
                <w:lang w:bidi="ar"/>
              </w:rPr>
              <w:t>个工作日内</w:t>
            </w:r>
          </w:p>
        </w:tc>
        <w:tc>
          <w:tcPr>
            <w:tcW w:w="1250" w:type="pct"/>
            <w:vAlign w:val="center"/>
          </w:tcPr>
          <w:p w14:paraId="1153572D">
            <w:pPr>
              <w:spacing w:line="360" w:lineRule="auto"/>
              <w:jc w:val="cente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tc>
      </w:tr>
    </w:tbl>
    <w:p w14:paraId="6A1DD0AC">
      <w:pPr>
        <w:rPr>
          <w:rFonts w:ascii="宋体" w:hAnsi="宋体" w:eastAsia="宋体"/>
          <w:b/>
          <w:bCs/>
          <w:szCs w:val="21"/>
        </w:rPr>
      </w:pPr>
    </w:p>
    <w:p w14:paraId="6D02A3DA">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项目采购清单</w:t>
      </w:r>
    </w:p>
    <w:tbl>
      <w:tblPr>
        <w:tblStyle w:val="14"/>
        <w:tblW w:w="4998" w:type="pct"/>
        <w:jc w:val="center"/>
        <w:tblLayout w:type="autofit"/>
        <w:tblCellMar>
          <w:top w:w="0" w:type="dxa"/>
          <w:left w:w="0" w:type="dxa"/>
          <w:bottom w:w="0" w:type="dxa"/>
          <w:right w:w="0" w:type="dxa"/>
        </w:tblCellMar>
      </w:tblPr>
      <w:tblGrid>
        <w:gridCol w:w="708"/>
        <w:gridCol w:w="1044"/>
        <w:gridCol w:w="3613"/>
        <w:gridCol w:w="692"/>
        <w:gridCol w:w="844"/>
        <w:gridCol w:w="1432"/>
      </w:tblGrid>
      <w:tr w14:paraId="7D2A1090">
        <w:tblPrEx>
          <w:tblCellMar>
            <w:top w:w="0" w:type="dxa"/>
            <w:left w:w="0" w:type="dxa"/>
            <w:bottom w:w="0" w:type="dxa"/>
            <w:right w:w="0" w:type="dxa"/>
          </w:tblCellMar>
        </w:tblPrEx>
        <w:trPr>
          <w:trHeight w:val="600" w:hRule="atLeast"/>
          <w:jc w:val="center"/>
        </w:trPr>
        <w:tc>
          <w:tcPr>
            <w:tcW w:w="42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AB7249">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62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AEACD9">
            <w:pPr>
              <w:spacing w:line="360" w:lineRule="auto"/>
              <w:jc w:val="center"/>
              <w:rPr>
                <w:rFonts w:hint="eastAsia" w:ascii="宋体" w:hAnsi="宋体" w:eastAsia="宋体" w:cs="宋体"/>
                <w:b/>
                <w:szCs w:val="21"/>
              </w:rPr>
            </w:pPr>
            <w:r>
              <w:rPr>
                <w:rFonts w:hint="eastAsia" w:ascii="宋体" w:hAnsi="宋体" w:eastAsia="宋体" w:cs="宋体"/>
                <w:b/>
                <w:szCs w:val="21"/>
              </w:rPr>
              <w:t>项目内容</w:t>
            </w:r>
          </w:p>
        </w:tc>
        <w:tc>
          <w:tcPr>
            <w:tcW w:w="21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C504F7">
            <w:pPr>
              <w:spacing w:line="360" w:lineRule="auto"/>
              <w:jc w:val="center"/>
              <w:rPr>
                <w:rFonts w:hint="eastAsia" w:ascii="宋体" w:hAnsi="宋体" w:eastAsia="宋体" w:cs="宋体"/>
                <w:b/>
                <w:szCs w:val="21"/>
              </w:rPr>
            </w:pPr>
            <w:r>
              <w:rPr>
                <w:rFonts w:hint="eastAsia" w:ascii="宋体" w:hAnsi="宋体" w:eastAsia="宋体" w:cs="宋体"/>
                <w:b/>
                <w:szCs w:val="21"/>
              </w:rPr>
              <w:t>项目特征</w:t>
            </w:r>
          </w:p>
        </w:tc>
        <w:tc>
          <w:tcPr>
            <w:tcW w:w="41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0C7C47">
            <w:pPr>
              <w:spacing w:line="360" w:lineRule="auto"/>
              <w:jc w:val="center"/>
              <w:rPr>
                <w:rFonts w:hint="eastAsia" w:ascii="宋体" w:hAnsi="宋体" w:eastAsia="宋体" w:cs="宋体"/>
                <w:b/>
                <w:szCs w:val="21"/>
              </w:rPr>
            </w:pPr>
            <w:r>
              <w:rPr>
                <w:rFonts w:hint="eastAsia" w:ascii="宋体" w:hAnsi="宋体" w:eastAsia="宋体" w:cs="宋体"/>
                <w:b/>
                <w:szCs w:val="21"/>
              </w:rPr>
              <w:t>数量</w:t>
            </w:r>
          </w:p>
        </w:tc>
        <w:tc>
          <w:tcPr>
            <w:tcW w:w="50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6E2562">
            <w:pPr>
              <w:spacing w:line="360" w:lineRule="auto"/>
              <w:jc w:val="center"/>
              <w:rPr>
                <w:rFonts w:hint="eastAsia" w:ascii="宋体" w:hAnsi="宋体" w:eastAsia="宋体" w:cs="宋体"/>
                <w:b/>
                <w:szCs w:val="21"/>
              </w:rPr>
            </w:pPr>
            <w:r>
              <w:rPr>
                <w:rFonts w:hint="eastAsia" w:ascii="宋体" w:hAnsi="宋体" w:eastAsia="宋体" w:cs="宋体"/>
                <w:b/>
                <w:szCs w:val="21"/>
              </w:rPr>
              <w:t>单位</w:t>
            </w:r>
          </w:p>
        </w:tc>
        <w:tc>
          <w:tcPr>
            <w:tcW w:w="85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58B9B2">
            <w:pPr>
              <w:spacing w:line="360" w:lineRule="auto"/>
              <w:jc w:val="center"/>
              <w:rPr>
                <w:rFonts w:hint="eastAsia" w:ascii="宋体" w:hAnsi="宋体" w:eastAsia="宋体" w:cs="宋体"/>
                <w:b/>
                <w:szCs w:val="21"/>
              </w:rPr>
            </w:pPr>
            <w:r>
              <w:rPr>
                <w:rFonts w:hint="eastAsia" w:ascii="宋体" w:hAnsi="宋体" w:eastAsia="宋体" w:cs="宋体"/>
                <w:b/>
                <w:szCs w:val="21"/>
              </w:rPr>
              <w:t>结算单价（元）</w:t>
            </w:r>
          </w:p>
        </w:tc>
      </w:tr>
      <w:tr w14:paraId="545461AB">
        <w:tblPrEx>
          <w:tblCellMar>
            <w:top w:w="0" w:type="dxa"/>
            <w:left w:w="0" w:type="dxa"/>
            <w:bottom w:w="0" w:type="dxa"/>
            <w:right w:w="0" w:type="dxa"/>
          </w:tblCellMar>
        </w:tblPrEx>
        <w:trPr>
          <w:trHeight w:val="120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3D07">
            <w:pPr>
              <w:jc w:val="center"/>
              <w:rPr>
                <w:rFonts w:hint="eastAsia" w:ascii="宋体" w:hAnsi="宋体" w:eastAsia="宋体" w:cs="宋体"/>
                <w:szCs w:val="21"/>
              </w:rPr>
            </w:pPr>
            <w:r>
              <w:rPr>
                <w:rFonts w:hint="eastAsia" w:ascii="宋体" w:hAnsi="宋体" w:eastAsia="宋体" w:cs="宋体"/>
                <w:szCs w:val="21"/>
                <w:lang w:bidi="ar"/>
              </w:rPr>
              <w:t>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320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铝扣板（蜂窝spc护墙板）</w:t>
            </w:r>
          </w:p>
        </w:tc>
        <w:tc>
          <w:tcPr>
            <w:tcW w:w="21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8D69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1.采用优质铝材。</w:t>
            </w:r>
          </w:p>
          <w:p w14:paraId="665EC991">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2.烤漆涂层（如有）需均匀、厚实，涂层厚度在30-50微米，任何材质均应具有良好的耐候性、耐腐蚀性，抗油污，具有良好的防水性能。</w:t>
            </w:r>
          </w:p>
          <w:p w14:paraId="6065687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3.蜂窝spc墙板，整体厚度8mm以上，正面板壁为厚1.5mm以上的spc材质板，哑光，铝蜂窝芯密度3mm*4mm</w:t>
            </w:r>
          </w:p>
          <w:p w14:paraId="0FFB6A1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4.具有良好的柔韧性，不轻易断裂。</w:t>
            </w:r>
          </w:p>
          <w:p w14:paraId="4A7E6F4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5.一套尺寸：8000mm*4000mm。</w:t>
            </w:r>
          </w:p>
          <w:p w14:paraId="630106A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6.一套护墙板需以不多于8块的板材拼接。</w:t>
            </w:r>
          </w:p>
          <w:p w14:paraId="10BD705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7.板材之间接缝处应当采用与板材颜色相近的“三棵树”品牌结构胶进行覆盖填充</w:t>
            </w:r>
            <w:r>
              <w:rPr>
                <w:rFonts w:hint="eastAsia" w:ascii="宋体" w:hAnsi="宋体" w:eastAsia="宋体" w:cs="宋体"/>
                <w:szCs w:val="21"/>
              </w:rPr>
              <w:t>（待安装的墙面为普通白墙，按照一般白墙的颜色确定板材颜色，结构胶颜色与板材相近）</w:t>
            </w:r>
            <w:r>
              <w:rPr>
                <w:rFonts w:hint="eastAsia" w:ascii="宋体" w:hAnsi="宋体" w:eastAsia="宋体" w:cs="宋体"/>
                <w:szCs w:val="21"/>
                <w:lang w:val="en-US" w:eastAsia="zh-CN"/>
              </w:rPr>
              <w:t>。固定板材的钉子及其他配件均应当为不锈钢材质。</w:t>
            </w:r>
          </w:p>
          <w:p w14:paraId="3802A0C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8.板材正面颜色应当与普通白色墙面接近且为哑光。</w:t>
            </w:r>
          </w:p>
          <w:p w14:paraId="0C5469C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9.包安装，并根据每个区域实际情况需现场进行切割。</w:t>
            </w:r>
          </w:p>
          <w:p w14:paraId="6F39E45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szCs w:val="21"/>
              </w:rPr>
            </w:pPr>
            <w:r>
              <w:rPr>
                <w:rFonts w:hint="eastAsia" w:ascii="宋体" w:hAnsi="宋体" w:eastAsia="宋体" w:cs="宋体"/>
                <w:szCs w:val="21"/>
                <w:lang w:val="en-US" w:eastAsia="zh-CN"/>
              </w:rPr>
              <w:t>10.需将墙体现有的宣传内容拆下，待安装铝扣板后将宣传内容装回对应位置。若有开关或插板在安装位置，需要先拆除，后在铝扣板对应位置开孔并安装回开关或插座并确保安全、正常使用。</w:t>
            </w:r>
          </w:p>
        </w:tc>
        <w:tc>
          <w:tcPr>
            <w:tcW w:w="4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10263">
            <w:pPr>
              <w:keepNext w:val="0"/>
              <w:keepLines w:val="0"/>
              <w:widowControl/>
              <w:suppressLineNumbers w:val="0"/>
              <w:ind w:left="0" w:leftChars="0" w:firstLine="0" w:firstLineChars="0"/>
              <w:jc w:val="center"/>
              <w:textAlignment w:val="center"/>
              <w:rPr>
                <w:rFonts w:hint="eastAsia" w:ascii="宋体" w:hAnsi="宋体" w:eastAsia="宋体" w:cs="宋体"/>
                <w:szCs w:val="21"/>
                <w:lang w:val="en-US"/>
              </w:rPr>
            </w:pPr>
            <w:r>
              <w:rPr>
                <w:rFonts w:hint="eastAsia" w:ascii="宋体" w:hAnsi="宋体" w:eastAsia="宋体" w:cs="宋体"/>
                <w:i w:val="0"/>
                <w:iCs w:val="0"/>
                <w:color w:val="000000"/>
                <w:kern w:val="0"/>
                <w:sz w:val="21"/>
                <w:szCs w:val="21"/>
                <w:u w:val="none"/>
                <w:lang w:val="en-US" w:eastAsia="zh-CN" w:bidi="ar"/>
              </w:rPr>
              <w:t>500</w:t>
            </w:r>
          </w:p>
        </w:tc>
        <w:tc>
          <w:tcPr>
            <w:tcW w:w="5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67F2B">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平方米</w:t>
            </w:r>
          </w:p>
        </w:tc>
        <w:tc>
          <w:tcPr>
            <w:tcW w:w="8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A02CA">
            <w:pPr>
              <w:rPr>
                <w:rFonts w:hint="eastAsia" w:ascii="宋体" w:hAnsi="宋体" w:eastAsia="宋体" w:cs="宋体"/>
                <w:szCs w:val="21"/>
                <w:lang w:val="en-US" w:eastAsia="zh-CN"/>
              </w:rPr>
            </w:pPr>
          </w:p>
        </w:tc>
      </w:tr>
    </w:tbl>
    <w:p w14:paraId="07737D2C">
      <w:pPr>
        <w:numPr>
          <w:ilvl w:val="0"/>
          <w:numId w:val="0"/>
        </w:numPr>
        <w:rPr>
          <w:rFonts w:hint="eastAsia" w:ascii="宋体" w:hAnsi="宋体" w:eastAsia="宋体"/>
          <w:b/>
          <w:bCs/>
          <w:szCs w:val="21"/>
          <w:lang w:val="en-US" w:eastAsia="zh-CN"/>
        </w:rPr>
      </w:pPr>
    </w:p>
    <w:p w14:paraId="714CDA1B">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参数要求</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39"/>
        <w:gridCol w:w="3716"/>
        <w:gridCol w:w="3336"/>
      </w:tblGrid>
      <w:tr w14:paraId="6FFC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3" w:type="pct"/>
            <w:vAlign w:val="center"/>
          </w:tcPr>
          <w:p w14:paraId="2A496782">
            <w:pPr>
              <w:spacing w:line="360" w:lineRule="auto"/>
              <w:jc w:val="center"/>
              <w:rPr>
                <w:rFonts w:ascii="Calibri" w:hAnsi="Calibri" w:eastAsia="宋体" w:cs="Times New Roman"/>
                <w:b/>
                <w:szCs w:val="21"/>
              </w:rPr>
            </w:pPr>
            <w:r>
              <w:rPr>
                <w:rFonts w:hint="eastAsia" w:ascii="宋体" w:hAnsi="宋体" w:eastAsia="宋体" w:cs="Times New Roman"/>
                <w:b/>
                <w:szCs w:val="21"/>
              </w:rPr>
              <w:t>序号</w:t>
            </w:r>
          </w:p>
        </w:tc>
        <w:tc>
          <w:tcPr>
            <w:tcW w:w="559" w:type="pct"/>
            <w:vAlign w:val="center"/>
          </w:tcPr>
          <w:p w14:paraId="25B2EB79">
            <w:pPr>
              <w:spacing w:line="360" w:lineRule="auto"/>
              <w:jc w:val="center"/>
              <w:rPr>
                <w:rFonts w:ascii="宋体" w:hAnsi="宋体" w:eastAsia="宋体" w:cs="Times New Roman"/>
                <w:b/>
                <w:szCs w:val="21"/>
              </w:rPr>
            </w:pPr>
            <w:r>
              <w:rPr>
                <w:rFonts w:hint="eastAsia" w:ascii="宋体" w:hAnsi="宋体" w:eastAsia="宋体" w:cs="Times New Roman"/>
                <w:b/>
                <w:szCs w:val="21"/>
              </w:rPr>
              <w:t>项目内容</w:t>
            </w:r>
          </w:p>
        </w:tc>
        <w:tc>
          <w:tcPr>
            <w:tcW w:w="2306" w:type="pct"/>
            <w:vAlign w:val="center"/>
          </w:tcPr>
          <w:p w14:paraId="606A57AF">
            <w:pPr>
              <w:spacing w:line="360" w:lineRule="auto"/>
              <w:jc w:val="center"/>
              <w:rPr>
                <w:rFonts w:ascii="Calibri" w:hAnsi="Calibri" w:eastAsia="宋体" w:cs="Times New Roman"/>
                <w:b/>
                <w:szCs w:val="21"/>
              </w:rPr>
            </w:pPr>
            <w:r>
              <w:rPr>
                <w:rFonts w:hint="eastAsia" w:ascii="宋体" w:hAnsi="宋体" w:eastAsia="宋体" w:cs="Times New Roman"/>
                <w:b/>
                <w:szCs w:val="21"/>
              </w:rPr>
              <w:t>项目特征</w:t>
            </w:r>
          </w:p>
        </w:tc>
        <w:tc>
          <w:tcPr>
            <w:tcW w:w="1581" w:type="pct"/>
            <w:vAlign w:val="center"/>
          </w:tcPr>
          <w:p w14:paraId="6CF9814E">
            <w:pPr>
              <w:jc w:val="center"/>
              <w:rPr>
                <w:rFonts w:ascii="Calibri" w:hAnsi="Calibri" w:eastAsia="宋体" w:cs="Times New Roman"/>
                <w:b/>
                <w:szCs w:val="21"/>
              </w:rPr>
            </w:pPr>
            <w:r>
              <w:rPr>
                <w:rFonts w:hint="eastAsia" w:ascii="Calibri" w:hAnsi="Calibri" w:eastAsia="宋体" w:cs="Times New Roman"/>
                <w:b/>
                <w:szCs w:val="21"/>
              </w:rPr>
              <w:t>参考样式</w:t>
            </w:r>
          </w:p>
        </w:tc>
      </w:tr>
      <w:tr w14:paraId="24A8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3" w:type="pct"/>
            <w:vAlign w:val="center"/>
          </w:tcPr>
          <w:p w14:paraId="232C7ACD">
            <w:pPr>
              <w:jc w:val="center"/>
              <w:rPr>
                <w:rFonts w:ascii="Calibri" w:hAnsi="Calibri" w:eastAsia="宋体" w:cs="Times New Roman"/>
                <w:szCs w:val="21"/>
              </w:rPr>
            </w:pPr>
            <w:r>
              <w:rPr>
                <w:rFonts w:hint="eastAsia" w:ascii="宋体" w:hAnsi="宋体" w:eastAsia="宋体" w:cs="宋体"/>
                <w:szCs w:val="21"/>
                <w:lang w:bidi="ar"/>
              </w:rPr>
              <w:t>1</w:t>
            </w:r>
          </w:p>
        </w:tc>
        <w:tc>
          <w:tcPr>
            <w:tcW w:w="559" w:type="pct"/>
            <w:vAlign w:val="center"/>
          </w:tcPr>
          <w:p w14:paraId="653065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ascii="宋体" w:hAnsi="宋体" w:eastAsia="宋体" w:cs="Times New Roman"/>
                <w:szCs w:val="21"/>
              </w:rPr>
            </w:pPr>
            <w:r>
              <w:rPr>
                <w:rFonts w:hint="eastAsia" w:ascii="宋体" w:hAnsi="宋体" w:eastAsia="宋体" w:cs="宋体"/>
                <w:i w:val="0"/>
                <w:iCs w:val="0"/>
                <w:color w:val="000000"/>
                <w:kern w:val="0"/>
                <w:sz w:val="20"/>
                <w:szCs w:val="20"/>
                <w:u w:val="none"/>
                <w:lang w:val="en-US" w:eastAsia="zh-CN" w:bidi="ar"/>
              </w:rPr>
              <w:t>铝扣板（蜂窝spc墙板）</w:t>
            </w:r>
          </w:p>
        </w:tc>
        <w:tc>
          <w:tcPr>
            <w:tcW w:w="2306" w:type="pct"/>
            <w:vAlign w:val="center"/>
          </w:tcPr>
          <w:p w14:paraId="5CA8C7C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1.采用优质铝材。</w:t>
            </w:r>
          </w:p>
          <w:p w14:paraId="64D64FD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2.烤漆涂层（如有）需均匀、厚实，涂层厚度在30-50微米，任何材质均应具有良好的耐候性、耐腐蚀性，抗油污，具有良好的防水性能。</w:t>
            </w:r>
          </w:p>
          <w:p w14:paraId="32A7AC90">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3.蜂窝spc墙板，整体厚度8mm以上，正面板壁为厚1.5mm以上的spc材质板，哑光，铝蜂窝芯密度3mm*4mm</w:t>
            </w:r>
          </w:p>
          <w:p w14:paraId="0CCC39B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4.具有良好的柔韧性，不轻易断裂。</w:t>
            </w:r>
          </w:p>
          <w:p w14:paraId="0D939A6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5.一套尺寸：8000mm*4000mm。</w:t>
            </w:r>
          </w:p>
          <w:p w14:paraId="4BD0CDA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6.一套护墙板需以不多于8块的板材拼接。</w:t>
            </w:r>
          </w:p>
          <w:p w14:paraId="5997A57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7.板材之间接缝处应当采用与板材颜色相近的“三棵树”品牌结构胶进行覆盖填充</w:t>
            </w:r>
            <w:r>
              <w:rPr>
                <w:rFonts w:hint="eastAsia"/>
              </w:rPr>
              <w:t>（待安装的墙面为普通白墙，按照一般白墙的颜色确定板材颜色，结构胶颜色与板材相近）</w:t>
            </w:r>
            <w:r>
              <w:rPr>
                <w:rFonts w:hint="eastAsia"/>
                <w:lang w:val="en-US" w:eastAsia="zh-CN"/>
              </w:rPr>
              <w:t>。固定板材的钉子及其他配件均应当为不锈钢材质。</w:t>
            </w:r>
          </w:p>
          <w:p w14:paraId="4EBFB67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8.板材正面颜色应当与普通白色墙面接近且为哑光。</w:t>
            </w:r>
          </w:p>
          <w:p w14:paraId="111DB52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9.包安装，并根据每个区域实际情况需现场进行切割</w:t>
            </w:r>
          </w:p>
          <w:p w14:paraId="75B5901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ascii="Calibri" w:hAnsi="Calibri" w:eastAsia="宋体" w:cs="Times New Roman"/>
                <w:szCs w:val="21"/>
              </w:rPr>
            </w:pPr>
            <w:r>
              <w:rPr>
                <w:rFonts w:hint="eastAsia"/>
                <w:lang w:val="en-US" w:eastAsia="zh-CN"/>
              </w:rPr>
              <w:t>10.需将墙体现有的宣传内容拆下，待安装铝扣板后将宣传内容装回对应位置。若有开关或插板在安装位置，需要先拆除，后在铝扣板对应位置开孔并安装回开关或插座并确保安全、正常使用。</w:t>
            </w:r>
          </w:p>
        </w:tc>
        <w:tc>
          <w:tcPr>
            <w:tcW w:w="1581" w:type="pct"/>
            <w:vAlign w:val="center"/>
          </w:tcPr>
          <w:p w14:paraId="40D9AB6E">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drawing>
                <wp:inline distT="0" distB="0" distL="114300" distR="114300">
                  <wp:extent cx="1974850" cy="1111250"/>
                  <wp:effectExtent l="0" t="0" r="6350" b="12700"/>
                  <wp:docPr id="4" name="图片 4" descr="图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例1"/>
                          <pic:cNvPicPr>
                            <a:picLocks noChangeAspect="1"/>
                          </pic:cNvPicPr>
                        </pic:nvPicPr>
                        <pic:blipFill>
                          <a:blip r:embed="rId4"/>
                          <a:stretch>
                            <a:fillRect/>
                          </a:stretch>
                        </pic:blipFill>
                        <pic:spPr>
                          <a:xfrm>
                            <a:off x="0" y="0"/>
                            <a:ext cx="1974850" cy="1111250"/>
                          </a:xfrm>
                          <a:prstGeom prst="rect">
                            <a:avLst/>
                          </a:prstGeom>
                        </pic:spPr>
                      </pic:pic>
                    </a:graphicData>
                  </a:graphic>
                </wp:inline>
              </w:drawing>
            </w:r>
            <w:r>
              <w:rPr>
                <w:rFonts w:hint="eastAsia" w:ascii="宋体" w:hAnsi="宋体" w:eastAsia="宋体" w:cs="宋体"/>
                <w:szCs w:val="21"/>
                <w:lang w:eastAsia="zh-CN"/>
              </w:rPr>
              <w:drawing>
                <wp:inline distT="0" distB="0" distL="114300" distR="114300">
                  <wp:extent cx="922020" cy="1641475"/>
                  <wp:effectExtent l="0" t="0" r="11430" b="15875"/>
                  <wp:docPr id="5" name="图片 5" descr="图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例2"/>
                          <pic:cNvPicPr>
                            <a:picLocks noChangeAspect="1"/>
                          </pic:cNvPicPr>
                        </pic:nvPicPr>
                        <pic:blipFill>
                          <a:blip r:embed="rId5"/>
                          <a:stretch>
                            <a:fillRect/>
                          </a:stretch>
                        </pic:blipFill>
                        <pic:spPr>
                          <a:xfrm>
                            <a:off x="0" y="0"/>
                            <a:ext cx="922020" cy="1641475"/>
                          </a:xfrm>
                          <a:prstGeom prst="rect">
                            <a:avLst/>
                          </a:prstGeom>
                        </pic:spPr>
                      </pic:pic>
                    </a:graphicData>
                  </a:graphic>
                </wp:inline>
              </w:drawing>
            </w:r>
            <w:r>
              <w:rPr>
                <w:rFonts w:hint="eastAsia" w:ascii="宋体" w:hAnsi="宋体" w:eastAsia="宋体" w:cs="宋体"/>
                <w:szCs w:val="21"/>
                <w:lang w:eastAsia="zh-CN"/>
              </w:rPr>
              <w:drawing>
                <wp:inline distT="0" distB="0" distL="114300" distR="114300">
                  <wp:extent cx="948055" cy="1688465"/>
                  <wp:effectExtent l="0" t="0" r="4445" b="6985"/>
                  <wp:docPr id="6" name="图片 6" descr="图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例3"/>
                          <pic:cNvPicPr>
                            <a:picLocks noChangeAspect="1"/>
                          </pic:cNvPicPr>
                        </pic:nvPicPr>
                        <pic:blipFill>
                          <a:blip r:embed="rId6"/>
                          <a:stretch>
                            <a:fillRect/>
                          </a:stretch>
                        </pic:blipFill>
                        <pic:spPr>
                          <a:xfrm>
                            <a:off x="0" y="0"/>
                            <a:ext cx="948055" cy="1688465"/>
                          </a:xfrm>
                          <a:prstGeom prst="rect">
                            <a:avLst/>
                          </a:prstGeom>
                        </pic:spPr>
                      </pic:pic>
                    </a:graphicData>
                  </a:graphic>
                </wp:inline>
              </w:drawing>
            </w:r>
          </w:p>
        </w:tc>
      </w:tr>
    </w:tbl>
    <w:p w14:paraId="4DC16AD0">
      <w:pPr>
        <w:spacing w:line="360" w:lineRule="auto"/>
        <w:ind w:firstLine="420" w:firstLineChars="200"/>
        <w:jc w:val="left"/>
        <w:rPr>
          <w:rFonts w:hint="eastAsia" w:ascii="宋体" w:hAnsi="宋体" w:eastAsia="宋体" w:cs="Times New Roman"/>
          <w:szCs w:val="21"/>
          <w:lang w:eastAsia="zh-CN" w:bidi="ar"/>
        </w:rPr>
      </w:pPr>
      <w:r>
        <w:rPr>
          <w:rFonts w:hint="eastAsia" w:ascii="宋体" w:hAnsi="宋体" w:eastAsia="宋体" w:cs="Times New Roman"/>
          <w:szCs w:val="21"/>
          <w:lang w:bidi="ar"/>
        </w:rPr>
        <w:t>注：如在供货后</w:t>
      </w:r>
      <w:r>
        <w:rPr>
          <w:rFonts w:hint="eastAsia" w:ascii="宋体" w:hAnsi="宋体" w:eastAsia="宋体" w:cs="Times New Roman"/>
          <w:szCs w:val="21"/>
          <w:lang w:val="en-US" w:eastAsia="zh-CN" w:bidi="ar"/>
        </w:rPr>
        <w:t>发现货物</w:t>
      </w:r>
      <w:r>
        <w:rPr>
          <w:rFonts w:hint="eastAsia" w:ascii="宋体" w:hAnsi="宋体" w:eastAsia="宋体" w:cs="Times New Roman"/>
          <w:szCs w:val="21"/>
          <w:lang w:bidi="ar"/>
        </w:rPr>
        <w:t>与合同、竞价文件等参数要求不符的，视为虚假响应，因此导致整批货物被拒收和索赔的，</w:t>
      </w:r>
      <w:r>
        <w:rPr>
          <w:rFonts w:hint="eastAsia" w:ascii="宋体" w:hAnsi="宋体" w:eastAsia="宋体" w:cs="Times New Roman"/>
          <w:szCs w:val="21"/>
          <w:lang w:eastAsia="zh-CN" w:bidi="ar"/>
        </w:rPr>
        <w:t>甲方</w:t>
      </w:r>
      <w:r>
        <w:rPr>
          <w:rFonts w:hint="eastAsia" w:ascii="宋体" w:hAnsi="宋体" w:eastAsia="宋体" w:cs="Times New Roman"/>
          <w:szCs w:val="21"/>
          <w:lang w:bidi="ar"/>
        </w:rPr>
        <w:t>有权以此单方解除本项目合同的，所有的损失和责任由</w:t>
      </w:r>
      <w:r>
        <w:rPr>
          <w:rFonts w:hint="eastAsia" w:ascii="宋体" w:hAnsi="宋体" w:eastAsia="宋体" w:cs="Times New Roman"/>
          <w:szCs w:val="21"/>
          <w:lang w:eastAsia="zh-CN" w:bidi="ar"/>
        </w:rPr>
        <w:t>乙方</w:t>
      </w:r>
      <w:r>
        <w:rPr>
          <w:rFonts w:hint="eastAsia" w:ascii="宋体" w:hAnsi="宋体" w:eastAsia="宋体" w:cs="Times New Roman"/>
          <w:szCs w:val="21"/>
          <w:lang w:bidi="ar"/>
        </w:rPr>
        <w:t>自行承担</w:t>
      </w:r>
      <w:r>
        <w:rPr>
          <w:rFonts w:hint="eastAsia" w:ascii="宋体" w:hAnsi="宋体" w:eastAsia="宋体" w:cs="Times New Roman"/>
          <w:szCs w:val="21"/>
          <w:lang w:eastAsia="zh-CN" w:bidi="ar"/>
        </w:rPr>
        <w:t>。</w:t>
      </w:r>
    </w:p>
    <w:p w14:paraId="5918A359">
      <w:pPr>
        <w:numPr>
          <w:ilvl w:val="0"/>
          <w:numId w:val="1"/>
        </w:numPr>
        <w:ind w:left="-420" w:firstLine="420"/>
        <w:outlineLvl w:val="1"/>
        <w:rPr>
          <w:rFonts w:hint="eastAsia" w:ascii="宋体" w:hAnsi="宋体" w:eastAsia="宋体"/>
          <w:b/>
          <w:bCs/>
          <w:szCs w:val="21"/>
          <w:lang w:val="en-US" w:eastAsia="zh-CN"/>
        </w:rPr>
      </w:pPr>
      <w:r>
        <w:rPr>
          <w:rFonts w:hint="eastAsia" w:ascii="宋体" w:hAnsi="宋体" w:eastAsia="宋体"/>
          <w:b/>
          <w:bCs/>
          <w:szCs w:val="21"/>
          <w:lang w:val="en-US" w:eastAsia="zh-CN"/>
        </w:rPr>
        <w:t>合同金额</w:t>
      </w:r>
    </w:p>
    <w:p w14:paraId="70373313">
      <w:pPr>
        <w:pStyle w:val="11"/>
        <w:keepNext w:val="0"/>
        <w:keepLines w:val="0"/>
        <w:pageBreakBefore w:val="0"/>
        <w:widowControl w:val="0"/>
        <w:numPr>
          <w:ilvl w:val="0"/>
          <w:numId w:val="2"/>
        </w:numPr>
        <w:kinsoku/>
        <w:wordWrap/>
        <w:overflowPunct/>
        <w:topLinePunct w:val="0"/>
        <w:autoSpaceDE/>
        <w:autoSpaceDN/>
        <w:bidi w:val="0"/>
        <w:adjustRightInd/>
        <w:snapToGrid w:val="0"/>
        <w:spacing w:before="0" w:beforeAutospacing="0" w:after="0" w:afterAutospacing="0" w:line="360" w:lineRule="auto"/>
        <w:ind w:left="0" w:leftChars="0" w:firstLine="420" w:firstLineChars="0"/>
        <w:jc w:val="left"/>
        <w:textAlignment w:val="auto"/>
        <w:rPr>
          <w:rFonts w:hint="eastAsia" w:ascii="宋体" w:hAnsi="宋体" w:eastAsia="宋体" w:cs="宋体"/>
          <w:b/>
          <w:sz w:val="21"/>
          <w:szCs w:val="21"/>
        </w:rPr>
      </w:pPr>
      <w:r>
        <w:rPr>
          <w:rFonts w:hint="eastAsia" w:cs="宋体"/>
          <w:kern w:val="2"/>
          <w:sz w:val="21"/>
          <w:szCs w:val="21"/>
          <w:lang w:val="en-US" w:eastAsia="zh-CN" w:bidi="ar"/>
        </w:rPr>
        <w:t>项目合同金额为：人民币</w:t>
      </w:r>
      <w:r>
        <w:rPr>
          <w:rFonts w:hint="eastAsia" w:cs="宋体"/>
          <w:kern w:val="2"/>
          <w:sz w:val="21"/>
          <w:szCs w:val="21"/>
          <w:u w:val="single"/>
          <w:lang w:val="en-US" w:eastAsia="zh-CN" w:bidi="ar"/>
        </w:rPr>
        <w:t xml:space="preserve">    </w:t>
      </w:r>
      <w:r>
        <w:rPr>
          <w:rFonts w:hint="eastAsia" w:cs="宋体"/>
          <w:kern w:val="2"/>
          <w:sz w:val="21"/>
          <w:szCs w:val="21"/>
          <w:lang w:val="en-US" w:eastAsia="zh-CN" w:bidi="ar"/>
        </w:rPr>
        <w:t>元，</w:t>
      </w:r>
      <w:r>
        <w:rPr>
          <w:rFonts w:hint="eastAsia" w:cs="宋体"/>
          <w:kern w:val="2"/>
          <w:sz w:val="21"/>
          <w:szCs w:val="21"/>
          <w:lang w:val="zh-CN" w:bidi="ar"/>
        </w:rPr>
        <w:t>乙方</w:t>
      </w:r>
      <w:r>
        <w:rPr>
          <w:rFonts w:hint="eastAsia" w:ascii="宋体" w:hAnsi="宋体" w:eastAsia="宋体" w:cs="宋体"/>
          <w:kern w:val="2"/>
          <w:sz w:val="21"/>
          <w:szCs w:val="21"/>
          <w:lang w:val="zh-CN" w:bidi="ar"/>
        </w:rPr>
        <w:t>的报价应包括货款、材料费、运费、装卸费、安装费、验收、税费、保险费（安装调试验收合格前的保险由</w:t>
      </w:r>
      <w:r>
        <w:rPr>
          <w:rFonts w:hint="eastAsia" w:cs="宋体"/>
          <w:kern w:val="2"/>
          <w:sz w:val="21"/>
          <w:szCs w:val="21"/>
          <w:lang w:val="zh-CN" w:bidi="ar"/>
        </w:rPr>
        <w:t>乙方</w:t>
      </w:r>
      <w:r>
        <w:rPr>
          <w:rFonts w:hint="eastAsia" w:ascii="宋体" w:hAnsi="宋体" w:eastAsia="宋体" w:cs="宋体"/>
          <w:kern w:val="2"/>
          <w:sz w:val="21"/>
          <w:szCs w:val="21"/>
          <w:lang w:val="zh-CN" w:bidi="ar"/>
        </w:rPr>
        <w:t>负责，</w:t>
      </w:r>
      <w:r>
        <w:rPr>
          <w:rFonts w:hint="eastAsia" w:cs="宋体"/>
          <w:kern w:val="2"/>
          <w:sz w:val="21"/>
          <w:szCs w:val="21"/>
          <w:lang w:val="zh-CN" w:bidi="ar"/>
        </w:rPr>
        <w:t>乙方</w:t>
      </w:r>
      <w:r>
        <w:rPr>
          <w:rFonts w:hint="eastAsia" w:ascii="宋体" w:hAnsi="宋体" w:eastAsia="宋体" w:cs="宋体"/>
          <w:kern w:val="2"/>
          <w:sz w:val="21"/>
          <w:szCs w:val="21"/>
          <w:lang w:val="zh-CN" w:bidi="ar"/>
        </w:rPr>
        <w:t>负责其派出的现场服务人员人身意外保险）、质保期服务及其他完成本项目所需的各项费用，项目实施后</w:t>
      </w:r>
      <w:r>
        <w:rPr>
          <w:rFonts w:hint="eastAsia" w:cs="宋体"/>
          <w:kern w:val="2"/>
          <w:sz w:val="21"/>
          <w:szCs w:val="21"/>
          <w:lang w:val="zh-CN" w:bidi="ar"/>
        </w:rPr>
        <w:t>乙方</w:t>
      </w:r>
      <w:r>
        <w:rPr>
          <w:rFonts w:hint="eastAsia" w:ascii="宋体" w:hAnsi="宋体" w:eastAsia="宋体" w:cs="宋体"/>
          <w:kern w:val="2"/>
          <w:sz w:val="21"/>
          <w:szCs w:val="21"/>
          <w:lang w:val="zh-CN" w:bidi="ar"/>
        </w:rPr>
        <w:t>不得另行收取其他任何费用。</w:t>
      </w:r>
    </w:p>
    <w:p w14:paraId="0B9286FF">
      <w:pPr>
        <w:pStyle w:val="11"/>
        <w:numPr>
          <w:ilvl w:val="0"/>
          <w:numId w:val="2"/>
        </w:numPr>
        <w:snapToGrid w:val="0"/>
        <w:ind w:firstLine="420" w:firstLineChars="0"/>
        <w:rPr>
          <w:rFonts w:hint="default" w:ascii="宋体" w:hAnsi="宋体" w:eastAsia="宋体" w:cs="Times New Roman"/>
          <w:szCs w:val="21"/>
          <w:lang w:val="en-US" w:eastAsia="zh-CN" w:bidi="ar"/>
        </w:rPr>
      </w:pPr>
      <w:r>
        <w:rPr>
          <w:rFonts w:hint="eastAsia" w:ascii="宋体" w:hAnsi="宋体" w:eastAsia="宋体" w:cs="宋体"/>
          <w:kern w:val="2"/>
          <w:sz w:val="21"/>
          <w:szCs w:val="21"/>
          <w:lang w:bidi="ar"/>
        </w:rPr>
        <w:t>本</w:t>
      </w:r>
      <w:r>
        <w:rPr>
          <w:rFonts w:hint="eastAsia" w:ascii="宋体" w:hAnsi="宋体" w:eastAsia="宋体" w:cs="宋体"/>
          <w:kern w:val="2"/>
          <w:sz w:val="21"/>
          <w:szCs w:val="21"/>
          <w:lang w:val="zh-CN" w:bidi="ar"/>
        </w:rPr>
        <w:t>项目合同</w:t>
      </w:r>
      <w:r>
        <w:rPr>
          <w:rFonts w:hint="eastAsia" w:ascii="宋体" w:hAnsi="宋体" w:eastAsia="宋体" w:cs="宋体"/>
          <w:kern w:val="2"/>
          <w:sz w:val="21"/>
          <w:szCs w:val="21"/>
          <w:lang w:bidi="ar"/>
        </w:rPr>
        <w:t>结算价为固定不变价。</w:t>
      </w:r>
    </w:p>
    <w:p w14:paraId="0953B440">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商务要求</w:t>
      </w:r>
    </w:p>
    <w:p w14:paraId="5A100ABC">
      <w:pPr>
        <w:numPr>
          <w:ilvl w:val="0"/>
          <w:numId w:val="3"/>
        </w:numPr>
        <w:spacing w:line="500" w:lineRule="exact"/>
        <w:rPr>
          <w:rFonts w:ascii="宋体" w:hAnsi="宋体" w:eastAsia="宋体" w:cs="宋体"/>
          <w:b/>
          <w:bCs/>
          <w:color w:val="000000"/>
          <w:szCs w:val="21"/>
        </w:rPr>
      </w:pPr>
      <w:r>
        <w:rPr>
          <w:rFonts w:hint="eastAsia" w:ascii="宋体" w:hAnsi="宋体" w:eastAsia="宋体" w:cs="宋体"/>
          <w:b/>
          <w:bCs/>
          <w:color w:val="000000"/>
          <w:szCs w:val="21"/>
        </w:rPr>
        <w:t>供货要求</w:t>
      </w:r>
    </w:p>
    <w:p w14:paraId="375BEA4F">
      <w:pPr>
        <w:tabs>
          <w:tab w:val="left" w:pos="420"/>
          <w:tab w:val="left" w:pos="540"/>
        </w:tabs>
        <w:adjustRightInd w:val="0"/>
        <w:snapToGrid w:val="0"/>
        <w:spacing w:line="500" w:lineRule="exact"/>
        <w:rPr>
          <w:rFonts w:ascii="宋体" w:hAnsi="宋体" w:eastAsia="宋体" w:cs="Times New Roman"/>
          <w:szCs w:val="21"/>
          <w:lang w:eastAsia="zh-TW"/>
        </w:rPr>
      </w:pPr>
      <w:r>
        <w:rPr>
          <w:rFonts w:hint="eastAsia" w:ascii="宋体" w:hAnsi="宋体" w:eastAsia="宋体" w:cs="Times New Roman"/>
          <w:szCs w:val="21"/>
        </w:rPr>
        <w:t>1.</w:t>
      </w:r>
      <w:r>
        <w:rPr>
          <w:rFonts w:hint="eastAsia" w:ascii="宋体" w:hAnsi="宋体" w:eastAsia="宋体" w:cs="Times New Roman"/>
          <w:szCs w:val="21"/>
          <w:lang w:eastAsia="zh-TW"/>
        </w:rPr>
        <w:t>交货地点：广东省肇庆监狱。</w:t>
      </w:r>
    </w:p>
    <w:p w14:paraId="15F38EE5">
      <w:pPr>
        <w:tabs>
          <w:tab w:val="left" w:pos="420"/>
          <w:tab w:val="left" w:pos="540"/>
        </w:tabs>
        <w:adjustRightInd w:val="0"/>
        <w:snapToGrid w:val="0"/>
        <w:spacing w:line="500" w:lineRule="exact"/>
        <w:ind w:left="210" w:hanging="210" w:hangingChars="100"/>
        <w:rPr>
          <w:rFonts w:ascii="宋体" w:hAnsi="宋体" w:eastAsia="宋体" w:cs="Times New Roman"/>
          <w:szCs w:val="21"/>
          <w:lang w:eastAsia="zh-TW"/>
        </w:rPr>
      </w:pPr>
      <w:r>
        <w:rPr>
          <w:rFonts w:hint="eastAsia" w:ascii="宋体" w:hAnsi="宋体" w:eastAsia="宋体" w:cs="Times New Roman"/>
          <w:szCs w:val="21"/>
        </w:rPr>
        <w:t>2.</w:t>
      </w:r>
      <w:r>
        <w:rPr>
          <w:rFonts w:hint="eastAsia" w:ascii="宋体" w:hAnsi="宋体" w:eastAsia="宋体" w:cs="Times New Roman"/>
          <w:szCs w:val="21"/>
          <w:lang w:eastAsia="zh-TW"/>
        </w:rPr>
        <w:t>所供应的</w:t>
      </w:r>
      <w:r>
        <w:rPr>
          <w:rFonts w:hint="eastAsia" w:ascii="宋体" w:hAnsi="宋体" w:eastAsia="宋体" w:cs="Times New Roman"/>
          <w:szCs w:val="21"/>
        </w:rPr>
        <w:t>货品</w:t>
      </w:r>
      <w:r>
        <w:rPr>
          <w:rFonts w:hint="eastAsia" w:ascii="宋体" w:hAnsi="宋体" w:eastAsia="宋体" w:cs="Times New Roman"/>
          <w:szCs w:val="21"/>
          <w:lang w:eastAsia="zh-TW"/>
        </w:rPr>
        <w:t>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实际采购中，</w:t>
      </w:r>
      <w:r>
        <w:rPr>
          <w:rFonts w:hint="eastAsia" w:ascii="宋体" w:hAnsi="宋体" w:eastAsia="宋体" w:cs="Times New Roman"/>
          <w:szCs w:val="21"/>
        </w:rPr>
        <w:t>甲方</w:t>
      </w:r>
      <w:r>
        <w:rPr>
          <w:rFonts w:hint="eastAsia" w:ascii="宋体" w:hAnsi="宋体" w:eastAsia="宋体" w:cs="Times New Roman"/>
          <w:szCs w:val="21"/>
          <w:lang w:eastAsia="zh-TW"/>
        </w:rPr>
        <w:t>将按核定的结算单价金额及数量进行支付，</w:t>
      </w:r>
      <w:r>
        <w:rPr>
          <w:rFonts w:hint="eastAsia" w:ascii="宋体" w:hAnsi="宋体" w:eastAsia="宋体" w:cs="Times New Roman"/>
          <w:szCs w:val="21"/>
          <w:lang w:val="en-US" w:eastAsia="zh-CN"/>
        </w:rPr>
        <w:t>乙方</w:t>
      </w:r>
      <w:r>
        <w:rPr>
          <w:rFonts w:hint="eastAsia" w:ascii="宋体" w:hAnsi="宋体" w:eastAsia="宋体" w:cs="Times New Roman"/>
          <w:szCs w:val="21"/>
          <w:lang w:eastAsia="zh-TW"/>
        </w:rPr>
        <w:t>不得拒绝供货或提高单价，供货数量由</w:t>
      </w:r>
      <w:r>
        <w:rPr>
          <w:rFonts w:hint="eastAsia" w:ascii="宋体" w:hAnsi="宋体" w:eastAsia="宋体" w:cs="Times New Roman"/>
          <w:szCs w:val="21"/>
        </w:rPr>
        <w:t>甲方</w:t>
      </w:r>
      <w:r>
        <w:rPr>
          <w:rFonts w:hint="eastAsia" w:ascii="宋体" w:hAnsi="宋体" w:eastAsia="宋体" w:cs="Times New Roman"/>
          <w:szCs w:val="21"/>
          <w:lang w:eastAsia="zh-TW"/>
        </w:rPr>
        <w:t>根据实际需要提出。</w:t>
      </w:r>
    </w:p>
    <w:p w14:paraId="4BCFD954">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3.乙方</w:t>
      </w:r>
      <w:r>
        <w:rPr>
          <w:rFonts w:hint="eastAsia" w:ascii="宋体" w:hAnsi="宋体" w:eastAsia="宋体" w:cs="Times New Roman"/>
          <w:szCs w:val="21"/>
          <w:lang w:eastAsia="zh-TW"/>
        </w:rPr>
        <w:t>在实施过程中如果质量不符合国家有关规范</w:t>
      </w:r>
      <w:r>
        <w:rPr>
          <w:rFonts w:hint="eastAsia" w:ascii="Calibri" w:hAnsi="Calibri" w:eastAsia="宋体" w:cs="Times New Roman"/>
        </w:rPr>
        <w:t>、合同</w:t>
      </w:r>
      <w:r>
        <w:rPr>
          <w:rFonts w:hint="eastAsia" w:ascii="宋体" w:hAnsi="宋体" w:eastAsia="宋体" w:cs="Times New Roman"/>
          <w:szCs w:val="21"/>
          <w:lang w:eastAsia="zh-TW"/>
        </w:rPr>
        <w:t>和需求书的有关规定。如有不符合上述要求，</w:t>
      </w:r>
      <w:r>
        <w:rPr>
          <w:rFonts w:hint="eastAsia" w:ascii="宋体" w:hAnsi="宋体" w:eastAsia="宋体" w:cs="Times New Roman"/>
          <w:szCs w:val="21"/>
        </w:rPr>
        <w:t>甲方</w:t>
      </w:r>
      <w:r>
        <w:rPr>
          <w:rFonts w:hint="eastAsia" w:ascii="宋体" w:hAnsi="宋体" w:eastAsia="宋体" w:cs="Times New Roman"/>
          <w:szCs w:val="21"/>
          <w:lang w:eastAsia="zh-TW"/>
        </w:rPr>
        <w:t>要求退货的，</w:t>
      </w:r>
      <w:r>
        <w:rPr>
          <w:rFonts w:hint="eastAsia" w:ascii="宋体" w:hAnsi="宋体" w:eastAsia="宋体" w:cs="Times New Roman"/>
          <w:szCs w:val="21"/>
        </w:rPr>
        <w:t>乙方</w:t>
      </w:r>
      <w:r>
        <w:rPr>
          <w:rFonts w:hint="eastAsia" w:ascii="宋体" w:hAnsi="宋体" w:eastAsia="宋体" w:cs="Times New Roman"/>
          <w:szCs w:val="21"/>
          <w:lang w:eastAsia="zh-TW"/>
        </w:rPr>
        <w:t>必须无条件立即执行，并承担由此产生的各种费用，供货期不予顺延。</w:t>
      </w:r>
    </w:p>
    <w:p w14:paraId="2548CB0E">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4.</w:t>
      </w:r>
      <w:r>
        <w:rPr>
          <w:rFonts w:hint="eastAsia" w:ascii="宋体" w:hAnsi="宋体" w:eastAsia="宋体" w:cs="Times New Roman"/>
          <w:szCs w:val="21"/>
          <w:lang w:eastAsia="zh-TW"/>
        </w:rPr>
        <w:t>货物为原制造商制造的全新产品，无污染，无侵权行为、表面无划损、无任何缺陷隐患，在中国境内可依常规安全合法使用。货物为原厂商未启封全新包装，具出厂合格证，序列号、箱号与出厂批号一致，并可追索查阅。否则，</w:t>
      </w:r>
      <w:r>
        <w:rPr>
          <w:rFonts w:hint="eastAsia" w:ascii="宋体" w:hAnsi="宋体" w:eastAsia="宋体" w:cs="Times New Roman"/>
          <w:szCs w:val="21"/>
        </w:rPr>
        <w:t>甲方有权</w:t>
      </w:r>
      <w:r>
        <w:rPr>
          <w:rFonts w:hint="eastAsia" w:ascii="宋体" w:hAnsi="宋体" w:eastAsia="宋体" w:cs="Times New Roman"/>
          <w:szCs w:val="21"/>
          <w:lang w:eastAsia="zh-TW"/>
        </w:rPr>
        <w:t>拒绝验收。</w:t>
      </w:r>
    </w:p>
    <w:p w14:paraId="4C433421">
      <w:pPr>
        <w:snapToGrid w:val="0"/>
        <w:spacing w:line="500" w:lineRule="exact"/>
        <w:ind w:left="210" w:hanging="210" w:hangingChars="100"/>
        <w:rPr>
          <w:rFonts w:ascii="宋体" w:hAnsi="宋体" w:eastAsia="宋体" w:cs="Times New Roman"/>
          <w:szCs w:val="21"/>
          <w:lang w:eastAsia="zh-TW"/>
        </w:rPr>
      </w:pPr>
      <w:r>
        <w:rPr>
          <w:rFonts w:hint="eastAsia" w:ascii="宋体" w:hAnsi="宋体" w:eastAsia="宋体" w:cs="Times New Roman"/>
          <w:szCs w:val="21"/>
        </w:rPr>
        <w:t>5.乙方</w:t>
      </w:r>
      <w:r>
        <w:rPr>
          <w:rFonts w:hint="eastAsia" w:ascii="宋体" w:hAnsi="宋体" w:eastAsia="宋体" w:cs="Times New Roman"/>
          <w:szCs w:val="21"/>
          <w:lang w:eastAsia="zh-TW"/>
        </w:rPr>
        <w:t>于自签订合同后</w:t>
      </w:r>
      <w:r>
        <w:rPr>
          <w:rFonts w:hint="eastAsia" w:ascii="宋体" w:hAnsi="宋体" w:eastAsia="宋体" w:cstheme="minorEastAsia"/>
          <w:kern w:val="0"/>
          <w:szCs w:val="21"/>
          <w:lang w:val="en-US" w:eastAsia="zh-CN" w:bidi="ar"/>
        </w:rPr>
        <w:t>10</w:t>
      </w:r>
      <w:r>
        <w:rPr>
          <w:rFonts w:hint="eastAsia" w:ascii="宋体" w:hAnsi="宋体" w:eastAsia="宋体" w:cstheme="minorEastAsia"/>
          <w:kern w:val="0"/>
          <w:szCs w:val="21"/>
          <w:lang w:bidi="ar"/>
        </w:rPr>
        <w:t>个工作日</w:t>
      </w:r>
      <w:r>
        <w:rPr>
          <w:rFonts w:hint="eastAsia" w:ascii="宋体" w:hAnsi="宋体" w:eastAsia="宋体" w:cs="Times New Roman"/>
          <w:szCs w:val="21"/>
          <w:lang w:eastAsia="zh-TW"/>
        </w:rPr>
        <w:t>内将</w:t>
      </w:r>
      <w:r>
        <w:rPr>
          <w:rFonts w:hint="eastAsia" w:ascii="宋体" w:hAnsi="宋体" w:eastAsia="宋体" w:cs="Times New Roman"/>
          <w:szCs w:val="21"/>
        </w:rPr>
        <w:t>所有</w:t>
      </w:r>
      <w:r>
        <w:rPr>
          <w:rFonts w:hint="eastAsia" w:ascii="宋体" w:hAnsi="宋体" w:eastAsia="宋体" w:cs="Times New Roman"/>
          <w:szCs w:val="21"/>
          <w:lang w:eastAsia="zh-TW"/>
        </w:rPr>
        <w:t>物品送达</w:t>
      </w:r>
      <w:r>
        <w:rPr>
          <w:rFonts w:hint="eastAsia" w:ascii="宋体" w:hAnsi="宋体" w:eastAsia="宋体" w:cs="Times New Roman"/>
          <w:szCs w:val="21"/>
        </w:rPr>
        <w:t>甲方</w:t>
      </w:r>
      <w:r>
        <w:rPr>
          <w:rFonts w:hint="eastAsia" w:ascii="宋体" w:hAnsi="宋体" w:eastAsia="宋体" w:cs="Times New Roman"/>
          <w:szCs w:val="21"/>
          <w:lang w:val="en-US" w:eastAsia="zh-CN"/>
        </w:rPr>
        <w:t>并安装</w:t>
      </w:r>
      <w:r>
        <w:rPr>
          <w:rFonts w:hint="eastAsia" w:ascii="宋体" w:hAnsi="宋体" w:eastAsia="宋体" w:cs="Times New Roman"/>
          <w:szCs w:val="21"/>
          <w:lang w:eastAsia="zh-TW"/>
        </w:rPr>
        <w:t>。</w:t>
      </w:r>
    </w:p>
    <w:p w14:paraId="7241AE4C">
      <w:pPr>
        <w:numPr>
          <w:ilvl w:val="0"/>
          <w:numId w:val="3"/>
        </w:numPr>
        <w:spacing w:line="500" w:lineRule="exact"/>
        <w:rPr>
          <w:rFonts w:ascii="宋体" w:hAnsi="宋体" w:eastAsia="宋体" w:cs="宋体"/>
          <w:b/>
          <w:bCs/>
          <w:color w:val="000000"/>
          <w:szCs w:val="21"/>
        </w:rPr>
      </w:pPr>
      <w:r>
        <w:rPr>
          <w:rFonts w:hint="eastAsia"/>
          <w:lang w:val="en-US" w:eastAsia="zh-CN"/>
        </w:rPr>
        <w:t>供货及验收</w:t>
      </w:r>
    </w:p>
    <w:p w14:paraId="536A2558">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1.</w:t>
      </w:r>
      <w:r>
        <w:rPr>
          <w:rFonts w:hint="eastAsia" w:ascii="宋体" w:hAnsi="宋体" w:eastAsia="宋体" w:cs="Times New Roman"/>
          <w:szCs w:val="21"/>
          <w:lang w:eastAsia="zh-TW"/>
        </w:rPr>
        <w:t>货物验收在</w:t>
      </w:r>
      <w:r>
        <w:rPr>
          <w:rFonts w:hint="eastAsia" w:ascii="宋体" w:hAnsi="宋体" w:eastAsia="宋体" w:cs="Times New Roman"/>
          <w:szCs w:val="21"/>
        </w:rPr>
        <w:t>甲方</w:t>
      </w:r>
      <w:r>
        <w:rPr>
          <w:rFonts w:hint="eastAsia" w:ascii="宋体" w:hAnsi="宋体" w:eastAsia="宋体" w:cs="Times New Roman"/>
          <w:szCs w:val="21"/>
          <w:lang w:eastAsia="zh-TW"/>
        </w:rPr>
        <w:t>和</w:t>
      </w:r>
      <w:r>
        <w:rPr>
          <w:rFonts w:hint="eastAsia" w:ascii="宋体" w:hAnsi="宋体" w:eastAsia="宋体" w:cs="Times New Roman"/>
          <w:szCs w:val="21"/>
        </w:rPr>
        <w:t>乙方</w:t>
      </w:r>
      <w:r>
        <w:rPr>
          <w:rFonts w:hint="eastAsia" w:ascii="宋体" w:hAnsi="宋体" w:eastAsia="宋体" w:cs="Times New Roman"/>
          <w:szCs w:val="21"/>
          <w:lang w:eastAsia="zh-TW"/>
        </w:rPr>
        <w:t>双方共同参与下按国家有关的规定、规范进行；</w:t>
      </w:r>
    </w:p>
    <w:p w14:paraId="063C87CC">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2.甲方</w:t>
      </w:r>
      <w:r>
        <w:rPr>
          <w:rFonts w:hint="eastAsia" w:ascii="宋体" w:hAnsi="宋体" w:eastAsia="宋体" w:cs="Times New Roman"/>
          <w:szCs w:val="21"/>
          <w:lang w:eastAsia="zh-TW"/>
        </w:rPr>
        <w:t>要求对全部配件的型号、规格、数量、外型、外观、包装进行验收。产品质保期</w:t>
      </w:r>
      <w:r>
        <w:rPr>
          <w:rFonts w:hint="eastAsia" w:ascii="宋体" w:hAnsi="宋体" w:eastAsia="宋体" w:cs="Times New Roman"/>
          <w:szCs w:val="21"/>
        </w:rPr>
        <w:t>为</w:t>
      </w:r>
      <w:r>
        <w:rPr>
          <w:rFonts w:hint="eastAsia" w:ascii="宋体" w:hAnsi="宋体" w:eastAsia="宋体" w:cs="Times New Roman"/>
          <w:szCs w:val="21"/>
          <w:lang w:val="en-US" w:eastAsia="zh-CN"/>
        </w:rPr>
        <w:t>5</w:t>
      </w:r>
      <w:r>
        <w:rPr>
          <w:rFonts w:hint="eastAsia" w:ascii="宋体" w:hAnsi="宋体" w:eastAsia="宋体" w:cs="Times New Roman"/>
          <w:szCs w:val="21"/>
          <w:lang w:eastAsia="zh-TW"/>
        </w:rPr>
        <w:t>年。</w:t>
      </w:r>
    </w:p>
    <w:p w14:paraId="5BE1E4A5">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3.</w:t>
      </w:r>
      <w:r>
        <w:rPr>
          <w:rFonts w:hint="eastAsia" w:ascii="宋体" w:hAnsi="宋体" w:eastAsia="宋体" w:cs="Times New Roman"/>
          <w:szCs w:val="21"/>
          <w:lang w:eastAsia="zh-TW"/>
        </w:rPr>
        <w:t>验收时如发现所交付的货物有短装、次品、损坏或其它不符合本合同规定之情形者，</w:t>
      </w:r>
      <w:r>
        <w:rPr>
          <w:rFonts w:hint="eastAsia" w:ascii="宋体" w:hAnsi="宋体" w:eastAsia="宋体" w:cs="Times New Roman"/>
          <w:szCs w:val="21"/>
        </w:rPr>
        <w:t>甲方</w:t>
      </w:r>
      <w:r>
        <w:rPr>
          <w:rFonts w:hint="eastAsia" w:ascii="宋体" w:hAnsi="宋体" w:eastAsia="宋体" w:cs="Times New Roman"/>
          <w:szCs w:val="21"/>
          <w:lang w:eastAsia="zh-TW"/>
        </w:rPr>
        <w:t>应作出详尽的现场记录，或由</w:t>
      </w:r>
      <w:r>
        <w:rPr>
          <w:rFonts w:hint="eastAsia" w:ascii="宋体" w:hAnsi="宋体" w:eastAsia="宋体" w:cs="Times New Roman"/>
          <w:szCs w:val="21"/>
        </w:rPr>
        <w:t>甲方</w:t>
      </w:r>
      <w:r>
        <w:rPr>
          <w:rFonts w:hint="eastAsia" w:ascii="宋体" w:hAnsi="宋体" w:eastAsia="宋体" w:cs="Times New Roman"/>
          <w:szCs w:val="21"/>
          <w:lang w:eastAsia="zh-TW"/>
        </w:rPr>
        <w:t>、</w:t>
      </w:r>
      <w:r>
        <w:rPr>
          <w:rFonts w:hint="eastAsia" w:ascii="宋体" w:hAnsi="宋体" w:eastAsia="宋体" w:cs="Times New Roman"/>
          <w:szCs w:val="21"/>
        </w:rPr>
        <w:t>乙方</w:t>
      </w:r>
      <w:r>
        <w:rPr>
          <w:rFonts w:hint="eastAsia" w:ascii="宋体" w:hAnsi="宋体" w:eastAsia="宋体" w:cs="Times New Roman"/>
          <w:szCs w:val="21"/>
          <w:lang w:eastAsia="zh-TW"/>
        </w:rPr>
        <w:t>双方签署备忘录。此现场记录或备忘录可用作补充、缺失和更换损坏部件的有效证据。因此产生的有关费用由</w:t>
      </w:r>
      <w:r>
        <w:rPr>
          <w:rFonts w:hint="eastAsia" w:ascii="宋体" w:hAnsi="宋体" w:eastAsia="宋体" w:cs="Times New Roman"/>
          <w:szCs w:val="21"/>
        </w:rPr>
        <w:t>乙方</w:t>
      </w:r>
      <w:r>
        <w:rPr>
          <w:rFonts w:hint="eastAsia" w:ascii="宋体" w:hAnsi="宋体" w:eastAsia="宋体" w:cs="Times New Roman"/>
          <w:szCs w:val="21"/>
          <w:lang w:eastAsia="zh-TW"/>
        </w:rPr>
        <w:t>承担；</w:t>
      </w:r>
    </w:p>
    <w:p w14:paraId="03994A4A">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4.</w:t>
      </w:r>
      <w:r>
        <w:rPr>
          <w:rFonts w:hint="eastAsia" w:ascii="宋体" w:hAnsi="宋体" w:eastAsia="宋体" w:cs="Times New Roman"/>
          <w:szCs w:val="21"/>
          <w:lang w:eastAsia="zh-TW"/>
        </w:rPr>
        <w:t>如果合同货物运输和安装过程中因事故造成货物短缺、损坏，</w:t>
      </w:r>
      <w:r>
        <w:rPr>
          <w:rFonts w:hint="eastAsia" w:ascii="宋体" w:hAnsi="宋体" w:eastAsia="宋体" w:cs="Times New Roman"/>
          <w:szCs w:val="21"/>
        </w:rPr>
        <w:t>乙方</w:t>
      </w:r>
      <w:r>
        <w:rPr>
          <w:rFonts w:hint="eastAsia" w:ascii="宋体" w:hAnsi="宋体" w:eastAsia="宋体" w:cs="Times New Roman"/>
          <w:szCs w:val="21"/>
          <w:lang w:eastAsia="zh-TW"/>
        </w:rPr>
        <w:t>应及时安排补货、换货，以保证合同货物安装的成功完成。换货的相关费用由</w:t>
      </w:r>
      <w:r>
        <w:rPr>
          <w:rFonts w:hint="eastAsia" w:ascii="宋体" w:hAnsi="宋体" w:eastAsia="宋体" w:cs="Times New Roman"/>
          <w:szCs w:val="21"/>
        </w:rPr>
        <w:t>乙方</w:t>
      </w:r>
      <w:r>
        <w:rPr>
          <w:rFonts w:hint="eastAsia" w:ascii="宋体" w:hAnsi="宋体" w:eastAsia="宋体" w:cs="Times New Roman"/>
          <w:szCs w:val="21"/>
          <w:lang w:eastAsia="zh-TW"/>
        </w:rPr>
        <w:t>承担；</w:t>
      </w:r>
    </w:p>
    <w:p w14:paraId="1A2BB481">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5.乙方</w:t>
      </w:r>
      <w:r>
        <w:rPr>
          <w:rFonts w:hint="eastAsia" w:ascii="宋体" w:hAnsi="宋体" w:eastAsia="宋体" w:cs="Times New Roman"/>
          <w:szCs w:val="21"/>
          <w:lang w:eastAsia="zh-TW"/>
        </w:rPr>
        <w:t>保证合同项下提供的货物不侵犯任何第三方的专利、商标或版权。否则，</w:t>
      </w:r>
      <w:r>
        <w:rPr>
          <w:rFonts w:hint="eastAsia" w:ascii="宋体" w:hAnsi="宋体" w:eastAsia="宋体" w:cs="Times New Roman"/>
          <w:szCs w:val="21"/>
        </w:rPr>
        <w:t>乙方</w:t>
      </w:r>
      <w:r>
        <w:rPr>
          <w:rFonts w:hint="eastAsia" w:ascii="宋体" w:hAnsi="宋体" w:eastAsia="宋体" w:cs="Times New Roman"/>
          <w:szCs w:val="21"/>
          <w:lang w:eastAsia="zh-TW"/>
        </w:rPr>
        <w:t>须承担对第三方的专利或版权的侵权责任并承担因此而发生的所有费用。</w:t>
      </w:r>
    </w:p>
    <w:p w14:paraId="73CCCC37">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6.乙方不得提供不符合合同约定的货物，</w:t>
      </w:r>
      <w:r>
        <w:rPr>
          <w:rFonts w:hint="eastAsia"/>
          <w:kern w:val="2"/>
          <w:sz w:val="21"/>
          <w:szCs w:val="21"/>
          <w:lang w:bidi="ar"/>
        </w:rPr>
        <w:t>如不符合采购清单中参数等要求的</w:t>
      </w:r>
      <w:r>
        <w:rPr>
          <w:rFonts w:hint="eastAsia" w:ascii="宋体" w:hAnsi="宋体" w:eastAsia="宋体" w:cs="Times New Roman"/>
          <w:szCs w:val="21"/>
        </w:rPr>
        <w:t>，甲方有权拒绝。如乙方以次充好，提供的产品不符合采购要求或者达不到报名报价时响应的产品要求，甲方有权立即单方解除本合同，并将乙方列入采购黑名单，一年内不得参与甲方的项目竞价。</w:t>
      </w:r>
    </w:p>
    <w:p w14:paraId="6A34D695">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7.乙方应严格按甲方要求（品牌、品种、规格、质量、数量、重量等参数规格要求）供应货物，货品有商标，铭牌上按生产制造单位的标准有名称、地址、联系方式、生产日期、编号、型号、规格等。乙方应将设备的用户手册、保修手册、有关单证资料及配备件、随机工具等交付给甲方，安全须知等重要资料应附有中文说明。</w:t>
      </w:r>
      <w:r>
        <w:rPr>
          <w:rFonts w:hint="eastAsia" w:ascii="宋体" w:hAnsi="宋体" w:eastAsia="宋体" w:cs="Times New Roman"/>
          <w:szCs w:val="21"/>
          <w:lang w:eastAsia="zh-TW"/>
        </w:rPr>
        <w:t>未经</w:t>
      </w:r>
      <w:r>
        <w:rPr>
          <w:rFonts w:hint="eastAsia" w:ascii="宋体" w:hAnsi="宋体" w:eastAsia="宋体" w:cs="Times New Roman"/>
          <w:szCs w:val="21"/>
        </w:rPr>
        <w:t>甲方</w:t>
      </w:r>
      <w:r>
        <w:rPr>
          <w:rFonts w:hint="eastAsia" w:ascii="宋体" w:hAnsi="宋体" w:eastAsia="宋体" w:cs="Times New Roman"/>
          <w:szCs w:val="21"/>
          <w:lang w:eastAsia="zh-TW"/>
        </w:rPr>
        <w:t>同意，不得变更，否则，</w:t>
      </w:r>
      <w:r>
        <w:rPr>
          <w:rFonts w:hint="eastAsia" w:ascii="宋体" w:hAnsi="宋体" w:eastAsia="宋体" w:cs="Times New Roman"/>
          <w:szCs w:val="21"/>
        </w:rPr>
        <w:t>甲方</w:t>
      </w:r>
      <w:r>
        <w:rPr>
          <w:rFonts w:hint="eastAsia" w:ascii="宋体" w:hAnsi="宋体" w:eastAsia="宋体" w:cs="Times New Roman"/>
          <w:szCs w:val="21"/>
          <w:lang w:eastAsia="zh-TW"/>
        </w:rPr>
        <w:t>有权退货并自行采购同等质量的货物，由此产生的费用和经济损失均由</w:t>
      </w:r>
      <w:r>
        <w:rPr>
          <w:rFonts w:hint="eastAsia" w:ascii="宋体" w:hAnsi="宋体" w:eastAsia="宋体" w:cs="Times New Roman"/>
          <w:szCs w:val="21"/>
        </w:rPr>
        <w:t>乙方</w:t>
      </w:r>
      <w:r>
        <w:rPr>
          <w:rFonts w:hint="eastAsia" w:ascii="宋体" w:hAnsi="宋体" w:eastAsia="宋体" w:cs="Times New Roman"/>
          <w:szCs w:val="21"/>
          <w:lang w:eastAsia="zh-TW"/>
        </w:rPr>
        <w:t>承担，</w:t>
      </w:r>
      <w:r>
        <w:rPr>
          <w:rFonts w:hint="eastAsia" w:ascii="宋体" w:hAnsi="宋体" w:eastAsia="宋体" w:cs="Times New Roman"/>
          <w:szCs w:val="21"/>
        </w:rPr>
        <w:t>乙方</w:t>
      </w:r>
      <w:r>
        <w:rPr>
          <w:rFonts w:hint="eastAsia" w:ascii="宋体" w:hAnsi="宋体" w:eastAsia="宋体" w:cs="Times New Roman"/>
          <w:szCs w:val="21"/>
          <w:lang w:eastAsia="zh-TW"/>
        </w:rPr>
        <w:t>还同时承担违约责任。</w:t>
      </w:r>
    </w:p>
    <w:p w14:paraId="1926BB53">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8.</w:t>
      </w:r>
      <w:r>
        <w:rPr>
          <w:rFonts w:hint="eastAsia" w:ascii="宋体" w:hAnsi="宋体" w:eastAsia="宋体" w:cs="Times New Roman"/>
          <w:szCs w:val="21"/>
          <w:lang w:eastAsia="zh-TW"/>
        </w:rPr>
        <w:t>配件材料的包装必须是制造商原厂包装，其包装均应有良好的防湿、防锈、防潮、防雨、防腐及防碰撞的措施。凡由于包装不良造成的损失和由此产生的费用均由</w:t>
      </w:r>
      <w:r>
        <w:rPr>
          <w:rFonts w:hint="eastAsia" w:ascii="宋体" w:hAnsi="宋体" w:eastAsia="宋体" w:cs="Times New Roman"/>
          <w:szCs w:val="21"/>
        </w:rPr>
        <w:t>乙方</w:t>
      </w:r>
      <w:r>
        <w:rPr>
          <w:rFonts w:hint="eastAsia" w:ascii="宋体" w:hAnsi="宋体" w:eastAsia="宋体" w:cs="Times New Roman"/>
          <w:szCs w:val="21"/>
          <w:lang w:eastAsia="zh-TW"/>
        </w:rPr>
        <w:t>承担。</w:t>
      </w:r>
    </w:p>
    <w:p w14:paraId="37716D4C">
      <w:pPr>
        <w:tabs>
          <w:tab w:val="left" w:pos="567"/>
        </w:tabs>
        <w:adjustRightInd w:val="0"/>
        <w:snapToGrid w:val="0"/>
        <w:spacing w:line="500" w:lineRule="exact"/>
        <w:ind w:left="210" w:hanging="210" w:hangingChars="100"/>
        <w:textAlignment w:val="baseline"/>
        <w:rPr>
          <w:rFonts w:ascii="宋体" w:hAnsi="宋体" w:eastAsia="宋体" w:cs="Times New Roman"/>
          <w:szCs w:val="21"/>
          <w:lang w:eastAsia="zh-TW"/>
        </w:rPr>
      </w:pPr>
      <w:r>
        <w:rPr>
          <w:rFonts w:hint="eastAsia" w:ascii="宋体" w:hAnsi="宋体" w:eastAsia="宋体" w:cs="Times New Roman"/>
          <w:szCs w:val="21"/>
        </w:rPr>
        <w:t>9.</w:t>
      </w:r>
      <w:r>
        <w:rPr>
          <w:rFonts w:hint="eastAsia" w:ascii="宋体" w:hAnsi="宋体" w:eastAsia="宋体" w:cs="Times New Roman"/>
          <w:szCs w:val="21"/>
          <w:lang w:eastAsia="zh-TW"/>
        </w:rPr>
        <w:t>交付验收标准依次序对照适用标准</w:t>
      </w:r>
      <w:r>
        <w:rPr>
          <w:rFonts w:hint="eastAsia" w:ascii="宋体" w:hAnsi="宋体" w:eastAsia="宋体" w:cs="Times New Roman"/>
          <w:szCs w:val="21"/>
        </w:rPr>
        <w:t>：</w:t>
      </w:r>
      <w:r>
        <w:rPr>
          <w:rFonts w:hint="eastAsia" w:ascii="宋体" w:hAnsi="宋体" w:eastAsia="宋体" w:cs="Times New Roman"/>
          <w:szCs w:val="21"/>
          <w:lang w:eastAsia="zh-TW"/>
        </w:rPr>
        <w:t>符合中华人民共和国国家安全质量标准、环保标准或行业标准；符合</w:t>
      </w:r>
      <w:r>
        <w:rPr>
          <w:rFonts w:hint="eastAsia" w:ascii="宋体" w:hAnsi="宋体" w:eastAsia="宋体" w:cs="Times New Roman"/>
          <w:szCs w:val="21"/>
        </w:rPr>
        <w:t>竞价</w:t>
      </w:r>
      <w:r>
        <w:rPr>
          <w:rFonts w:hint="eastAsia" w:ascii="宋体" w:hAnsi="宋体" w:eastAsia="宋体" w:cs="Times New Roman"/>
          <w:szCs w:val="21"/>
          <w:lang w:eastAsia="zh-TW"/>
        </w:rPr>
        <w:t>文件和响应承诺中</w:t>
      </w:r>
      <w:r>
        <w:rPr>
          <w:rFonts w:hint="eastAsia" w:ascii="宋体" w:hAnsi="宋体" w:eastAsia="宋体" w:cs="Times New Roman"/>
          <w:szCs w:val="21"/>
        </w:rPr>
        <w:t>甲方</w:t>
      </w:r>
      <w:r>
        <w:rPr>
          <w:rFonts w:hint="eastAsia" w:ascii="宋体" w:hAnsi="宋体" w:eastAsia="宋体" w:cs="Times New Roman"/>
          <w:szCs w:val="21"/>
          <w:lang w:eastAsia="zh-TW"/>
        </w:rPr>
        <w:t>认可的合理最佳配置、参数及各项要求。</w:t>
      </w:r>
    </w:p>
    <w:p w14:paraId="0267584C">
      <w:pPr>
        <w:tabs>
          <w:tab w:val="left" w:pos="567"/>
        </w:tabs>
        <w:adjustRightInd w:val="0"/>
        <w:snapToGrid w:val="0"/>
        <w:spacing w:line="500" w:lineRule="exact"/>
        <w:ind w:left="210" w:hanging="210" w:hangingChars="100"/>
        <w:textAlignment w:val="baseline"/>
        <w:rPr>
          <w:rFonts w:ascii="宋体" w:hAnsi="宋体" w:eastAsia="宋体" w:cs="宋体"/>
          <w:b/>
          <w:bCs/>
          <w:color w:val="000000"/>
          <w:szCs w:val="21"/>
        </w:rPr>
      </w:pPr>
      <w:r>
        <w:rPr>
          <w:rFonts w:hint="eastAsia" w:ascii="宋体" w:hAnsi="宋体" w:eastAsia="宋体" w:cs="Times New Roman"/>
          <w:szCs w:val="21"/>
        </w:rPr>
        <w:t>10.乙方应确保产品质量。提供的假冒伪劣商品或因商品的质量问题造成安全事故，乙方承担一切责任并赔偿一切损失。对有质疑的商品可送有关检测机构进行质量确认，如质量有问题，则检测费由乙方支付，视同违约，承担违约责任。</w:t>
      </w:r>
    </w:p>
    <w:p w14:paraId="67365F74">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包装、运输</w:t>
      </w:r>
    </w:p>
    <w:p w14:paraId="31C800A7">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1.乙方应提供运至交付地点所需要的包装，包装应符合经济、牢固、美观的要求，采取防潮、防晒、防锈、防震及防止其它损坏的必要措施，以防止货物在运转中损坏或变质。</w:t>
      </w:r>
    </w:p>
    <w:p w14:paraId="761FDAD2">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2.包装必须要符合相关法律、法规的要求，包括与环境、职业健康和安全有关的法律、法规标准。</w:t>
      </w:r>
    </w:p>
    <w:p w14:paraId="2C505148">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3.运输包装应根据产品的特点及国家相关标准标注有相应的运输标志。</w:t>
      </w:r>
    </w:p>
    <w:p w14:paraId="6798F3DD">
      <w:pPr>
        <w:tabs>
          <w:tab w:val="left" w:pos="567"/>
        </w:tabs>
        <w:adjustRightInd w:val="0"/>
        <w:snapToGrid w:val="0"/>
        <w:spacing w:line="500" w:lineRule="exact"/>
        <w:textAlignment w:val="baseline"/>
        <w:rPr>
          <w:rFonts w:ascii="宋体" w:hAnsi="宋体" w:eastAsia="宋体" w:cs="Times New Roman"/>
          <w:szCs w:val="21"/>
        </w:rPr>
      </w:pPr>
      <w:r>
        <w:rPr>
          <w:rFonts w:hint="eastAsia" w:ascii="宋体" w:hAnsi="宋体" w:eastAsia="宋体" w:cs="Times New Roman"/>
          <w:szCs w:val="21"/>
        </w:rPr>
        <w:t>4.乙方负责将货物运输并卸载到甲方指定地点。</w:t>
      </w:r>
    </w:p>
    <w:p w14:paraId="13B2713C">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5. 乙方必须依照竞价文件的要求和响应文件的承诺，将货物安装并调试至正常运行的最佳状态。</w:t>
      </w:r>
    </w:p>
    <w:p w14:paraId="28B8285F">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乙方负责合同货物的安装，一切费用由乙方负责。</w:t>
      </w:r>
    </w:p>
    <w:p w14:paraId="49AF7F27">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乙方安装时须对各安装场地内的其他货物、设施有良好保护措施。</w:t>
      </w:r>
    </w:p>
    <w:p w14:paraId="46B04D37">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保险</w:t>
      </w:r>
    </w:p>
    <w:p w14:paraId="375ACFF6">
      <w:pPr>
        <w:tabs>
          <w:tab w:val="left" w:pos="567"/>
        </w:tabs>
        <w:adjustRightInd w:val="0"/>
        <w:snapToGrid w:val="0"/>
        <w:spacing w:line="500" w:lineRule="exact"/>
        <w:ind w:firstLine="420" w:firstLineChars="200"/>
        <w:textAlignment w:val="baseline"/>
        <w:rPr>
          <w:rFonts w:ascii="宋体" w:hAnsi="宋体" w:eastAsia="宋体" w:cs="Times New Roman"/>
          <w:szCs w:val="21"/>
        </w:rPr>
      </w:pPr>
      <w:r>
        <w:rPr>
          <w:rFonts w:hint="eastAsia" w:ascii="宋体" w:hAnsi="宋体" w:eastAsia="宋体" w:cs="Times New Roman"/>
          <w:szCs w:val="21"/>
        </w:rPr>
        <w:t>货物到达交货地点之前的所有保险费用和派往甲方进行服务人员的人身险和其他有关险种，以及有关费用由乙方负责。</w:t>
      </w:r>
    </w:p>
    <w:p w14:paraId="37A53263">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lang w:val="zh-CN"/>
        </w:rPr>
        <w:t>质保期</w:t>
      </w:r>
      <w:r>
        <w:rPr>
          <w:rFonts w:hint="eastAsia" w:ascii="宋体" w:hAnsi="宋体" w:eastAsia="宋体"/>
          <w:b/>
          <w:bCs/>
          <w:szCs w:val="21"/>
        </w:rPr>
        <w:t>及售后服务</w:t>
      </w:r>
    </w:p>
    <w:p w14:paraId="3FE4FD8E">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1.质量保修范围：由于材料、工艺等问题而导致的产品功能失效、性能下降等缺陷(属于自然力或战争等不可抗拒力、人为因素等造成的除外)。</w:t>
      </w:r>
    </w:p>
    <w:p w14:paraId="5048CEAD">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2.质保期为</w:t>
      </w:r>
      <w:r>
        <w:rPr>
          <w:rFonts w:hint="eastAsia" w:ascii="宋体" w:hAnsi="宋体" w:eastAsia="宋体" w:cs="Times New Roman"/>
          <w:szCs w:val="21"/>
          <w:lang w:val="en-US" w:eastAsia="zh-CN"/>
        </w:rPr>
        <w:t>5</w:t>
      </w:r>
      <w:r>
        <w:rPr>
          <w:rFonts w:hint="eastAsia" w:ascii="宋体" w:hAnsi="宋体" w:eastAsia="宋体" w:cs="Times New Roman"/>
          <w:szCs w:val="21"/>
        </w:rPr>
        <w:t>年，质保期自货物最终验收合格之日起算，质保期内乙方对所供货物实行包修、包换、包退、包维护保养，期满后可同时提供终身有偿维修保养服务。质保期内，在非人为因素情况下，一切备品备件均由乙方免费提供。</w:t>
      </w:r>
    </w:p>
    <w:p w14:paraId="19785230">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3.对于不符合要求的货物，乙方必须无条件退货或更换。因乙方供应不合格的、假冒伪劣、以次充好的商品而造成甲方安全事故的，</w:t>
      </w:r>
      <w:r>
        <w:rPr>
          <w:rFonts w:hint="eastAsia"/>
          <w:kern w:val="2"/>
          <w:sz w:val="21"/>
          <w:szCs w:val="21"/>
          <w:lang w:bidi="ar"/>
        </w:rPr>
        <w:t>合同立即终止，</w:t>
      </w:r>
      <w:r>
        <w:rPr>
          <w:rFonts w:hint="eastAsia"/>
          <w:kern w:val="2"/>
          <w:sz w:val="21"/>
          <w:szCs w:val="21"/>
          <w:lang w:val="en-US" w:eastAsia="zh-CN" w:bidi="ar"/>
        </w:rPr>
        <w:t>甲方</w:t>
      </w:r>
      <w:r>
        <w:rPr>
          <w:rFonts w:hint="eastAsia"/>
          <w:kern w:val="2"/>
          <w:sz w:val="21"/>
          <w:szCs w:val="21"/>
          <w:lang w:bidi="ar"/>
        </w:rPr>
        <w:t>有权追究相关法律责任</w:t>
      </w:r>
      <w:r>
        <w:rPr>
          <w:rFonts w:hint="eastAsia" w:ascii="宋体" w:hAnsi="宋体" w:eastAsia="宋体" w:cs="Times New Roman"/>
          <w:szCs w:val="21"/>
        </w:rPr>
        <w:t>。</w:t>
      </w:r>
    </w:p>
    <w:p w14:paraId="418E4325">
      <w:pPr>
        <w:tabs>
          <w:tab w:val="left" w:pos="567"/>
        </w:tabs>
        <w:adjustRightInd w:val="0"/>
        <w:snapToGrid w:val="0"/>
        <w:spacing w:line="500" w:lineRule="exact"/>
        <w:ind w:left="210" w:hanging="210" w:hangingChars="100"/>
        <w:textAlignment w:val="baseline"/>
        <w:rPr>
          <w:rFonts w:ascii="宋体" w:hAnsi="宋体" w:eastAsia="宋体" w:cs="Times New Roman"/>
          <w:szCs w:val="21"/>
        </w:rPr>
      </w:pPr>
      <w:r>
        <w:rPr>
          <w:rFonts w:hint="eastAsia" w:ascii="宋体" w:hAnsi="宋体" w:eastAsia="宋体" w:cs="Times New Roman"/>
          <w:szCs w:val="21"/>
        </w:rPr>
        <w:t>4.对甲方发出的服务通知，乙方应当在甲方发出之日起7个工作日内处理完毕。若在7个工作日内仍未能有效解决，乙方应立即免费提供同档次的货物予甲方临时使用采取应急措施解决，不得影响甲方的正常工作业务。如</w:t>
      </w:r>
      <w:r>
        <w:rPr>
          <w:rFonts w:hint="eastAsia" w:ascii="宋体" w:hAnsi="宋体" w:eastAsia="宋体" w:cs="Times New Roman"/>
          <w:szCs w:val="21"/>
          <w:lang w:val="en-US" w:eastAsia="zh-CN"/>
        </w:rPr>
        <w:t>乙方未能按照本条约定履行或</w:t>
      </w:r>
      <w:r>
        <w:rPr>
          <w:rFonts w:hint="eastAsia" w:ascii="宋体" w:hAnsi="宋体" w:eastAsia="宋体" w:cs="Times New Roman"/>
          <w:szCs w:val="21"/>
        </w:rPr>
        <w:t>怠于</w:t>
      </w:r>
      <w:r>
        <w:rPr>
          <w:rFonts w:hint="eastAsia" w:ascii="宋体" w:hAnsi="宋体" w:eastAsia="宋体" w:cs="Times New Roman"/>
          <w:szCs w:val="21"/>
          <w:lang w:eastAsia="zh-CN"/>
        </w:rPr>
        <w:t>、</w:t>
      </w:r>
      <w:r>
        <w:rPr>
          <w:rFonts w:hint="eastAsia" w:ascii="宋体" w:hAnsi="宋体" w:eastAsia="宋体" w:cs="Times New Roman"/>
          <w:szCs w:val="21"/>
        </w:rPr>
        <w:t>拒绝履行质保义务的，</w:t>
      </w:r>
      <w:r>
        <w:rPr>
          <w:rFonts w:hint="eastAsia" w:ascii="宋体" w:hAnsi="宋体" w:eastAsia="宋体" w:cs="Times New Roman"/>
          <w:szCs w:val="21"/>
          <w:lang w:val="en-US" w:eastAsia="zh-CN"/>
        </w:rPr>
        <w:t>甲方</w:t>
      </w:r>
      <w:r>
        <w:rPr>
          <w:rFonts w:hint="eastAsia" w:ascii="宋体" w:hAnsi="宋体" w:eastAsia="宋体" w:cs="Times New Roman"/>
          <w:szCs w:val="21"/>
        </w:rPr>
        <w:t>有权自行寻找第三方提供维保服务，由此产生的费用由</w:t>
      </w:r>
      <w:r>
        <w:rPr>
          <w:rFonts w:hint="eastAsia" w:ascii="宋体" w:hAnsi="宋体" w:eastAsia="宋体" w:cs="Times New Roman"/>
          <w:szCs w:val="21"/>
          <w:lang w:val="en-US" w:eastAsia="zh-CN"/>
        </w:rPr>
        <w:t>乙方</w:t>
      </w:r>
      <w:r>
        <w:rPr>
          <w:rFonts w:hint="eastAsia" w:ascii="宋体" w:hAnsi="宋体" w:eastAsia="宋体" w:cs="Times New Roman"/>
          <w:szCs w:val="21"/>
        </w:rPr>
        <w:t>单方</w:t>
      </w:r>
      <w:r>
        <w:rPr>
          <w:rFonts w:hint="eastAsia" w:ascii="宋体" w:hAnsi="宋体" w:eastAsia="宋体" w:cs="Times New Roman"/>
          <w:szCs w:val="21"/>
          <w:lang w:val="en-US" w:eastAsia="zh-CN"/>
        </w:rPr>
        <w:t>面</w:t>
      </w:r>
      <w:r>
        <w:rPr>
          <w:rFonts w:hint="eastAsia" w:ascii="宋体" w:hAnsi="宋体" w:eastAsia="宋体" w:cs="Times New Roman"/>
          <w:szCs w:val="21"/>
        </w:rPr>
        <w:t>承担。</w:t>
      </w:r>
    </w:p>
    <w:p w14:paraId="606B3925">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异议索赔</w:t>
      </w:r>
    </w:p>
    <w:p w14:paraId="190B229E">
      <w:pPr>
        <w:spacing w:line="500" w:lineRule="exact"/>
        <w:ind w:firstLine="420" w:firstLineChars="200"/>
        <w:rPr>
          <w:rFonts w:ascii="宋体" w:hAnsi="宋体" w:eastAsia="宋体" w:cs="宋体"/>
          <w:szCs w:val="21"/>
        </w:rPr>
      </w:pPr>
      <w:r>
        <w:rPr>
          <w:rFonts w:hint="eastAsia" w:ascii="宋体" w:hAnsi="宋体" w:eastAsia="宋体" w:cs="宋体"/>
          <w:szCs w:val="21"/>
        </w:rPr>
        <w:t>1.乙方对于所提供的货物与合同要求不符负有责任。乙方同意甲方拒收货物，乙方负担由此发生的一切损失和费用。包括银行利息、运输和保险费、检</w:t>
      </w:r>
      <w:bookmarkStart w:id="0" w:name="_Hlt345252789"/>
      <w:bookmarkEnd w:id="0"/>
      <w:r>
        <w:rPr>
          <w:rFonts w:hint="eastAsia" w:ascii="宋体" w:hAnsi="宋体" w:eastAsia="宋体" w:cs="宋体"/>
          <w:szCs w:val="21"/>
        </w:rPr>
        <w:t>验费、仓储和装卸费等必要的费用。</w:t>
      </w:r>
    </w:p>
    <w:p w14:paraId="1457D138">
      <w:pPr>
        <w:spacing w:line="500" w:lineRule="exact"/>
        <w:ind w:firstLine="420" w:firstLineChars="200"/>
        <w:rPr>
          <w:rFonts w:ascii="宋体" w:hAnsi="宋体" w:eastAsia="宋体" w:cs="宋体"/>
          <w:szCs w:val="21"/>
        </w:rPr>
      </w:pPr>
      <w:r>
        <w:rPr>
          <w:rFonts w:hint="eastAsia" w:ascii="宋体" w:hAnsi="宋体" w:eastAsia="宋体" w:cs="宋体"/>
          <w:szCs w:val="21"/>
        </w:rPr>
        <w:t>2.对有缺陷的零件和部件，乙方同意免费更换，以达到合同规定的规格、质量和性能，乙方承担一切费用和风险并负担甲方遭受的一切损失。同时乙方相应顺延被更换货物的质保期。</w:t>
      </w:r>
    </w:p>
    <w:p w14:paraId="218B0D64">
      <w:pPr>
        <w:spacing w:line="500" w:lineRule="exact"/>
        <w:ind w:firstLine="420" w:firstLineChars="200"/>
        <w:rPr>
          <w:rFonts w:ascii="宋体" w:hAnsi="宋体" w:eastAsia="宋体" w:cs="宋体"/>
          <w:szCs w:val="21"/>
        </w:rPr>
      </w:pPr>
      <w:r>
        <w:rPr>
          <w:rFonts w:hint="eastAsia" w:ascii="宋体" w:hAnsi="宋体" w:eastAsia="宋体" w:cs="宋体"/>
          <w:szCs w:val="21"/>
        </w:rPr>
        <w:t>3.如果在甲方发出索赔通知后 5 天内，乙方未作答复，上述索赔应视为已被乙方接受。如乙方未能在收到索赔通知后 5 天内或征得甲方同意的延长期内，按照甲方选择的方法解决索赔事宜，甲方将有权从货款中扣回索赔金额，同时保留进一步要求索赔的权力。</w:t>
      </w:r>
    </w:p>
    <w:p w14:paraId="03712F72">
      <w:pPr>
        <w:spacing w:line="500" w:lineRule="exact"/>
        <w:ind w:firstLine="420" w:firstLineChars="200"/>
        <w:rPr>
          <w:rFonts w:ascii="宋体" w:hAnsi="宋体" w:eastAsia="宋体" w:cs="宋体"/>
          <w:szCs w:val="21"/>
        </w:rPr>
      </w:pPr>
      <w:r>
        <w:rPr>
          <w:rFonts w:hint="eastAsia" w:ascii="宋体" w:hAnsi="宋体" w:eastAsia="宋体" w:cs="宋体"/>
          <w:szCs w:val="21"/>
        </w:rPr>
        <w:t>4.甲方</w:t>
      </w:r>
      <w:r>
        <w:rPr>
          <w:rFonts w:ascii="宋体" w:hAnsi="宋体" w:eastAsia="宋体" w:cs="宋体"/>
          <w:szCs w:val="21"/>
        </w:rPr>
        <w:t>在使用</w:t>
      </w:r>
      <w:r>
        <w:rPr>
          <w:rFonts w:hint="eastAsia" w:ascii="宋体" w:hAnsi="宋体" w:eastAsia="宋体" w:cs="宋体"/>
          <w:szCs w:val="21"/>
        </w:rPr>
        <w:t>乙方</w:t>
      </w:r>
      <w:r>
        <w:rPr>
          <w:rFonts w:ascii="宋体" w:hAnsi="宋体" w:eastAsia="宋体" w:cs="宋体"/>
          <w:szCs w:val="21"/>
        </w:rPr>
        <w:t>供应的货物或货物的任何一部分及享受</w:t>
      </w:r>
      <w:r>
        <w:rPr>
          <w:rFonts w:hint="eastAsia" w:ascii="宋体" w:hAnsi="宋体" w:eastAsia="宋体" w:cs="宋体"/>
          <w:szCs w:val="21"/>
        </w:rPr>
        <w:t>乙方</w:t>
      </w:r>
      <w:r>
        <w:rPr>
          <w:rFonts w:ascii="宋体" w:hAnsi="宋体" w:eastAsia="宋体" w:cs="宋体"/>
          <w:szCs w:val="21"/>
        </w:rPr>
        <w:t>向</w:t>
      </w:r>
      <w:r>
        <w:rPr>
          <w:rFonts w:hint="eastAsia" w:ascii="宋体" w:hAnsi="宋体" w:eastAsia="宋体" w:cs="宋体"/>
          <w:szCs w:val="21"/>
        </w:rPr>
        <w:t>甲方</w:t>
      </w:r>
      <w:r>
        <w:rPr>
          <w:rFonts w:ascii="宋体" w:hAnsi="宋体" w:eastAsia="宋体" w:cs="宋体"/>
          <w:szCs w:val="21"/>
        </w:rPr>
        <w:t>提供的服务时，如受第三方提出的侵犯其专利权、商标权或其他知识产权的起诉，由</w:t>
      </w:r>
      <w:r>
        <w:rPr>
          <w:rFonts w:hint="eastAsia" w:ascii="宋体" w:hAnsi="宋体" w:eastAsia="宋体" w:cs="宋体"/>
          <w:szCs w:val="21"/>
        </w:rPr>
        <w:t>乙方</w:t>
      </w:r>
      <w:r>
        <w:rPr>
          <w:rFonts w:ascii="宋体" w:hAnsi="宋体" w:eastAsia="宋体" w:cs="宋体"/>
          <w:szCs w:val="21"/>
        </w:rPr>
        <w:t>承担一切责任，且</w:t>
      </w:r>
      <w:r>
        <w:rPr>
          <w:rFonts w:hint="eastAsia" w:ascii="宋体" w:hAnsi="宋体" w:eastAsia="宋体" w:cs="宋体"/>
          <w:szCs w:val="21"/>
        </w:rPr>
        <w:t>乙方</w:t>
      </w:r>
      <w:r>
        <w:rPr>
          <w:rFonts w:ascii="宋体" w:hAnsi="宋体" w:eastAsia="宋体" w:cs="宋体"/>
          <w:szCs w:val="21"/>
        </w:rPr>
        <w:t>应赔偿</w:t>
      </w:r>
      <w:r>
        <w:rPr>
          <w:rFonts w:hint="eastAsia" w:ascii="宋体" w:hAnsi="宋体" w:eastAsia="宋体" w:cs="宋体"/>
          <w:szCs w:val="21"/>
        </w:rPr>
        <w:t>甲方</w:t>
      </w:r>
      <w:r>
        <w:rPr>
          <w:rFonts w:ascii="宋体" w:hAnsi="宋体" w:eastAsia="宋体" w:cs="宋体"/>
          <w:szCs w:val="21"/>
        </w:rPr>
        <w:t>由于上述原因而造成的损失（包括但不限于赔偿费、诉讼费、律师费等）。</w:t>
      </w:r>
    </w:p>
    <w:p w14:paraId="4B932663">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违约责任</w:t>
      </w:r>
    </w:p>
    <w:p w14:paraId="0B0B6002">
      <w:pPr>
        <w:spacing w:line="500" w:lineRule="exact"/>
        <w:ind w:firstLine="420" w:firstLineChars="200"/>
        <w:rPr>
          <w:rFonts w:ascii="宋体" w:hAnsi="宋体" w:eastAsia="宋体" w:cs="宋体"/>
          <w:szCs w:val="21"/>
        </w:rPr>
      </w:pPr>
      <w:r>
        <w:rPr>
          <w:rFonts w:hint="eastAsia" w:ascii="宋体" w:hAnsi="宋体" w:eastAsia="宋体" w:cs="宋体"/>
          <w:szCs w:val="21"/>
        </w:rPr>
        <w:t>1.乙方逾期交货及未按时履行保修义务，则按合同总价每天5 ‰支付违约金给甲方。如超过合同规定交货期限 7 天乙方仍不能交货完毕，则视为乙方不能交货。</w:t>
      </w:r>
    </w:p>
    <w:p w14:paraId="1D385E59">
      <w:pPr>
        <w:spacing w:line="500" w:lineRule="exact"/>
        <w:ind w:firstLine="420" w:firstLineChars="200"/>
        <w:rPr>
          <w:rFonts w:ascii="宋体" w:hAnsi="宋体" w:eastAsia="宋体" w:cs="宋体"/>
          <w:szCs w:val="21"/>
        </w:rPr>
      </w:pPr>
      <w:r>
        <w:rPr>
          <w:rFonts w:hint="eastAsia" w:ascii="宋体" w:hAnsi="宋体" w:eastAsia="宋体" w:cs="宋体"/>
          <w:szCs w:val="21"/>
        </w:rPr>
        <w:t>2.乙方不能交货，则按合同总价30 %支付违约金给甲方。同时，甲方有权单方面解除合同。如上述违约金金额仍不足以补偿甲方因乙方违约造成的损失，甲方有权进一步向乙方提出索赔。</w:t>
      </w:r>
    </w:p>
    <w:p w14:paraId="618DCF2E">
      <w:pPr>
        <w:spacing w:line="500" w:lineRule="exact"/>
        <w:ind w:firstLine="420" w:firstLineChars="200"/>
        <w:rPr>
          <w:rFonts w:ascii="宋体" w:hAnsi="宋体" w:eastAsia="宋体" w:cs="宋体"/>
          <w:szCs w:val="21"/>
        </w:rPr>
      </w:pPr>
      <w:r>
        <w:rPr>
          <w:rFonts w:hint="eastAsia" w:ascii="宋体" w:hAnsi="宋体" w:eastAsia="宋体" w:cs="宋体"/>
          <w:szCs w:val="21"/>
        </w:rPr>
        <w:t>3.货物未能一次性通过验收，则甲方同意由乙方予以整改，并在第一次验收结束之日起3 天内重新组织验收；经3 次验收不合格的，甲方有权单方面解除合同，</w:t>
      </w:r>
      <w:r>
        <w:rPr>
          <w:rFonts w:hint="eastAsia"/>
          <w:kern w:val="2"/>
          <w:sz w:val="21"/>
          <w:szCs w:val="21"/>
          <w:lang w:bidi="ar"/>
        </w:rPr>
        <w:t>如因此给</w:t>
      </w:r>
      <w:r>
        <w:rPr>
          <w:rFonts w:hint="eastAsia"/>
          <w:kern w:val="2"/>
          <w:sz w:val="21"/>
          <w:szCs w:val="21"/>
          <w:lang w:val="en-US" w:eastAsia="zh-CN" w:bidi="ar"/>
        </w:rPr>
        <w:t>甲方</w:t>
      </w:r>
      <w:r>
        <w:rPr>
          <w:rFonts w:hint="eastAsia"/>
          <w:kern w:val="2"/>
          <w:sz w:val="21"/>
          <w:szCs w:val="21"/>
          <w:lang w:bidi="ar"/>
        </w:rPr>
        <w:t>造成损失的，</w:t>
      </w:r>
      <w:r>
        <w:rPr>
          <w:rFonts w:hint="eastAsia"/>
          <w:kern w:val="2"/>
          <w:sz w:val="21"/>
          <w:szCs w:val="21"/>
          <w:lang w:val="en-US" w:eastAsia="zh-CN" w:bidi="ar"/>
        </w:rPr>
        <w:t>甲方</w:t>
      </w:r>
      <w:r>
        <w:rPr>
          <w:rFonts w:hint="eastAsia"/>
          <w:kern w:val="2"/>
          <w:sz w:val="21"/>
          <w:szCs w:val="21"/>
          <w:lang w:bidi="ar"/>
        </w:rPr>
        <w:t>有权向</w:t>
      </w:r>
      <w:r>
        <w:rPr>
          <w:rFonts w:hint="eastAsia"/>
          <w:kern w:val="2"/>
          <w:sz w:val="21"/>
          <w:szCs w:val="21"/>
          <w:lang w:val="en-US" w:eastAsia="zh-CN" w:bidi="ar"/>
        </w:rPr>
        <w:t>乙方</w:t>
      </w:r>
      <w:r>
        <w:rPr>
          <w:rFonts w:hint="eastAsia"/>
          <w:kern w:val="2"/>
          <w:sz w:val="21"/>
          <w:szCs w:val="21"/>
          <w:lang w:bidi="ar"/>
        </w:rPr>
        <w:t>提出索赔</w:t>
      </w:r>
      <w:r>
        <w:rPr>
          <w:rFonts w:hint="eastAsia" w:ascii="宋体" w:hAnsi="宋体" w:eastAsia="宋体" w:cs="宋体"/>
          <w:szCs w:val="21"/>
        </w:rPr>
        <w:t>。</w:t>
      </w:r>
    </w:p>
    <w:p w14:paraId="3030F7EE">
      <w:pPr>
        <w:spacing w:line="500" w:lineRule="exact"/>
        <w:ind w:firstLine="420" w:firstLineChars="200"/>
        <w:rPr>
          <w:rFonts w:ascii="宋体" w:hAnsi="宋体" w:eastAsia="宋体" w:cs="宋体"/>
          <w:szCs w:val="21"/>
        </w:rPr>
      </w:pPr>
      <w:r>
        <w:rPr>
          <w:rFonts w:hint="eastAsia" w:ascii="宋体" w:hAnsi="宋体" w:eastAsia="宋体" w:cs="宋体"/>
          <w:szCs w:val="21"/>
        </w:rPr>
        <w:t>4.如果甲方逾期付款，则按拖欠金额每天 2 ‰支付违约金给乙方，直至该款付清为止。</w:t>
      </w:r>
    </w:p>
    <w:p w14:paraId="457AC4C5">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5.因</w:t>
      </w:r>
      <w:r>
        <w:rPr>
          <w:rFonts w:hint="eastAsia"/>
          <w:kern w:val="2"/>
          <w:sz w:val="21"/>
          <w:szCs w:val="21"/>
          <w:lang w:val="en-US" w:eastAsia="zh-CN" w:bidi="ar"/>
        </w:rPr>
        <w:t>乙方违反合同约定</w:t>
      </w:r>
      <w:r>
        <w:rPr>
          <w:rFonts w:hint="eastAsia" w:ascii="宋体" w:hAnsi="宋体" w:eastAsia="宋体" w:cs="宋体"/>
          <w:szCs w:val="21"/>
        </w:rPr>
        <w:t>，</w:t>
      </w:r>
      <w:r>
        <w:rPr>
          <w:rFonts w:hint="eastAsia" w:ascii="宋体" w:hAnsi="宋体" w:eastAsia="宋体" w:cs="宋体"/>
          <w:szCs w:val="21"/>
          <w:lang w:eastAsia="zh-CN"/>
        </w:rPr>
        <w:t>甲方</w:t>
      </w:r>
      <w:r>
        <w:rPr>
          <w:rFonts w:hint="eastAsia" w:ascii="宋体" w:hAnsi="宋体" w:eastAsia="宋体" w:cs="宋体"/>
          <w:szCs w:val="21"/>
        </w:rPr>
        <w:t>解除合同的，</w:t>
      </w:r>
      <w:r>
        <w:rPr>
          <w:rFonts w:hint="eastAsia" w:ascii="宋体" w:hAnsi="宋体" w:eastAsia="宋体" w:cs="宋体"/>
          <w:szCs w:val="21"/>
          <w:lang w:eastAsia="zh-CN"/>
        </w:rPr>
        <w:t>乙方</w:t>
      </w:r>
      <w:r>
        <w:rPr>
          <w:rFonts w:hint="eastAsia" w:ascii="宋体" w:hAnsi="宋体" w:eastAsia="宋体" w:cs="宋体"/>
          <w:szCs w:val="21"/>
        </w:rPr>
        <w:t>须在接到</w:t>
      </w:r>
      <w:r>
        <w:rPr>
          <w:rFonts w:hint="eastAsia" w:ascii="宋体" w:hAnsi="宋体" w:eastAsia="宋体" w:cs="宋体"/>
          <w:szCs w:val="21"/>
          <w:lang w:eastAsia="zh-CN"/>
        </w:rPr>
        <w:t>甲方</w:t>
      </w:r>
      <w:r>
        <w:rPr>
          <w:rFonts w:hint="eastAsia" w:ascii="宋体" w:hAnsi="宋体" w:eastAsia="宋体" w:cs="宋体"/>
          <w:szCs w:val="21"/>
        </w:rPr>
        <w:t>解约通知之日起 7 天内退回</w:t>
      </w:r>
      <w:r>
        <w:rPr>
          <w:rFonts w:hint="eastAsia" w:ascii="宋体" w:hAnsi="宋体" w:eastAsia="宋体" w:cs="宋体"/>
          <w:szCs w:val="21"/>
          <w:lang w:eastAsia="zh-CN"/>
        </w:rPr>
        <w:t>甲方</w:t>
      </w:r>
      <w:r>
        <w:rPr>
          <w:rFonts w:hint="eastAsia" w:ascii="宋体" w:hAnsi="宋体" w:eastAsia="宋体" w:cs="宋体"/>
          <w:szCs w:val="21"/>
        </w:rPr>
        <w:t>已支付的价款。</w:t>
      </w:r>
    </w:p>
    <w:p w14:paraId="3C0915EB">
      <w:pPr>
        <w:spacing w:line="5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6.</w:t>
      </w:r>
      <w:r>
        <w:rPr>
          <w:rFonts w:hint="eastAsia" w:ascii="宋体" w:hAnsi="宋体" w:eastAsia="宋体" w:cs="宋体"/>
          <w:szCs w:val="21"/>
        </w:rPr>
        <w:t>合同期内，如</w:t>
      </w:r>
      <w:r>
        <w:rPr>
          <w:rFonts w:hint="eastAsia" w:ascii="宋体" w:hAnsi="宋体" w:eastAsia="宋体" w:cs="宋体"/>
          <w:szCs w:val="21"/>
          <w:lang w:eastAsia="zh-CN"/>
        </w:rPr>
        <w:t>乙方</w:t>
      </w:r>
      <w:r>
        <w:rPr>
          <w:rFonts w:hint="eastAsia" w:ascii="宋体" w:hAnsi="宋体" w:eastAsia="宋体" w:cs="宋体"/>
          <w:szCs w:val="21"/>
        </w:rPr>
        <w:t>累计出现3次（含3次）以上违约行为的（包括但不限于逾期供货、供货数量、质量不符合要求的），</w:t>
      </w:r>
      <w:r>
        <w:rPr>
          <w:rFonts w:hint="eastAsia" w:ascii="宋体" w:hAnsi="宋体" w:eastAsia="宋体" w:cs="宋体"/>
          <w:szCs w:val="21"/>
          <w:lang w:eastAsia="zh-CN"/>
        </w:rPr>
        <w:t>甲方</w:t>
      </w:r>
      <w:r>
        <w:rPr>
          <w:rFonts w:hint="eastAsia" w:ascii="宋体" w:hAnsi="宋体" w:eastAsia="宋体" w:cs="宋体"/>
          <w:szCs w:val="21"/>
        </w:rPr>
        <w:t>有权立即解除本项目合同，并要求</w:t>
      </w:r>
      <w:r>
        <w:rPr>
          <w:rFonts w:hint="eastAsia" w:ascii="宋体" w:hAnsi="宋体" w:eastAsia="宋体" w:cs="宋体"/>
          <w:szCs w:val="21"/>
          <w:lang w:eastAsia="zh-CN"/>
        </w:rPr>
        <w:t>乙方</w:t>
      </w:r>
      <w:r>
        <w:rPr>
          <w:rFonts w:hint="eastAsia" w:ascii="宋体" w:hAnsi="宋体" w:eastAsia="宋体" w:cs="宋体"/>
          <w:szCs w:val="21"/>
        </w:rPr>
        <w:t>按合同总价款的20%支付违约金。</w:t>
      </w:r>
    </w:p>
    <w:p w14:paraId="5BB148DB">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争议解决方式</w:t>
      </w:r>
    </w:p>
    <w:p w14:paraId="1AE01396">
      <w:pPr>
        <w:pStyle w:val="11"/>
        <w:widowControl w:val="0"/>
        <w:numPr>
          <w:ilvl w:val="0"/>
          <w:numId w:val="4"/>
        </w:numPr>
        <w:snapToGrid w:val="0"/>
        <w:spacing w:before="0" w:beforeAutospacing="0" w:after="0" w:afterAutospacing="0" w:line="360" w:lineRule="auto"/>
        <w:ind w:left="0" w:firstLine="420" w:firstLineChars="200"/>
        <w:jc w:val="both"/>
        <w:rPr>
          <w:rFonts w:hint="eastAsia"/>
          <w:sz w:val="21"/>
          <w:szCs w:val="21"/>
        </w:rPr>
      </w:pPr>
      <w:r>
        <w:rPr>
          <w:rFonts w:hint="eastAsia"/>
          <w:kern w:val="2"/>
          <w:sz w:val="21"/>
          <w:szCs w:val="21"/>
          <w:lang w:bidi="ar"/>
        </w:rPr>
        <w:t>因货物的质量问题而发生的争议，由广东省或肇庆质检部门进行质量鉴定。经检验，质量符合标准的，鉴定费用由</w:t>
      </w:r>
      <w:r>
        <w:rPr>
          <w:rFonts w:hint="eastAsia"/>
          <w:kern w:val="2"/>
          <w:sz w:val="21"/>
          <w:szCs w:val="21"/>
          <w:lang w:eastAsia="zh-CN" w:bidi="ar"/>
        </w:rPr>
        <w:t>甲方</w:t>
      </w:r>
      <w:r>
        <w:rPr>
          <w:rFonts w:hint="eastAsia"/>
          <w:kern w:val="2"/>
          <w:sz w:val="21"/>
          <w:szCs w:val="21"/>
          <w:lang w:bidi="ar"/>
        </w:rPr>
        <w:t>承担；质量不符合标准的，鉴定费用由</w:t>
      </w:r>
      <w:r>
        <w:rPr>
          <w:rFonts w:hint="eastAsia"/>
          <w:kern w:val="2"/>
          <w:sz w:val="21"/>
          <w:szCs w:val="21"/>
          <w:lang w:eastAsia="zh-CN" w:bidi="ar"/>
        </w:rPr>
        <w:t>乙方</w:t>
      </w:r>
      <w:r>
        <w:rPr>
          <w:rFonts w:hint="eastAsia"/>
          <w:kern w:val="2"/>
          <w:sz w:val="21"/>
          <w:szCs w:val="21"/>
          <w:lang w:bidi="ar"/>
        </w:rPr>
        <w:t>承担，并且</w:t>
      </w:r>
      <w:r>
        <w:rPr>
          <w:rFonts w:hint="eastAsia"/>
          <w:kern w:val="2"/>
          <w:sz w:val="21"/>
          <w:szCs w:val="21"/>
          <w:lang w:eastAsia="zh-CN" w:bidi="ar"/>
        </w:rPr>
        <w:t>乙方</w:t>
      </w:r>
      <w:r>
        <w:rPr>
          <w:rFonts w:hint="eastAsia"/>
          <w:kern w:val="2"/>
          <w:sz w:val="21"/>
          <w:szCs w:val="21"/>
          <w:lang w:bidi="ar"/>
        </w:rPr>
        <w:t>负责重新提供符合合同要求的货物给</w:t>
      </w:r>
      <w:r>
        <w:rPr>
          <w:rFonts w:hint="eastAsia"/>
          <w:kern w:val="2"/>
          <w:sz w:val="21"/>
          <w:szCs w:val="21"/>
          <w:lang w:eastAsia="zh-CN" w:bidi="ar"/>
        </w:rPr>
        <w:t>甲方</w:t>
      </w:r>
      <w:r>
        <w:rPr>
          <w:rFonts w:hint="eastAsia"/>
          <w:kern w:val="2"/>
          <w:sz w:val="21"/>
          <w:szCs w:val="21"/>
          <w:lang w:bidi="ar"/>
        </w:rPr>
        <w:t>，由此造成延期供货的，</w:t>
      </w:r>
      <w:r>
        <w:rPr>
          <w:rFonts w:hint="eastAsia"/>
          <w:kern w:val="2"/>
          <w:sz w:val="21"/>
          <w:szCs w:val="21"/>
          <w:lang w:eastAsia="zh-CN" w:bidi="ar"/>
        </w:rPr>
        <w:t>乙方</w:t>
      </w:r>
      <w:r>
        <w:rPr>
          <w:rFonts w:hint="eastAsia"/>
          <w:kern w:val="2"/>
          <w:sz w:val="21"/>
          <w:szCs w:val="21"/>
          <w:lang w:bidi="ar"/>
        </w:rPr>
        <w:t>承担延期供货的违约责任。</w:t>
      </w:r>
    </w:p>
    <w:p w14:paraId="511D5C31">
      <w:pPr>
        <w:pStyle w:val="11"/>
        <w:widowControl w:val="0"/>
        <w:numPr>
          <w:ilvl w:val="0"/>
          <w:numId w:val="4"/>
        </w:numPr>
        <w:snapToGrid w:val="0"/>
        <w:spacing w:before="0" w:beforeAutospacing="0" w:after="0" w:afterAutospacing="0" w:line="360" w:lineRule="auto"/>
        <w:ind w:left="0" w:firstLine="420" w:firstLineChars="200"/>
        <w:jc w:val="both"/>
        <w:rPr>
          <w:rFonts w:hint="eastAsia"/>
          <w:kern w:val="2"/>
          <w:sz w:val="21"/>
          <w:szCs w:val="21"/>
          <w:lang w:bidi="ar"/>
        </w:rPr>
      </w:pPr>
      <w:r>
        <w:rPr>
          <w:rFonts w:hint="eastAsia"/>
          <w:kern w:val="2"/>
          <w:sz w:val="21"/>
          <w:szCs w:val="21"/>
          <w:lang w:bidi="ar"/>
        </w:rPr>
        <w:t>合同发生争议，由双方协商或由政府采购监督管理部门调解解决，协商或调解不成时向</w:t>
      </w:r>
      <w:r>
        <w:rPr>
          <w:rFonts w:hint="eastAsia"/>
          <w:kern w:val="2"/>
          <w:sz w:val="21"/>
          <w:szCs w:val="21"/>
          <w:lang w:eastAsia="zh-CN" w:bidi="ar"/>
        </w:rPr>
        <w:t>甲方</w:t>
      </w:r>
      <w:r>
        <w:rPr>
          <w:rFonts w:hint="eastAsia"/>
          <w:kern w:val="2"/>
          <w:sz w:val="21"/>
          <w:szCs w:val="21"/>
          <w:lang w:bidi="ar"/>
        </w:rPr>
        <w:t>所在地的人民法院提起诉讼。在诉讼期间，除有争议部分的事项外，合同其他部分仍应继续履行。（在诉讼期间，除有争议部分的事项外，合同其他部分仍应继续履行）。</w:t>
      </w:r>
    </w:p>
    <w:p w14:paraId="25733F97">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付款方式</w:t>
      </w:r>
    </w:p>
    <w:p w14:paraId="20889B87">
      <w:pPr>
        <w:spacing w:line="500" w:lineRule="exact"/>
        <w:ind w:firstLine="420" w:firstLineChars="200"/>
        <w:rPr>
          <w:rFonts w:ascii="宋体" w:hAnsi="宋体" w:eastAsia="宋体" w:cs="宋体"/>
          <w:szCs w:val="21"/>
        </w:rPr>
      </w:pPr>
      <w:r>
        <w:rPr>
          <w:rFonts w:hint="eastAsia" w:ascii="宋体" w:hAnsi="宋体" w:eastAsia="宋体" w:cs="宋体"/>
          <w:szCs w:val="21"/>
        </w:rPr>
        <w:t>1.乙方按甲方的要求完成供货后，于次月10日前凭国家正式发票向甲方申请支付款项，甲方验收货物合格后且收到发票之日起于三十日内一次性结算，遇节假日时间顺延，特殊情况双方协商解决。</w:t>
      </w:r>
    </w:p>
    <w:p w14:paraId="36567CFB">
      <w:pPr>
        <w:spacing w:line="500" w:lineRule="exact"/>
        <w:ind w:firstLine="420" w:firstLineChars="200"/>
        <w:rPr>
          <w:rFonts w:ascii="宋体" w:hAnsi="宋体" w:eastAsia="宋体" w:cs="宋体"/>
          <w:szCs w:val="21"/>
        </w:rPr>
      </w:pPr>
      <w:r>
        <w:rPr>
          <w:rFonts w:hint="eastAsia" w:ascii="宋体" w:hAnsi="宋体" w:eastAsia="宋体" w:cs="宋体"/>
          <w:szCs w:val="21"/>
        </w:rPr>
        <w:t>2.按合同支付款项前，乙方应向甲方提供与支付金额相符的有效发票，且收款方、出具发票方、合同乙方均必须与</w:t>
      </w:r>
      <w:r>
        <w:rPr>
          <w:rFonts w:hint="eastAsia" w:ascii="宋体" w:hAnsi="宋体" w:eastAsia="宋体" w:cs="宋体"/>
          <w:szCs w:val="21"/>
          <w:lang w:val="en-US" w:eastAsia="zh-CN"/>
        </w:rPr>
        <w:t>乙方</w:t>
      </w:r>
      <w:r>
        <w:rPr>
          <w:rFonts w:hint="eastAsia" w:ascii="宋体" w:hAnsi="宋体" w:eastAsia="宋体" w:cs="宋体"/>
          <w:szCs w:val="21"/>
        </w:rPr>
        <w:t>名称一致。</w:t>
      </w:r>
    </w:p>
    <w:p w14:paraId="5C957A17">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付款方式：采用支票、银行汇票、电汇三种形式。</w:t>
      </w:r>
    </w:p>
    <w:p w14:paraId="163C35FE">
      <w:pPr>
        <w:spacing w:line="5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如</w:t>
      </w:r>
      <w:r>
        <w:rPr>
          <w:rFonts w:hint="eastAsia" w:ascii="宋体" w:hAnsi="宋体" w:eastAsia="宋体" w:cs="宋体"/>
          <w:szCs w:val="21"/>
          <w:lang w:eastAsia="zh-CN"/>
        </w:rPr>
        <w:t>甲方</w:t>
      </w:r>
      <w:r>
        <w:rPr>
          <w:rFonts w:hint="eastAsia" w:ascii="宋体" w:hAnsi="宋体" w:eastAsia="宋体" w:cs="宋体"/>
          <w:szCs w:val="21"/>
        </w:rPr>
        <w:t>对</w:t>
      </w:r>
      <w:r>
        <w:rPr>
          <w:rFonts w:hint="eastAsia" w:ascii="宋体" w:hAnsi="宋体" w:eastAsia="宋体" w:cs="宋体"/>
          <w:szCs w:val="21"/>
          <w:lang w:eastAsia="zh-CN"/>
        </w:rPr>
        <w:t>乙方</w:t>
      </w:r>
      <w:r>
        <w:rPr>
          <w:rFonts w:hint="eastAsia" w:ascii="宋体" w:hAnsi="宋体" w:eastAsia="宋体" w:cs="宋体"/>
          <w:szCs w:val="21"/>
        </w:rPr>
        <w:t>提交的对账请款等凭证存在异议，</w:t>
      </w:r>
      <w:r>
        <w:rPr>
          <w:rFonts w:hint="eastAsia" w:ascii="宋体" w:hAnsi="宋体" w:eastAsia="宋体" w:cs="宋体"/>
          <w:szCs w:val="21"/>
          <w:lang w:eastAsia="zh-CN"/>
        </w:rPr>
        <w:t>甲方</w:t>
      </w:r>
      <w:r>
        <w:rPr>
          <w:rFonts w:hint="eastAsia" w:ascii="宋体" w:hAnsi="宋体" w:eastAsia="宋体" w:cs="宋体"/>
          <w:szCs w:val="21"/>
        </w:rPr>
        <w:t>有权中止支付且不构成违约，双方应尽快重新组织对账。</w:t>
      </w:r>
      <w:bookmarkStart w:id="1" w:name="_GoBack"/>
      <w:bookmarkEnd w:id="1"/>
    </w:p>
    <w:p w14:paraId="72D2BA06">
      <w:pPr>
        <w:pStyle w:val="2"/>
      </w:pPr>
    </w:p>
    <w:p w14:paraId="40B2D379">
      <w:pPr>
        <w:numPr>
          <w:ilvl w:val="0"/>
          <w:numId w:val="1"/>
        </w:numPr>
        <w:ind w:left="-420" w:firstLine="420"/>
        <w:outlineLvl w:val="1"/>
        <w:rPr>
          <w:rFonts w:hint="eastAsia" w:ascii="宋体" w:hAnsi="宋体" w:eastAsia="宋体"/>
          <w:b/>
          <w:bCs/>
          <w:szCs w:val="21"/>
        </w:rPr>
      </w:pPr>
      <w:r>
        <w:rPr>
          <w:rFonts w:hint="eastAsia" w:ascii="宋体" w:hAnsi="宋体" w:eastAsia="宋体"/>
          <w:b/>
          <w:bCs/>
          <w:szCs w:val="21"/>
        </w:rPr>
        <w:t>其他</w:t>
      </w:r>
    </w:p>
    <w:p w14:paraId="2C30EA9B">
      <w:pPr>
        <w:spacing w:line="500" w:lineRule="exact"/>
        <w:ind w:firstLine="420" w:firstLineChars="200"/>
        <w:rPr>
          <w:rFonts w:ascii="宋体" w:hAnsi="宋体" w:eastAsia="宋体" w:cs="宋体"/>
          <w:szCs w:val="21"/>
        </w:rPr>
      </w:pPr>
      <w:r>
        <w:rPr>
          <w:rFonts w:hint="eastAsia" w:ascii="宋体" w:hAnsi="宋体" w:eastAsia="宋体" w:cs="宋体"/>
          <w:szCs w:val="21"/>
        </w:rPr>
        <w:t>1、本项目成交通知书、竞价文件、报名文件、报价文件及附件均是本合同不可分割的部分，解释的顺序除特别说明外，以文件生成时间在后的为准。</w:t>
      </w:r>
    </w:p>
    <w:p w14:paraId="64FF6859">
      <w:pPr>
        <w:spacing w:line="500" w:lineRule="exact"/>
        <w:ind w:firstLine="420" w:firstLineChars="200"/>
        <w:rPr>
          <w:rFonts w:ascii="宋体" w:hAnsi="宋体" w:eastAsia="宋体" w:cs="宋体"/>
          <w:szCs w:val="21"/>
        </w:rPr>
      </w:pPr>
      <w:r>
        <w:rPr>
          <w:rFonts w:hint="eastAsia" w:ascii="宋体" w:hAnsi="宋体" w:eastAsia="宋体" w:cs="宋体"/>
          <w:szCs w:val="21"/>
        </w:rPr>
        <w:t>2、在执行合同过程中，所有经甲乙双方签署确认的文件（包括会议纪要、补充协议、往来信函）即成为本合同的有效组成部分，其生效日期为双方签字盖章确认的日期。</w:t>
      </w:r>
    </w:p>
    <w:p w14:paraId="6ED6ECCC">
      <w:pPr>
        <w:spacing w:line="500" w:lineRule="exact"/>
        <w:ind w:firstLine="420" w:firstLineChars="200"/>
        <w:rPr>
          <w:rFonts w:ascii="宋体" w:hAnsi="宋体" w:eastAsia="宋体" w:cs="宋体"/>
          <w:szCs w:val="21"/>
        </w:rPr>
      </w:pPr>
      <w:r>
        <w:rPr>
          <w:rFonts w:hint="eastAsia" w:ascii="宋体" w:hAnsi="宋体" w:eastAsia="宋体" w:cs="宋体"/>
          <w:szCs w:val="21"/>
        </w:rPr>
        <w:t>3、除甲方事先书面同意外，乙方不得部分或全部转让其应履行的合同项下的义务。</w:t>
      </w:r>
    </w:p>
    <w:p w14:paraId="3C5C45C9">
      <w:pPr>
        <w:spacing w:line="500" w:lineRule="exact"/>
        <w:ind w:firstLine="420" w:firstLineChars="200"/>
        <w:rPr>
          <w:rFonts w:ascii="宋体" w:hAnsi="宋体" w:eastAsia="宋体" w:cs="宋体"/>
          <w:szCs w:val="21"/>
        </w:rPr>
      </w:pPr>
      <w:r>
        <w:rPr>
          <w:rFonts w:hint="eastAsia" w:ascii="宋体" w:hAnsi="宋体" w:eastAsia="宋体" w:cs="宋体"/>
          <w:szCs w:val="21"/>
        </w:rPr>
        <w:t>4、本合同一式  肆  份，甲乙双方各执 贰 份，具有同等法律效力。</w:t>
      </w:r>
    </w:p>
    <w:p w14:paraId="3114E6C3">
      <w:pPr>
        <w:numPr>
          <w:ilvl w:val="0"/>
          <w:numId w:val="1"/>
        </w:numPr>
        <w:ind w:left="-420" w:firstLine="420"/>
        <w:outlineLvl w:val="1"/>
        <w:rPr>
          <w:rFonts w:hint="eastAsia" w:ascii="宋体" w:hAnsi="宋体" w:eastAsia="宋体"/>
          <w:b/>
          <w:bCs/>
          <w:szCs w:val="21"/>
          <w:lang w:val="en-US" w:eastAsia="zh-CN"/>
        </w:rPr>
      </w:pPr>
      <w:r>
        <w:rPr>
          <w:rFonts w:hint="eastAsia" w:ascii="宋体" w:hAnsi="宋体" w:eastAsia="宋体"/>
          <w:b/>
          <w:bCs/>
          <w:szCs w:val="21"/>
          <w:lang w:val="en-US" w:eastAsia="zh-CN"/>
        </w:rPr>
        <w:t>不可抗力</w:t>
      </w:r>
    </w:p>
    <w:p w14:paraId="00FD4CE2">
      <w:pPr>
        <w:pStyle w:val="11"/>
        <w:keepNext w:val="0"/>
        <w:keepLines w:val="0"/>
        <w:pageBreakBefore w:val="0"/>
        <w:widowControl w:val="0"/>
        <w:numPr>
          <w:ilvl w:val="0"/>
          <w:numId w:val="5"/>
        </w:numPr>
        <w:kinsoku/>
        <w:wordWrap/>
        <w:overflowPunct/>
        <w:topLinePunct w:val="0"/>
        <w:bidi w:val="0"/>
        <w:snapToGrid w:val="0"/>
        <w:spacing w:before="0" w:beforeAutospacing="0" w:after="0" w:afterAutospacing="0" w:line="360" w:lineRule="auto"/>
        <w:ind w:left="0" w:leftChars="0" w:firstLine="420" w:firstLineChars="0"/>
        <w:jc w:val="both"/>
        <w:rPr>
          <w:rFonts w:hint="eastAsia" w:ascii="宋体" w:hAnsi="宋体" w:eastAsia="宋体" w:cs="宋体"/>
          <w:sz w:val="21"/>
          <w:szCs w:val="21"/>
        </w:rPr>
      </w:pPr>
      <w:r>
        <w:rPr>
          <w:rFonts w:hint="eastAsia" w:ascii="宋体" w:hAnsi="宋体" w:eastAsia="宋体" w:cs="宋体"/>
          <w:kern w:val="2"/>
          <w:sz w:val="21"/>
          <w:szCs w:val="21"/>
          <w:lang w:bidi="ar"/>
        </w:rPr>
        <w:t>由于不可预见、不可避免、不可克服等不可抗力的原因，一方不能履行合同义务的，应当在不可抗力发生之日起</w:t>
      </w:r>
      <w:r>
        <w:rPr>
          <w:rFonts w:hint="eastAsia" w:ascii="宋体" w:hAnsi="宋体" w:eastAsia="宋体" w:cs="宋体"/>
          <w:kern w:val="2"/>
          <w:sz w:val="21"/>
          <w:szCs w:val="21"/>
          <w:u w:val="single"/>
          <w:lang w:bidi="ar"/>
        </w:rPr>
        <w:t xml:space="preserve"> 10 </w:t>
      </w:r>
      <w:r>
        <w:rPr>
          <w:rFonts w:hint="eastAsia" w:ascii="宋体" w:hAnsi="宋体" w:eastAsia="宋体" w:cs="宋体"/>
          <w:kern w:val="2"/>
          <w:sz w:val="21"/>
          <w:szCs w:val="21"/>
          <w:lang w:bidi="ar"/>
        </w:rPr>
        <w:t>天内以书面形式通知对方，证明不可抗力事件的存在。</w:t>
      </w:r>
    </w:p>
    <w:p w14:paraId="1C75F150">
      <w:pPr>
        <w:pStyle w:val="11"/>
        <w:keepNext w:val="0"/>
        <w:keepLines w:val="0"/>
        <w:pageBreakBefore w:val="0"/>
        <w:widowControl w:val="0"/>
        <w:numPr>
          <w:ilvl w:val="0"/>
          <w:numId w:val="5"/>
        </w:numPr>
        <w:kinsoku/>
        <w:wordWrap/>
        <w:overflowPunct/>
        <w:topLinePunct w:val="0"/>
        <w:bidi w:val="0"/>
        <w:snapToGrid w:val="0"/>
        <w:spacing w:before="0" w:beforeAutospacing="0" w:after="0" w:afterAutospacing="0" w:line="360" w:lineRule="auto"/>
        <w:ind w:left="0" w:leftChars="0" w:firstLine="420" w:firstLineChars="0"/>
        <w:jc w:val="both"/>
        <w:rPr>
          <w:rFonts w:hint="eastAsia" w:ascii="宋体" w:hAnsi="宋体" w:eastAsia="宋体" w:cs="宋体"/>
          <w:sz w:val="21"/>
          <w:szCs w:val="21"/>
        </w:rPr>
      </w:pPr>
      <w:r>
        <w:rPr>
          <w:rFonts w:hint="eastAsia" w:ascii="宋体" w:hAnsi="宋体" w:eastAsia="宋体" w:cs="宋体"/>
          <w:kern w:val="2"/>
          <w:sz w:val="21"/>
          <w:szCs w:val="21"/>
          <w:lang w:bidi="ar"/>
        </w:rPr>
        <w:t>不可抗力事件发生后，</w:t>
      </w:r>
      <w:r>
        <w:rPr>
          <w:rFonts w:hint="eastAsia" w:cs="宋体"/>
          <w:kern w:val="2"/>
          <w:sz w:val="21"/>
          <w:szCs w:val="21"/>
          <w:lang w:eastAsia="zh-CN" w:bidi="ar"/>
        </w:rPr>
        <w:t>甲方</w:t>
      </w:r>
      <w:r>
        <w:rPr>
          <w:rFonts w:hint="eastAsia" w:ascii="宋体" w:hAnsi="宋体" w:eastAsia="宋体" w:cs="宋体"/>
          <w:kern w:val="2"/>
          <w:sz w:val="21"/>
          <w:szCs w:val="21"/>
          <w:lang w:bidi="ar"/>
        </w:rPr>
        <w:t>和</w:t>
      </w:r>
      <w:r>
        <w:rPr>
          <w:rFonts w:hint="eastAsia" w:cs="宋体"/>
          <w:kern w:val="2"/>
          <w:sz w:val="21"/>
          <w:szCs w:val="21"/>
          <w:lang w:eastAsia="zh-CN" w:bidi="ar"/>
        </w:rPr>
        <w:t>乙方</w:t>
      </w:r>
      <w:r>
        <w:rPr>
          <w:rFonts w:hint="eastAsia" w:ascii="宋体" w:hAnsi="宋体" w:eastAsia="宋体" w:cs="宋体"/>
          <w:kern w:val="2"/>
          <w:sz w:val="21"/>
          <w:szCs w:val="21"/>
          <w:lang w:bidi="ar"/>
        </w:rPr>
        <w:t>应当积极寻求以合理的方式履行合同。如不可抗力无法消除，致使合同目的无法实现的，双方均有权解除合同，且均不互相索赔。</w:t>
      </w:r>
    </w:p>
    <w:p w14:paraId="1BEDD23B">
      <w:pPr>
        <w:spacing w:line="500" w:lineRule="exact"/>
        <w:outlineLvl w:val="0"/>
      </w:pPr>
    </w:p>
    <w:p w14:paraId="1DB4B46E">
      <w:pPr>
        <w:widowControl/>
        <w:spacing w:line="500" w:lineRule="exact"/>
        <w:rPr>
          <w:rFonts w:ascii="宋体" w:hAnsi="宋体" w:eastAsia="宋体" w:cs="宋体"/>
          <w:szCs w:val="21"/>
        </w:rPr>
      </w:pPr>
      <w:r>
        <w:rPr>
          <w:rFonts w:hint="eastAsia" w:ascii="宋体" w:hAnsi="宋体" w:eastAsia="宋体" w:cs="宋体"/>
          <w:szCs w:val="21"/>
        </w:rPr>
        <w:t>甲方（盖章）：广东省肇庆监狱</w:t>
      </w:r>
    </w:p>
    <w:p w14:paraId="1B1D4005">
      <w:pPr>
        <w:widowControl/>
        <w:spacing w:line="500" w:lineRule="exact"/>
        <w:rPr>
          <w:rFonts w:ascii="宋体" w:hAnsi="宋体" w:eastAsia="宋体" w:cs="宋体"/>
          <w:szCs w:val="21"/>
        </w:rPr>
      </w:pPr>
      <w:r>
        <w:rPr>
          <w:rFonts w:hint="eastAsia" w:ascii="宋体" w:hAnsi="宋体" w:eastAsia="宋体" w:cs="宋体"/>
          <w:szCs w:val="21"/>
        </w:rPr>
        <w:t xml:space="preserve">委托代表（签字）：                         </w:t>
      </w:r>
    </w:p>
    <w:p w14:paraId="40CB34D3">
      <w:pPr>
        <w:widowControl/>
        <w:spacing w:line="500" w:lineRule="exact"/>
        <w:rPr>
          <w:rFonts w:ascii="宋体" w:hAnsi="宋体" w:eastAsia="宋体" w:cs="宋体"/>
          <w:szCs w:val="21"/>
        </w:rPr>
      </w:pPr>
      <w:r>
        <w:rPr>
          <w:rFonts w:hint="eastAsia" w:ascii="宋体" w:hAnsi="宋体" w:eastAsia="宋体" w:cs="宋体"/>
          <w:szCs w:val="21"/>
        </w:rPr>
        <w:t>签订日期：    年   月   日</w:t>
      </w:r>
    </w:p>
    <w:p w14:paraId="3D46D7AA">
      <w:pPr>
        <w:widowControl/>
        <w:spacing w:line="500" w:lineRule="exact"/>
        <w:rPr>
          <w:rFonts w:ascii="宋体" w:hAnsi="宋体" w:eastAsia="宋体" w:cs="宋体"/>
          <w:szCs w:val="21"/>
        </w:rPr>
      </w:pPr>
      <w:r>
        <w:rPr>
          <w:rFonts w:hint="eastAsia" w:ascii="宋体" w:hAnsi="宋体" w:eastAsia="宋体" w:cs="宋体"/>
          <w:szCs w:val="21"/>
        </w:rPr>
        <w:t xml:space="preserve"> </w:t>
      </w:r>
    </w:p>
    <w:p w14:paraId="64FFE232">
      <w:pPr>
        <w:widowControl/>
        <w:spacing w:line="500" w:lineRule="exact"/>
        <w:rPr>
          <w:rFonts w:ascii="宋体" w:hAnsi="宋体" w:eastAsia="宋体" w:cs="宋体"/>
          <w:szCs w:val="21"/>
        </w:rPr>
      </w:pPr>
      <w:r>
        <w:rPr>
          <w:rFonts w:hint="eastAsia" w:ascii="宋体" w:hAnsi="宋体" w:eastAsia="宋体" w:cs="宋体"/>
          <w:szCs w:val="21"/>
        </w:rPr>
        <w:t>乙方（盖章）：</w:t>
      </w:r>
    </w:p>
    <w:p w14:paraId="388EBE2E">
      <w:pPr>
        <w:widowControl/>
        <w:spacing w:line="500" w:lineRule="exact"/>
        <w:rPr>
          <w:rFonts w:ascii="宋体" w:hAnsi="宋体" w:eastAsia="宋体" w:cs="宋体"/>
          <w:szCs w:val="21"/>
        </w:rPr>
      </w:pPr>
      <w:r>
        <w:rPr>
          <w:rFonts w:hint="eastAsia" w:ascii="宋体" w:hAnsi="宋体" w:eastAsia="宋体" w:cs="宋体"/>
          <w:szCs w:val="21"/>
        </w:rPr>
        <w:t xml:space="preserve">委托代表（签字）：                        </w:t>
      </w:r>
    </w:p>
    <w:p w14:paraId="7C83CC69">
      <w:pPr>
        <w:widowControl/>
        <w:spacing w:line="500" w:lineRule="exact"/>
        <w:rPr>
          <w:rFonts w:ascii="宋体" w:hAnsi="宋体" w:eastAsia="宋体" w:cs="宋体"/>
          <w:szCs w:val="21"/>
        </w:rPr>
      </w:pPr>
      <w:r>
        <w:rPr>
          <w:rFonts w:hint="eastAsia" w:ascii="宋体" w:hAnsi="宋体" w:eastAsia="宋体" w:cs="宋体"/>
          <w:szCs w:val="21"/>
        </w:rPr>
        <w:t>签订日期：    年   月   日</w:t>
      </w:r>
    </w:p>
    <w:p w14:paraId="1F71FC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FB25E"/>
    <w:multiLevelType w:val="singleLevel"/>
    <w:tmpl w:val="91AFB25E"/>
    <w:lvl w:ilvl="0" w:tentative="0">
      <w:start w:val="1"/>
      <w:numFmt w:val="chineseCounting"/>
      <w:suff w:val="nothing"/>
      <w:lvlText w:val="（%1）"/>
      <w:lvlJc w:val="left"/>
      <w:pPr>
        <w:ind w:left="0" w:firstLine="420"/>
      </w:pPr>
      <w:rPr>
        <w:rFonts w:hint="eastAsia"/>
        <w:b w:val="0"/>
        <w:bCs w:val="0"/>
      </w:rPr>
    </w:lvl>
  </w:abstractNum>
  <w:abstractNum w:abstractNumId="1">
    <w:nsid w:val="9CCBC4DA"/>
    <w:multiLevelType w:val="singleLevel"/>
    <w:tmpl w:val="9CCBC4DA"/>
    <w:lvl w:ilvl="0" w:tentative="0">
      <w:start w:val="1"/>
      <w:numFmt w:val="chineseCounting"/>
      <w:suff w:val="nothing"/>
      <w:lvlText w:val="%1、"/>
      <w:lvlJc w:val="left"/>
      <w:pPr>
        <w:ind w:left="-420" w:firstLine="420"/>
      </w:pPr>
      <w:rPr>
        <w:rFonts w:hint="eastAsia"/>
      </w:rPr>
    </w:lvl>
  </w:abstractNum>
  <w:abstractNum w:abstractNumId="2">
    <w:nsid w:val="B0AF9A5F"/>
    <w:multiLevelType w:val="multilevel"/>
    <w:tmpl w:val="B0AF9A5F"/>
    <w:lvl w:ilvl="0" w:tentative="0">
      <w:start w:val="1"/>
      <w:numFmt w:val="chineseCountingThousand"/>
      <w:suff w:val="space"/>
      <w:lvlText w:val="(%1)"/>
      <w:lvlJc w:val="left"/>
      <w:pPr>
        <w:ind w:left="440" w:hanging="440"/>
      </w:pPr>
      <w:rPr>
        <w:rFonts w:hint="eastAsia" w:ascii="宋体" w:hAnsi="宋体" w:eastAsia="宋体"/>
        <w:b w:val="0"/>
        <w:bCs w:val="0"/>
        <w:sz w:val="21"/>
        <w:szCs w:val="21"/>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4D7F6613"/>
    <w:multiLevelType w:val="singleLevel"/>
    <w:tmpl w:val="4D7F6613"/>
    <w:lvl w:ilvl="0" w:tentative="0">
      <w:start w:val="1"/>
      <w:numFmt w:val="chineseCounting"/>
      <w:suff w:val="nothing"/>
      <w:lvlText w:val="（%1）"/>
      <w:lvlJc w:val="left"/>
      <w:pPr>
        <w:ind w:left="0" w:firstLine="420"/>
      </w:pPr>
      <w:rPr>
        <w:rFonts w:hint="eastAsia"/>
      </w:rPr>
    </w:lvl>
  </w:abstractNum>
  <w:abstractNum w:abstractNumId="4">
    <w:nsid w:val="73E8665C"/>
    <w:multiLevelType w:val="multilevel"/>
    <w:tmpl w:val="73E8665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RjZDIwMzc5ZDZlZGQ3MTRkNWU2OGE4ODk3YTYifQ=="/>
  </w:docVars>
  <w:rsids>
    <w:rsidRoot w:val="00172A27"/>
    <w:rsid w:val="000F56EF"/>
    <w:rsid w:val="001340D8"/>
    <w:rsid w:val="001D485D"/>
    <w:rsid w:val="00251969"/>
    <w:rsid w:val="00297E45"/>
    <w:rsid w:val="00310A52"/>
    <w:rsid w:val="00405ED1"/>
    <w:rsid w:val="00695692"/>
    <w:rsid w:val="00840FFE"/>
    <w:rsid w:val="00A97442"/>
    <w:rsid w:val="00C07E35"/>
    <w:rsid w:val="00DA03A1"/>
    <w:rsid w:val="0233162C"/>
    <w:rsid w:val="034F2F61"/>
    <w:rsid w:val="04CF0594"/>
    <w:rsid w:val="04DF52C7"/>
    <w:rsid w:val="079056DD"/>
    <w:rsid w:val="0A1E24C3"/>
    <w:rsid w:val="0BEF2EFA"/>
    <w:rsid w:val="0DAF7D84"/>
    <w:rsid w:val="0EF9023C"/>
    <w:rsid w:val="0FDF35D0"/>
    <w:rsid w:val="10941F76"/>
    <w:rsid w:val="11496C09"/>
    <w:rsid w:val="11844C96"/>
    <w:rsid w:val="13003C50"/>
    <w:rsid w:val="162219DC"/>
    <w:rsid w:val="17C32406"/>
    <w:rsid w:val="1B014E1C"/>
    <w:rsid w:val="1BC95EB9"/>
    <w:rsid w:val="1BF90FBD"/>
    <w:rsid w:val="1C8939B6"/>
    <w:rsid w:val="1DB524A2"/>
    <w:rsid w:val="210D0798"/>
    <w:rsid w:val="21B83D94"/>
    <w:rsid w:val="23E42394"/>
    <w:rsid w:val="24F63EF9"/>
    <w:rsid w:val="260341EC"/>
    <w:rsid w:val="267B091B"/>
    <w:rsid w:val="26D678BF"/>
    <w:rsid w:val="27004FE7"/>
    <w:rsid w:val="2BE14DFC"/>
    <w:rsid w:val="30EC7A9F"/>
    <w:rsid w:val="38910D12"/>
    <w:rsid w:val="38BA5F15"/>
    <w:rsid w:val="398216A1"/>
    <w:rsid w:val="3AA82D4B"/>
    <w:rsid w:val="3B0016FC"/>
    <w:rsid w:val="3E6F1F5D"/>
    <w:rsid w:val="45C37D0C"/>
    <w:rsid w:val="489D2DBB"/>
    <w:rsid w:val="4DBF1403"/>
    <w:rsid w:val="50C64E38"/>
    <w:rsid w:val="50D33427"/>
    <w:rsid w:val="51B82A14"/>
    <w:rsid w:val="51E4332B"/>
    <w:rsid w:val="5200032A"/>
    <w:rsid w:val="52024F32"/>
    <w:rsid w:val="52992A4D"/>
    <w:rsid w:val="53D46338"/>
    <w:rsid w:val="53E5264D"/>
    <w:rsid w:val="56E778D6"/>
    <w:rsid w:val="588A61EE"/>
    <w:rsid w:val="5C730ECF"/>
    <w:rsid w:val="5E2D29C2"/>
    <w:rsid w:val="5E9957EF"/>
    <w:rsid w:val="611F5FD4"/>
    <w:rsid w:val="61997782"/>
    <w:rsid w:val="63AC4BBD"/>
    <w:rsid w:val="68B45693"/>
    <w:rsid w:val="69F021DB"/>
    <w:rsid w:val="6BDA2690"/>
    <w:rsid w:val="6EDE7FE6"/>
    <w:rsid w:val="711E607D"/>
    <w:rsid w:val="71202511"/>
    <w:rsid w:val="72AF700B"/>
    <w:rsid w:val="7491402F"/>
    <w:rsid w:val="78DF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720" w:lineRule="exact"/>
      <w:jc w:val="center"/>
      <w:outlineLvl w:val="0"/>
    </w:pPr>
    <w:rPr>
      <w:rFonts w:eastAsia="方正小标宋简体"/>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semiHidden/>
    <w:unhideWhenUsed/>
    <w:qFormat/>
    <w:uiPriority w:val="9"/>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rFonts w:ascii="Times New Roman" w:hAnsi="Times New Roman" w:eastAsia="宋体" w:cs="Times New Roman"/>
      <w:szCs w:val="21"/>
    </w:rPr>
  </w:style>
  <w:style w:type="paragraph" w:styleId="6">
    <w:name w:val="annotation text"/>
    <w:basedOn w:val="1"/>
    <w:link w:val="22"/>
    <w:unhideWhenUsed/>
    <w:qFormat/>
    <w:uiPriority w:val="0"/>
    <w:pPr>
      <w:jc w:val="left"/>
    </w:pPr>
    <w:rPr>
      <w:rFonts w:ascii="Times New Roman" w:hAnsi="Times New Roman" w:eastAsia="宋体" w:cs="Times New Roman"/>
      <w:szCs w:val="24"/>
    </w:rPr>
  </w:style>
  <w:style w:type="paragraph" w:styleId="7">
    <w:name w:val="Plain Text"/>
    <w:basedOn w:val="1"/>
    <w:qFormat/>
    <w:uiPriority w:val="0"/>
    <w:rPr>
      <w:rFonts w:ascii="宋体" w:hAnsi="Courier New" w:eastAsia="宋体" w:cs="Times New Roman"/>
      <w:kern w:val="0"/>
      <w:sz w:val="20"/>
      <w:szCs w:val="21"/>
    </w:rPr>
  </w:style>
  <w:style w:type="paragraph" w:styleId="8">
    <w:name w:val="Balloon Text"/>
    <w:basedOn w:val="1"/>
    <w:link w:val="20"/>
    <w:qFormat/>
    <w:uiPriority w:val="0"/>
    <w:rPr>
      <w:sz w:val="18"/>
      <w:szCs w:val="18"/>
    </w:rPr>
  </w:style>
  <w:style w:type="paragraph" w:styleId="9">
    <w:name w:val="footer"/>
    <w:basedOn w:val="1"/>
    <w:next w:val="1"/>
    <w:link w:val="24"/>
    <w:qFormat/>
    <w:uiPriority w:val="99"/>
    <w:pPr>
      <w:tabs>
        <w:tab w:val="center" w:pos="4153"/>
        <w:tab w:val="right" w:pos="8306"/>
      </w:tabs>
      <w:snapToGrid w:val="0"/>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6"/>
    <w:next w:val="6"/>
    <w:link w:val="23"/>
    <w:qFormat/>
    <w:uiPriority w:val="0"/>
    <w:rPr>
      <w:rFonts w:asciiTheme="minorHAnsi" w:hAnsiTheme="minorHAnsi" w:eastAsiaTheme="minorEastAsia" w:cstheme="minorBidi"/>
      <w:b/>
      <w:bCs/>
      <w:szCs w:val="2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unhideWhenUsed/>
    <w:qFormat/>
    <w:uiPriority w:val="0"/>
    <w:rPr>
      <w:sz w:val="21"/>
      <w:szCs w:val="21"/>
    </w:rPr>
  </w:style>
  <w:style w:type="paragraph" w:styleId="18">
    <w:name w:val="List Paragraph"/>
    <w:basedOn w:val="1"/>
    <w:qFormat/>
    <w:uiPriority w:val="99"/>
    <w:pPr>
      <w:ind w:firstLine="420" w:firstLineChars="200"/>
    </w:pPr>
  </w:style>
  <w:style w:type="paragraph" w:customStyle="1" w:styleId="19">
    <w:name w:val="列出段落1"/>
    <w:basedOn w:val="1"/>
    <w:qFormat/>
    <w:uiPriority w:val="34"/>
    <w:pPr>
      <w:ind w:firstLine="420" w:firstLineChars="200"/>
    </w:pPr>
    <w:rPr>
      <w:rFonts w:ascii="Times New Roman" w:hAnsi="Times New Roman" w:eastAsia="宋体" w:cs="Times New Roman"/>
      <w:szCs w:val="21"/>
    </w:rPr>
  </w:style>
  <w:style w:type="character" w:customStyle="1" w:styleId="20">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1">
    <w:name w:val="批注文字 Char"/>
    <w:basedOn w:val="16"/>
    <w:qFormat/>
    <w:uiPriority w:val="0"/>
    <w:rPr>
      <w:rFonts w:asciiTheme="minorHAnsi" w:hAnsiTheme="minorHAnsi" w:eastAsiaTheme="minorEastAsia" w:cstheme="minorBidi"/>
      <w:kern w:val="2"/>
      <w:sz w:val="21"/>
      <w:szCs w:val="22"/>
    </w:rPr>
  </w:style>
  <w:style w:type="character" w:customStyle="1" w:styleId="22">
    <w:name w:val="批注文字 Char1"/>
    <w:basedOn w:val="16"/>
    <w:link w:val="6"/>
    <w:qFormat/>
    <w:uiPriority w:val="0"/>
    <w:rPr>
      <w:kern w:val="2"/>
      <w:sz w:val="21"/>
      <w:szCs w:val="24"/>
    </w:rPr>
  </w:style>
  <w:style w:type="character" w:customStyle="1" w:styleId="23">
    <w:name w:val="批注主题 Char"/>
    <w:basedOn w:val="22"/>
    <w:link w:val="13"/>
    <w:qFormat/>
    <w:uiPriority w:val="0"/>
    <w:rPr>
      <w:rFonts w:asciiTheme="minorHAnsi" w:hAnsiTheme="minorHAnsi" w:eastAsiaTheme="minorEastAsia" w:cstheme="minorBidi"/>
      <w:b/>
      <w:bCs/>
      <w:kern w:val="2"/>
      <w:sz w:val="21"/>
      <w:szCs w:val="22"/>
    </w:rPr>
  </w:style>
  <w:style w:type="character" w:customStyle="1" w:styleId="24">
    <w:name w:val="页脚 Char"/>
    <w:basedOn w:val="16"/>
    <w:link w:val="9"/>
    <w:qFormat/>
    <w:uiPriority w:val="99"/>
    <w:rPr>
      <w:rFonts w:asciiTheme="minorHAnsi" w:hAnsiTheme="minorHAnsi" w:eastAsiaTheme="minorEastAsia" w:cstheme="minorBidi"/>
      <w:kern w:val="2"/>
      <w:sz w:val="18"/>
      <w:szCs w:val="18"/>
    </w:rPr>
  </w:style>
  <w:style w:type="character" w:customStyle="1" w:styleId="25">
    <w:name w:val="页眉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肇庆监狱</Company>
  <Pages>8</Pages>
  <Words>573</Words>
  <Characters>621</Characters>
  <Lines>73</Lines>
  <Paragraphs>20</Paragraphs>
  <TotalTime>2</TotalTime>
  <ScaleCrop>false</ScaleCrop>
  <LinksUpToDate>false</LinksUpToDate>
  <CharactersWithSpaces>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2024-02-18T07:24:00Z</dcterms:created>
  <dc:creator>廖志辉</dc:creator>
  <cp:lastModifiedBy>云采链</cp:lastModifiedBy>
  <cp:lastPrinted>2024-03-01T06:40:00Z</cp:lastPrinted>
  <dcterms:modified xsi:type="dcterms:W3CDTF">2025-05-22T01:12:39Z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54F580AE17374EFCA153BE54E1689BD0_13</vt:lpwstr>
  </property>
  <property fmtid="{D5CDD505-2E9C-101B-9397-08002B2CF9AE}" pid="4" name="KSOTemplateDocerSaveRecord">
    <vt:lpwstr>eyJoZGlkIjoiNjllMTQ1N2NiYWJhNmE3MmJmNjczYjE3MmE0Mzc5ZDEiLCJ1c2VySWQiOiIyNzgxOTkwNjUifQ==</vt:lpwstr>
  </property>
</Properties>
</file>