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76A5B1C">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5866AA19">
      <w:pPr>
        <w:snapToGrid w:val="0"/>
        <w:spacing w:after="0"/>
        <w:jc w:val="center"/>
        <w:rPr>
          <w:rFonts w:hint="eastAsia" w:cs="宋体" w:asciiTheme="minorEastAsia" w:hAnsiTheme="minorEastAsia"/>
          <w:b/>
          <w:color w:val="000000" w:themeColor="text1"/>
          <w:sz w:val="28"/>
          <w:szCs w:val="28"/>
          <w14:textFill>
            <w14:solidFill>
              <w14:schemeClr w14:val="tx1"/>
            </w14:solidFill>
          </w14:textFill>
        </w:rPr>
      </w:pPr>
    </w:p>
    <w:p w14:paraId="3483DF2D">
      <w:pPr>
        <w:snapToGrid w:val="0"/>
        <w:spacing w:after="0"/>
        <w:jc w:val="center"/>
        <w:rPr>
          <w:rFonts w:hint="eastAsia" w:cs="宋体" w:asciiTheme="minorEastAsia" w:hAnsiTheme="minorEastAsia"/>
          <w:b/>
          <w:bCs/>
          <w:color w:val="000000" w:themeColor="text1"/>
          <w:sz w:val="84"/>
          <w:szCs w:val="84"/>
          <w14:textFill>
            <w14:solidFill>
              <w14:schemeClr w14:val="tx1"/>
            </w14:solidFill>
          </w14:textFill>
        </w:rPr>
      </w:pPr>
      <w:r>
        <w:rPr>
          <w:rFonts w:hint="eastAsia" w:cs="宋体" w:asciiTheme="minorEastAsia" w:hAnsiTheme="minorEastAsia"/>
          <w:b/>
          <w:color w:val="000000" w:themeColor="text1"/>
          <w:sz w:val="84"/>
          <w:szCs w:val="84"/>
          <w14:textFill>
            <w14:solidFill>
              <w14:schemeClr w14:val="tx1"/>
            </w14:solidFill>
          </w14:textFill>
        </w:rPr>
        <w:t>竞价文件</w:t>
      </w:r>
    </w:p>
    <w:p w14:paraId="6988CAF0">
      <w:pPr>
        <w:spacing w:after="0" w:line="360" w:lineRule="auto"/>
        <w:jc w:val="center"/>
        <w:rPr>
          <w:rFonts w:hint="eastAsia" w:cs="宋体" w:asciiTheme="minorEastAsia" w:hAnsiTheme="minorEastAsia"/>
          <w:b/>
          <w:bCs/>
          <w:color w:val="000000" w:themeColor="text1"/>
          <w:sz w:val="84"/>
          <w:szCs w:val="84"/>
          <w14:textFill>
            <w14:solidFill>
              <w14:schemeClr w14:val="tx1"/>
            </w14:solidFill>
          </w14:textFill>
        </w:rPr>
      </w:pPr>
    </w:p>
    <w:p w14:paraId="1F439E76">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2DA78210">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620DD861">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611AA4C2">
      <w:pPr>
        <w:spacing w:after="0" w:line="360" w:lineRule="auto"/>
        <w:rPr>
          <w:rFonts w:hint="eastAsia" w:cs="宋体" w:asciiTheme="minorEastAsia" w:hAnsiTheme="minorEastAsia"/>
          <w:color w:val="000000" w:themeColor="text1"/>
          <w:sz w:val="28"/>
          <w:szCs w:val="28"/>
          <w14:textFill>
            <w14:solidFill>
              <w14:schemeClr w14:val="tx1"/>
            </w14:solidFill>
          </w14:textFill>
        </w:rPr>
      </w:pPr>
    </w:p>
    <w:p w14:paraId="31461F02">
      <w:pPr>
        <w:spacing w:after="0" w:line="360" w:lineRule="auto"/>
        <w:jc w:val="left"/>
        <w:rPr>
          <w:rFonts w:hint="eastAsia" w:cs="宋体" w:asciiTheme="minorEastAsia" w:hAnsiTheme="minorEastAsia"/>
          <w:b/>
          <w:bCs/>
          <w:color w:val="000000" w:themeColor="text1"/>
          <w:sz w:val="28"/>
          <w:szCs w:val="28"/>
          <w14:textFill>
            <w14:solidFill>
              <w14:schemeClr w14:val="tx1"/>
            </w14:solidFill>
          </w14:textFill>
        </w:rPr>
      </w:pPr>
      <w:r>
        <w:rPr>
          <w:rFonts w:hint="eastAsia" w:cs="宋体" w:asciiTheme="minorEastAsia" w:hAnsiTheme="minorEastAsia"/>
          <w:b/>
          <w:bCs/>
          <w:color w:val="000000" w:themeColor="text1"/>
          <w:sz w:val="28"/>
          <w:szCs w:val="28"/>
          <w:lang w:eastAsia="zh-CN"/>
          <w14:textFill>
            <w14:solidFill>
              <w14:schemeClr w14:val="tx1"/>
            </w14:solidFill>
          </w14:textFill>
        </w:rPr>
        <w:t>采购人</w:t>
      </w:r>
      <w:r>
        <w:rPr>
          <w:rFonts w:hint="eastAsia" w:cs="宋体" w:asciiTheme="minorEastAsia" w:hAnsiTheme="minorEastAsia"/>
          <w:b/>
          <w:bCs/>
          <w:color w:val="000000" w:themeColor="text1"/>
          <w:sz w:val="28"/>
          <w:szCs w:val="28"/>
          <w14:textFill>
            <w14:solidFill>
              <w14:schemeClr w14:val="tx1"/>
            </w14:solidFill>
          </w14:textFill>
        </w:rPr>
        <w:t>式：线上竞价</w:t>
      </w:r>
    </w:p>
    <w:p w14:paraId="77A31105">
      <w:pPr>
        <w:spacing w:after="0" w:line="360" w:lineRule="auto"/>
        <w:ind w:left="1405" w:hanging="1405" w:hangingChars="500"/>
        <w:jc w:val="left"/>
        <w:rPr>
          <w:rFonts w:hint="eastAsia" w:cs="宋体" w:asciiTheme="minorEastAsia" w:hAnsiTheme="minorEastAsia" w:eastAsiaTheme="minorEastAsia"/>
          <w:b/>
          <w:bCs/>
          <w:color w:val="000000" w:themeColor="text1"/>
          <w:sz w:val="28"/>
          <w:szCs w:val="28"/>
          <w:lang w:eastAsia="zh-CN"/>
          <w14:textFill>
            <w14:solidFill>
              <w14:schemeClr w14:val="tx1"/>
            </w14:solidFill>
          </w14:textFill>
        </w:rPr>
      </w:pPr>
      <w:r>
        <w:rPr>
          <w:rFonts w:hint="eastAsia" w:cs="宋体" w:asciiTheme="minorEastAsia" w:hAnsiTheme="minorEastAsia"/>
          <w:b/>
          <w:bCs/>
          <w:color w:val="000000" w:themeColor="text1"/>
          <w:sz w:val="28"/>
          <w:szCs w:val="28"/>
          <w14:textFill>
            <w14:solidFill>
              <w14:schemeClr w14:val="tx1"/>
            </w14:solidFill>
          </w14:textFill>
        </w:rPr>
        <w:t>项目名称：</w:t>
      </w:r>
      <w:r>
        <w:rPr>
          <w:rFonts w:hint="eastAsia" w:cs="宋体" w:asciiTheme="minorEastAsia" w:hAnsiTheme="minorEastAsia"/>
          <w:b/>
          <w:bCs/>
          <w:color w:val="000000" w:themeColor="text1"/>
          <w:sz w:val="28"/>
          <w:szCs w:val="28"/>
          <w:u w:val="single"/>
          <w:lang w:eastAsia="zh-CN"/>
          <w14:textFill>
            <w14:solidFill>
              <w14:schemeClr w14:val="tx1"/>
            </w14:solidFill>
          </w14:textFill>
        </w:rPr>
        <w:t>广东省肇庆监狱购置固态硬盘、机械硬盘、服务器内存条、万兆网卡项目（第二次）</w:t>
      </w:r>
    </w:p>
    <w:p w14:paraId="1A8D8689">
      <w:pPr>
        <w:snapToGrid w:val="0"/>
        <w:spacing w:after="156" w:afterLines="50" w:line="360" w:lineRule="auto"/>
        <w:jc w:val="center"/>
        <w:rPr>
          <w:rFonts w:hint="eastAsia" w:cs="宋体" w:asciiTheme="minorEastAsia" w:hAnsiTheme="minorEastAsia"/>
          <w:color w:val="000000" w:themeColor="text1"/>
          <w:sz w:val="28"/>
          <w:szCs w:val="28"/>
          <w14:textFill>
            <w14:solidFill>
              <w14:schemeClr w14:val="tx1"/>
            </w14:solidFill>
          </w14:textFill>
        </w:rPr>
      </w:pPr>
    </w:p>
    <w:p w14:paraId="69ECBE28">
      <w:pPr>
        <w:autoSpaceDE w:val="0"/>
        <w:autoSpaceDN w:val="0"/>
        <w:adjustRightInd w:val="0"/>
        <w:snapToGrid w:val="0"/>
        <w:spacing w:after="156" w:afterLines="50" w:line="360" w:lineRule="auto"/>
        <w:jc w:val="center"/>
        <w:rPr>
          <w:rFonts w:hint="eastAsia" w:cs="宋体" w:asciiTheme="minorEastAsia" w:hAnsiTheme="minorEastAsia"/>
          <w:color w:val="000000" w:themeColor="text1"/>
          <w:kern w:val="0"/>
          <w:sz w:val="28"/>
          <w:szCs w:val="28"/>
          <w14:textFill>
            <w14:solidFill>
              <w14:schemeClr w14:val="tx1"/>
            </w14:solidFill>
          </w14:textFill>
        </w:rPr>
      </w:pPr>
    </w:p>
    <w:p w14:paraId="3B12D364">
      <w:pPr>
        <w:autoSpaceDE w:val="0"/>
        <w:autoSpaceDN w:val="0"/>
        <w:adjustRightInd w:val="0"/>
        <w:snapToGrid w:val="0"/>
        <w:spacing w:after="156" w:afterLines="50" w:line="360" w:lineRule="auto"/>
        <w:jc w:val="left"/>
        <w:rPr>
          <w:rFonts w:hint="eastAsia" w:cs="宋体" w:asciiTheme="minorEastAsia" w:hAnsiTheme="minorEastAsia"/>
          <w:color w:val="000000" w:themeColor="text1"/>
          <w:kern w:val="0"/>
          <w:sz w:val="28"/>
          <w:szCs w:val="28"/>
          <w14:textFill>
            <w14:solidFill>
              <w14:schemeClr w14:val="tx1"/>
            </w14:solidFill>
          </w14:textFill>
        </w:rPr>
      </w:pPr>
    </w:p>
    <w:p w14:paraId="7B3E21E7">
      <w:pPr>
        <w:autoSpaceDE w:val="0"/>
        <w:autoSpaceDN w:val="0"/>
        <w:adjustRightInd w:val="0"/>
        <w:snapToGrid w:val="0"/>
        <w:spacing w:after="0" w:line="360" w:lineRule="auto"/>
        <w:ind w:left="420" w:firstLine="420"/>
        <w:jc w:val="center"/>
        <w:rPr>
          <w:rFonts w:hint="eastAsia" w:cs="宋体" w:asciiTheme="minorEastAsia" w:hAnsiTheme="minorEastAsia"/>
          <w:b/>
          <w:bCs/>
          <w:sz w:val="28"/>
          <w:szCs w:val="28"/>
        </w:rPr>
      </w:pPr>
      <w:r>
        <w:rPr>
          <w:rFonts w:hint="eastAsia" w:cs="宋体" w:asciiTheme="minorEastAsia" w:hAnsiTheme="minorEastAsia"/>
          <w:b/>
          <w:bCs/>
          <w:color w:val="000000" w:themeColor="text1"/>
          <w:sz w:val="28"/>
          <w:szCs w:val="28"/>
          <w14:textFill>
            <w14:solidFill>
              <w14:schemeClr w14:val="tx1"/>
            </w14:solidFill>
          </w14:textFill>
        </w:rPr>
        <w:t>广东省肇庆监狱</w:t>
      </w:r>
    </w:p>
    <w:p w14:paraId="5FC3873E">
      <w:pPr>
        <w:autoSpaceDE w:val="0"/>
        <w:autoSpaceDN w:val="0"/>
        <w:adjustRightInd w:val="0"/>
        <w:snapToGrid w:val="0"/>
        <w:spacing w:after="0" w:line="360" w:lineRule="auto"/>
        <w:ind w:left="420" w:firstLine="420"/>
        <w:jc w:val="center"/>
        <w:rPr>
          <w:rFonts w:hint="eastAsia" w:cs="宋体" w:asciiTheme="minorEastAsia" w:hAnsiTheme="minorEastAsia"/>
          <w:b/>
          <w:sz w:val="28"/>
          <w:szCs w:val="28"/>
        </w:rPr>
      </w:pPr>
      <w:r>
        <w:rPr>
          <w:rFonts w:hint="eastAsia" w:cs="宋体" w:asciiTheme="minorEastAsia" w:hAnsiTheme="minorEastAsia"/>
          <w:b/>
          <w:sz w:val="28"/>
          <w:szCs w:val="28"/>
        </w:rPr>
        <w:t>采联国际招标采购集团有限公司</w:t>
      </w:r>
    </w:p>
    <w:p w14:paraId="4A2860FC">
      <w:pPr>
        <w:autoSpaceDE w:val="0"/>
        <w:autoSpaceDN w:val="0"/>
        <w:adjustRightInd w:val="0"/>
        <w:snapToGrid w:val="0"/>
        <w:spacing w:after="0" w:line="360" w:lineRule="auto"/>
        <w:ind w:left="420" w:firstLine="420"/>
        <w:jc w:val="center"/>
        <w:rPr>
          <w:rFonts w:hint="eastAsia" w:cs="宋体" w:asciiTheme="minorEastAsia" w:hAnsiTheme="minorEastAsia"/>
          <w:b/>
          <w:color w:val="FF0000"/>
          <w:sz w:val="28"/>
          <w:szCs w:val="28"/>
        </w:rPr>
      </w:pPr>
      <w:r>
        <w:rPr>
          <w:rFonts w:hint="eastAsia" w:cs="宋体" w:asciiTheme="minorEastAsia" w:hAnsiTheme="minorEastAsia"/>
          <w:b/>
          <w:sz w:val="28"/>
          <w:szCs w:val="28"/>
        </w:rPr>
        <w:t>二〇二五年</w:t>
      </w:r>
      <w:r>
        <w:rPr>
          <w:rFonts w:hint="eastAsia" w:cs="宋体" w:asciiTheme="minorEastAsia" w:hAnsiTheme="minorEastAsia"/>
          <w:b/>
          <w:sz w:val="28"/>
          <w:szCs w:val="28"/>
          <w:lang w:val="en-US" w:eastAsia="zh-CN"/>
        </w:rPr>
        <w:t>五</w:t>
      </w:r>
      <w:r>
        <w:rPr>
          <w:rFonts w:hint="eastAsia" w:cs="宋体" w:asciiTheme="minorEastAsia" w:hAnsiTheme="minorEastAsia"/>
          <w:b/>
          <w:sz w:val="28"/>
          <w:szCs w:val="28"/>
        </w:rPr>
        <w:t>月</w:t>
      </w:r>
    </w:p>
    <w:p w14:paraId="5152817B">
      <w:pPr>
        <w:widowControl/>
        <w:spacing w:after="0"/>
        <w:jc w:val="left"/>
        <w:rPr>
          <w:rFonts w:hint="eastAsia" w:cs="宋体" w:asciiTheme="minorEastAsia" w:hAnsiTheme="minorEastAsia"/>
          <w:sz w:val="28"/>
          <w:szCs w:val="28"/>
        </w:rPr>
      </w:pPr>
      <w:r>
        <w:rPr>
          <w:rFonts w:cs="宋体" w:asciiTheme="minorEastAsia" w:hAnsiTheme="minorEastAsia"/>
          <w:sz w:val="28"/>
          <w:szCs w:val="28"/>
        </w:rPr>
        <w:br w:type="page"/>
      </w:r>
    </w:p>
    <w:p w14:paraId="064B9D00">
      <w:pPr>
        <w:pStyle w:val="21"/>
        <w:spacing w:before="0" w:after="0"/>
        <w:rPr>
          <w:rFonts w:hint="eastAsia" w:cs="宋体" w:asciiTheme="minorEastAsia" w:hAnsiTheme="minorEastAsia" w:eastAsiaTheme="minorEastAsia"/>
          <w:color w:val="000000" w:themeColor="text1"/>
          <w14:textFill>
            <w14:solidFill>
              <w14:schemeClr w14:val="tx1"/>
            </w14:solidFill>
          </w14:textFill>
        </w:rPr>
      </w:pPr>
      <w:r>
        <w:rPr>
          <w:rFonts w:hint="eastAsia" w:cs="宋体" w:asciiTheme="minorEastAsia" w:hAnsiTheme="minorEastAsia" w:eastAsiaTheme="minorEastAsia"/>
          <w:color w:val="000000" w:themeColor="text1"/>
          <w14:textFill>
            <w14:solidFill>
              <w14:schemeClr w14:val="tx1"/>
            </w14:solidFill>
          </w14:textFill>
        </w:rPr>
        <w:t>第一章 竞价须知</w:t>
      </w:r>
    </w:p>
    <w:p w14:paraId="3151E3CD">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本项目通过云采链线上采购一体化平台（www.choicelink.cn）进行竞价，参与竞价的供应商必须登录平台进行注册，注册成功后方可参与项目竞价。</w:t>
      </w:r>
    </w:p>
    <w:p w14:paraId="006D48B0">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语言要求</w:t>
      </w:r>
    </w:p>
    <w:p w14:paraId="6A7C2702">
      <w:pPr>
        <w:spacing w:after="0" w:line="360" w:lineRule="auto"/>
        <w:ind w:left="420" w:leftChars="20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077F5180">
      <w:pPr>
        <w:pStyle w:val="32"/>
        <w:numPr>
          <w:ilvl w:val="0"/>
          <w:numId w:val="2"/>
        </w:numPr>
        <w:spacing w:after="0" w:line="360" w:lineRule="auto"/>
        <w:ind w:firstLineChars="0"/>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在云采链平台参与项目竞价后放弃成交资格超过三次（含三次）的供应商连同该供应商同一法人名下所有公司将被列入平台黑名单，永久不得参与平台的项目竞价。</w:t>
      </w:r>
    </w:p>
    <w:p w14:paraId="34273D22">
      <w:pPr>
        <w:pStyle w:val="32"/>
        <w:numPr>
          <w:ilvl w:val="0"/>
          <w:numId w:val="2"/>
        </w:numPr>
        <w:spacing w:after="0" w:line="360" w:lineRule="auto"/>
        <w:ind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竞价须知</w:t>
      </w:r>
    </w:p>
    <w:p w14:paraId="5C69D1E3">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竞价说明</w:t>
      </w:r>
    </w:p>
    <w:p w14:paraId="6F823AF8">
      <w:pPr>
        <w:pStyle w:val="32"/>
        <w:numPr>
          <w:ilvl w:val="0"/>
          <w:numId w:val="4"/>
        </w:numPr>
        <w:tabs>
          <w:tab w:val="left" w:pos="851"/>
        </w:tabs>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参与竞价的供应商应承担所有与准备和参加竞价有关的费用，不</w:t>
      </w:r>
      <w:r>
        <w:rPr>
          <w:rFonts w:hint="eastAsia" w:cs="宋体" w:asciiTheme="minorEastAsia" w:hAnsiTheme="minorEastAsia"/>
          <w:color w:val="000000" w:themeColor="text1"/>
          <w:szCs w:val="21"/>
          <w:lang w:eastAsia="zh-TW"/>
          <w14:textFill>
            <w14:solidFill>
              <w14:schemeClr w14:val="tx1"/>
            </w14:solidFill>
          </w14:textFill>
        </w:rPr>
        <w:t>论</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的结果如何</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eastAsia="zh-TW"/>
          <w14:textFill>
            <w14:solidFill>
              <w14:schemeClr w14:val="tx1"/>
            </w14:solidFill>
          </w14:textFill>
        </w:rPr>
        <w:t>人</w:t>
      </w:r>
      <w:r>
        <w:rPr>
          <w:rFonts w:hint="eastAsia" w:cs="宋体" w:asciiTheme="minorEastAsia" w:hAnsiTheme="minorEastAsia"/>
          <w:color w:val="000000" w:themeColor="text1"/>
          <w:szCs w:val="21"/>
          <w14:textFill>
            <w14:solidFill>
              <w14:schemeClr w14:val="tx1"/>
            </w14:solidFill>
          </w14:textFill>
        </w:rPr>
        <w:t>和</w:t>
      </w:r>
      <w:r>
        <w:rPr>
          <w:rFonts w:hint="eastAsia" w:cs="宋体" w:asciiTheme="minorEastAsia" w:hAnsiTheme="minorEastAsia"/>
          <w:color w:val="000000" w:themeColor="text1"/>
          <w:szCs w:val="21"/>
          <w:lang w:eastAsia="zh-TW"/>
          <w14:textFill>
            <w14:solidFill>
              <w14:schemeClr w14:val="tx1"/>
            </w14:solidFill>
          </w14:textFill>
        </w:rPr>
        <w:t>代理机构均无义务和责任承担这些费用</w:t>
      </w:r>
      <w:r>
        <w:rPr>
          <w:rFonts w:hint="eastAsia" w:cs="宋体" w:asciiTheme="minorEastAsia" w:hAnsiTheme="minorEastAsia"/>
          <w:color w:val="000000" w:themeColor="text1"/>
          <w:szCs w:val="21"/>
          <w14:textFill>
            <w14:solidFill>
              <w14:schemeClr w14:val="tx1"/>
            </w14:solidFill>
          </w14:textFill>
        </w:rPr>
        <w:t>。</w:t>
      </w:r>
    </w:p>
    <w:p w14:paraId="31D54B94">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供应商必须按竞价附件的格式填写，不得随意增加或删除表格内容。除单价、金额或项目要求填写的内容外，不得擅自改动竞价附件内容，否则将有可能影响成交结果，不推荐为成交候选人。</w:t>
      </w:r>
    </w:p>
    <w:p w14:paraId="231CEF42">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val="zh-CN"/>
          <w14:textFill>
            <w14:solidFill>
              <w14:schemeClr w14:val="tx1"/>
            </w14:solidFill>
          </w14:textFill>
        </w:rPr>
        <w:t>供应商需对</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需求书的所有条款进行整体响应，</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szCs w:val="21"/>
          <w:lang w:val="zh-CN"/>
          <w14:textFill>
            <w14:solidFill>
              <w14:schemeClr w14:val="tx1"/>
            </w14:solidFill>
          </w14:textFill>
        </w:rPr>
        <w:t>需求书条款若有一条负偏离或不响应，</w:t>
      </w:r>
      <w:r>
        <w:rPr>
          <w:rFonts w:hint="eastAsia" w:cs="宋体" w:asciiTheme="minorEastAsia" w:hAnsiTheme="minorEastAsia"/>
          <w:bCs/>
          <w:color w:val="000000" w:themeColor="text1"/>
          <w:szCs w:val="21"/>
          <w14:textFill>
            <w14:solidFill>
              <w14:schemeClr w14:val="tx1"/>
            </w14:solidFill>
          </w14:textFill>
        </w:rPr>
        <w:t>不推荐为成交候选人</w:t>
      </w:r>
      <w:r>
        <w:rPr>
          <w:rFonts w:hint="eastAsia" w:cs="宋体" w:asciiTheme="minorEastAsia" w:hAnsiTheme="minorEastAsia"/>
          <w:color w:val="000000" w:themeColor="text1"/>
          <w:szCs w:val="21"/>
          <w:lang w:val="zh-CN"/>
          <w14:textFill>
            <w14:solidFill>
              <w14:schemeClr w14:val="tx1"/>
            </w14:solidFill>
          </w14:textFill>
        </w:rPr>
        <w:t>。</w:t>
      </w:r>
    </w:p>
    <w:p w14:paraId="063E6593">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若成交供应商自身原因无法完成本项目，则采购人有权利保留追究责任。</w:t>
      </w:r>
    </w:p>
    <w:p w14:paraId="712D44F8">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成交供应商因自身原因被取消成交资格，采购人可重新启动采购或按竞价公告规定顺延推选符合要求的供应商作为成交供应商。</w:t>
      </w:r>
    </w:p>
    <w:p w14:paraId="4F722DD6">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若本项目竞价采购失败，采购人将重新采购，届时采购人有权根据项目具体情况，决定重新采购项目的</w:t>
      </w:r>
      <w:r>
        <w:rPr>
          <w:rFonts w:hint="eastAsia" w:cs="宋体" w:asciiTheme="minorEastAsia" w:hAnsiTheme="minorEastAsia"/>
          <w:color w:val="000000" w:themeColor="text1"/>
          <w:szCs w:val="21"/>
          <w:lang w:eastAsia="zh-CN"/>
          <w14:textFill>
            <w14:solidFill>
              <w14:schemeClr w14:val="tx1"/>
            </w14:solidFill>
          </w14:textFill>
        </w:rPr>
        <w:t>采购人</w:t>
      </w:r>
      <w:r>
        <w:rPr>
          <w:rFonts w:hint="eastAsia" w:cs="宋体" w:asciiTheme="minorEastAsia" w:hAnsiTheme="minorEastAsia"/>
          <w:color w:val="000000" w:themeColor="text1"/>
          <w:szCs w:val="21"/>
          <w14:textFill>
            <w14:solidFill>
              <w14:schemeClr w14:val="tx1"/>
            </w14:solidFill>
          </w14:textFill>
        </w:rPr>
        <w:t>式。</w:t>
      </w:r>
    </w:p>
    <w:p w14:paraId="39E1E9E5">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成交供应商若无正当理由恶意放弃成交资格，采购人有权将拒绝其参加本项目重新组织的竞价采购活动。</w:t>
      </w:r>
    </w:p>
    <w:p w14:paraId="046EACAE">
      <w:pPr>
        <w:pStyle w:val="32"/>
        <w:numPr>
          <w:ilvl w:val="0"/>
          <w:numId w:val="4"/>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66FCD44D">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color w:val="000000" w:themeColor="text1"/>
          <w:szCs w:val="21"/>
          <w:lang w:eastAsia="zh-TW"/>
          <w14:textFill>
            <w14:solidFill>
              <w14:schemeClr w14:val="tx1"/>
            </w14:solidFill>
          </w14:textFill>
        </w:rPr>
        <w:t>供应商向我司咨询的有关项目事项，一切以</w:t>
      </w:r>
      <w:r>
        <w:rPr>
          <w:rFonts w:hint="eastAsia" w:cs="宋体" w:asciiTheme="minorEastAsia" w:hAnsiTheme="minorEastAsia"/>
          <w:color w:val="000000" w:themeColor="text1"/>
          <w:szCs w:val="21"/>
          <w14:textFill>
            <w14:solidFill>
              <w14:schemeClr w14:val="tx1"/>
            </w14:solidFill>
          </w14:textFill>
        </w:rPr>
        <w:t>竞价文件</w:t>
      </w:r>
      <w:r>
        <w:rPr>
          <w:rFonts w:hint="eastAsia" w:cs="宋体" w:asciiTheme="minorEastAsia" w:hAnsiTheme="minorEastAsia"/>
          <w:color w:val="000000" w:themeColor="text1"/>
          <w:szCs w:val="21"/>
          <w:lang w:eastAsia="zh-TW"/>
          <w14:textFill>
            <w14:solidFill>
              <w14:schemeClr w14:val="tx1"/>
            </w14:solidFill>
          </w14:textFill>
        </w:rPr>
        <w:t>规定</w:t>
      </w:r>
      <w:r>
        <w:rPr>
          <w:rFonts w:hint="eastAsia" w:cs="宋体" w:asciiTheme="minorEastAsia" w:hAnsiTheme="minorEastAsia"/>
          <w:color w:val="000000" w:themeColor="text1"/>
          <w:szCs w:val="21"/>
          <w14:textFill>
            <w14:solidFill>
              <w14:schemeClr w14:val="tx1"/>
            </w14:solidFill>
          </w14:textFill>
        </w:rPr>
        <w:t>和竞价公告规定以及</w:t>
      </w:r>
      <w:r>
        <w:rPr>
          <w:rFonts w:hint="eastAsia" w:cs="宋体" w:asciiTheme="minorEastAsia" w:hAnsiTheme="minorEastAsia"/>
          <w:color w:val="000000" w:themeColor="text1"/>
          <w:szCs w:val="21"/>
          <w:lang w:eastAsia="zh-TW"/>
          <w14:textFill>
            <w14:solidFill>
              <w14:schemeClr w14:val="tx1"/>
            </w14:solidFill>
          </w14:textFill>
        </w:rPr>
        <w:t>本公司</w:t>
      </w:r>
      <w:r>
        <w:rPr>
          <w:rFonts w:hint="eastAsia" w:cs="宋体" w:asciiTheme="minorEastAsia" w:hAnsiTheme="minorEastAsia"/>
          <w:color w:val="000000" w:themeColor="text1"/>
          <w:szCs w:val="21"/>
          <w14:textFill>
            <w14:solidFill>
              <w14:schemeClr w14:val="tx1"/>
            </w14:solidFill>
          </w14:textFill>
        </w:rPr>
        <w:t>的</w:t>
      </w:r>
      <w:r>
        <w:rPr>
          <w:rFonts w:hint="eastAsia" w:cs="宋体" w:asciiTheme="minorEastAsia" w:hAnsiTheme="minorEastAsia"/>
          <w:color w:val="000000" w:themeColor="text1"/>
          <w:szCs w:val="21"/>
          <w:lang w:eastAsia="zh-TW"/>
          <w14:textFill>
            <w14:solidFill>
              <w14:schemeClr w14:val="tx1"/>
            </w14:solidFill>
          </w14:textFill>
        </w:rPr>
        <w:t>书面答复为准，其他一切形式均为个人意见，不代表本公司的意见</w:t>
      </w:r>
      <w:r>
        <w:rPr>
          <w:rFonts w:hint="eastAsia" w:cs="宋体" w:asciiTheme="minorEastAsia" w:hAnsiTheme="minorEastAsia"/>
          <w:color w:val="000000" w:themeColor="text1"/>
          <w:szCs w:val="21"/>
          <w14:textFill>
            <w14:solidFill>
              <w14:schemeClr w14:val="tx1"/>
            </w14:solidFill>
          </w14:textFill>
        </w:rPr>
        <w:t>。</w:t>
      </w:r>
    </w:p>
    <w:p w14:paraId="4115A8A5">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参与竞价的供应商应认真阅读</w:t>
      </w:r>
      <w:r>
        <w:rPr>
          <w:rFonts w:hint="eastAsia" w:cs="宋体" w:asciiTheme="minorEastAsia" w:hAnsiTheme="minorEastAsia"/>
          <w:color w:val="000000" w:themeColor="text1"/>
          <w:szCs w:val="21"/>
          <w:lang w:eastAsia="zh-TW"/>
          <w14:textFill>
            <w14:solidFill>
              <w14:schemeClr w14:val="tx1"/>
            </w14:solidFill>
          </w14:textFill>
        </w:rPr>
        <w:t>、并充分理解</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文件的全部内容（包括所有的补充、修改内容重要事项、格式、条款</w:t>
      </w:r>
      <w:r>
        <w:rPr>
          <w:rFonts w:hint="eastAsia" w:cs="宋体" w:asciiTheme="minorEastAsia" w:hAnsiTheme="minorEastAsia"/>
          <w:color w:val="000000" w:themeColor="text1"/>
          <w:szCs w:val="21"/>
          <w14:textFill>
            <w14:solidFill>
              <w14:schemeClr w14:val="tx1"/>
            </w14:solidFill>
          </w14:textFill>
        </w:rPr>
        <w:t>、服务要求</w:t>
      </w:r>
      <w:r>
        <w:rPr>
          <w:rFonts w:hint="eastAsia" w:cs="宋体" w:asciiTheme="minorEastAsia" w:hAnsiTheme="minorEastAsia"/>
          <w:color w:val="000000" w:themeColor="text1"/>
          <w:szCs w:val="21"/>
          <w:lang w:eastAsia="zh-TW"/>
          <w14:textFill>
            <w14:solidFill>
              <w14:schemeClr w14:val="tx1"/>
            </w14:solidFill>
          </w14:textFill>
        </w:rPr>
        <w:t>和技术规范、参数及要求等）。</w:t>
      </w:r>
      <w:r>
        <w:rPr>
          <w:rFonts w:hint="eastAsia" w:cs="宋体" w:asciiTheme="minorEastAsia" w:hAnsiTheme="minorEastAsia"/>
          <w:color w:val="000000" w:themeColor="text1"/>
          <w:szCs w:val="21"/>
          <w14:textFill>
            <w14:solidFill>
              <w14:schemeClr w14:val="tx1"/>
            </w14:solidFill>
          </w14:textFill>
        </w:rPr>
        <w:t>供应商</w:t>
      </w:r>
      <w:r>
        <w:rPr>
          <w:rFonts w:hint="eastAsia" w:cs="宋体" w:asciiTheme="minorEastAsia" w:hAnsiTheme="minorEastAsia"/>
          <w:color w:val="000000" w:themeColor="text1"/>
          <w:szCs w:val="21"/>
          <w:lang w:eastAsia="zh-TW"/>
          <w14:textFill>
            <w14:solidFill>
              <w14:schemeClr w14:val="tx1"/>
            </w14:solidFill>
          </w14:textFill>
        </w:rPr>
        <w:t>没有按照</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文件要求提交全部资料，或者</w:t>
      </w:r>
      <w:r>
        <w:rPr>
          <w:rFonts w:hint="eastAsia" w:cs="宋体" w:asciiTheme="minorEastAsia" w:hAnsiTheme="minorEastAsia"/>
          <w:color w:val="000000" w:themeColor="text1"/>
          <w:szCs w:val="21"/>
          <w14:textFill>
            <w14:solidFill>
              <w14:schemeClr w14:val="tx1"/>
            </w14:solidFill>
          </w14:textFill>
        </w:rPr>
        <w:t>参与竞价所上传的</w:t>
      </w:r>
      <w:r>
        <w:rPr>
          <w:rFonts w:hint="eastAsia" w:cs="宋体" w:asciiTheme="minorEastAsia" w:hAnsiTheme="minorEastAsia"/>
          <w:color w:val="000000" w:themeColor="text1"/>
          <w:szCs w:val="21"/>
          <w:lang w:eastAsia="zh-TW"/>
          <w14:textFill>
            <w14:solidFill>
              <w14:schemeClr w14:val="tx1"/>
            </w14:solidFill>
          </w14:textFill>
        </w:rPr>
        <w:t>文件没有对</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文件在各方面都作出实质性响应是</w:t>
      </w:r>
      <w:r>
        <w:rPr>
          <w:rFonts w:hint="eastAsia" w:cs="宋体" w:asciiTheme="minorEastAsia" w:hAnsiTheme="minorEastAsia"/>
          <w:color w:val="000000" w:themeColor="text1"/>
          <w:szCs w:val="21"/>
          <w14:textFill>
            <w14:solidFill>
              <w14:schemeClr w14:val="tx1"/>
            </w14:solidFill>
          </w14:textFill>
        </w:rPr>
        <w:t>供应商</w:t>
      </w:r>
      <w:r>
        <w:rPr>
          <w:rFonts w:hint="eastAsia" w:cs="宋体" w:asciiTheme="minorEastAsia" w:hAnsiTheme="minorEastAsia"/>
          <w:color w:val="000000" w:themeColor="text1"/>
          <w:szCs w:val="21"/>
          <w:lang w:eastAsia="zh-TW"/>
          <w14:textFill>
            <w14:solidFill>
              <w14:schemeClr w14:val="tx1"/>
            </w14:solidFill>
          </w14:textFill>
        </w:rPr>
        <w:t>的风险，有可能导致其</w:t>
      </w:r>
      <w:r>
        <w:rPr>
          <w:rFonts w:hint="eastAsia" w:cs="宋体" w:asciiTheme="minorEastAsia" w:hAnsiTheme="minorEastAsia"/>
          <w:color w:val="000000" w:themeColor="text1"/>
          <w:szCs w:val="21"/>
          <w14:textFill>
            <w14:solidFill>
              <w14:schemeClr w14:val="tx1"/>
            </w14:solidFill>
          </w14:textFill>
        </w:rPr>
        <w:t>竞价</w:t>
      </w:r>
      <w:r>
        <w:rPr>
          <w:rFonts w:hint="eastAsia" w:cs="宋体" w:asciiTheme="minorEastAsia" w:hAnsiTheme="minorEastAsia"/>
          <w:color w:val="000000" w:themeColor="text1"/>
          <w:szCs w:val="21"/>
          <w:lang w:eastAsia="zh-TW"/>
          <w14:textFill>
            <w14:solidFill>
              <w14:schemeClr w14:val="tx1"/>
            </w14:solidFill>
          </w14:textFill>
        </w:rPr>
        <w:t>被拒绝，</w:t>
      </w:r>
      <w:r>
        <w:rPr>
          <w:rFonts w:hint="eastAsia" w:cs="宋体" w:asciiTheme="minorEastAsia" w:hAnsiTheme="minorEastAsia"/>
          <w:color w:val="000000" w:themeColor="text1"/>
          <w:szCs w:val="21"/>
          <w14:textFill>
            <w14:solidFill>
              <w14:schemeClr w14:val="tx1"/>
            </w14:solidFill>
          </w14:textFill>
        </w:rPr>
        <w:t>或被认定为无效竞价。</w:t>
      </w:r>
    </w:p>
    <w:p w14:paraId="2883654E">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采购人有权拒绝接受任何不合格的货物或服务，由此产生的费用及相关后果均由成交供应商自行承担。</w:t>
      </w:r>
    </w:p>
    <w:p w14:paraId="7C434ECF">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供应商认为竞价结果损害其权益的，应按照云采链平台相关指引在规定的时间内向采购人或代理机构提交书面质疑，不提交的视为无异议，逾期提交将不予受理。</w:t>
      </w:r>
    </w:p>
    <w:p w14:paraId="0447D1F8">
      <w:pPr>
        <w:pStyle w:val="32"/>
        <w:numPr>
          <w:ilvl w:val="0"/>
          <w:numId w:val="4"/>
        </w:numPr>
        <w:spacing w:after="0" w:line="360" w:lineRule="auto"/>
        <w:ind w:left="84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本竞价公告和竞价文件的解释权归</w:t>
      </w:r>
      <w:r>
        <w:rPr>
          <w:rFonts w:hint="eastAsia" w:cs="宋体" w:asciiTheme="minorEastAsia" w:hAnsiTheme="minorEastAsia"/>
          <w:color w:val="000000" w:themeColor="text1"/>
          <w:szCs w:val="21"/>
          <w:lang w:eastAsia="zh-TW"/>
          <w14:textFill>
            <w14:solidFill>
              <w14:schemeClr w14:val="tx1"/>
            </w14:solidFill>
          </w14:textFill>
        </w:rPr>
        <w:t>“云采链</w:t>
      </w:r>
      <w:r>
        <w:rPr>
          <w:rFonts w:hint="eastAsia" w:cs="宋体" w:asciiTheme="minorEastAsia" w:hAnsiTheme="minorEastAsia"/>
          <w:color w:val="000000" w:themeColor="text1"/>
          <w:szCs w:val="21"/>
          <w14:textFill>
            <w14:solidFill>
              <w14:schemeClr w14:val="tx1"/>
            </w14:solidFill>
          </w14:textFill>
        </w:rPr>
        <w:t>线上采购一体化平台</w:t>
      </w:r>
      <w:r>
        <w:rPr>
          <w:rFonts w:hint="eastAsia" w:cs="宋体" w:asciiTheme="minorEastAsia" w:hAnsiTheme="minorEastAsia"/>
          <w:color w:val="000000" w:themeColor="text1"/>
          <w:szCs w:val="21"/>
          <w:lang w:eastAsia="zh-TW"/>
          <w14:textFill>
            <w14:solidFill>
              <w14:schemeClr w14:val="tx1"/>
            </w14:solidFill>
          </w14:textFill>
        </w:rPr>
        <w:t>”所有。</w:t>
      </w:r>
    </w:p>
    <w:p w14:paraId="1E1BA61B">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竞价文件的澄清或修改</w:t>
      </w:r>
    </w:p>
    <w:p w14:paraId="5535209A">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采购人或者采购代理机构可以对已发出的竞价文件进行必要的澄清或者修改。澄清或者修改的内容将在云采链平台上发布澄清（更正/变更）公告。</w:t>
      </w:r>
    </w:p>
    <w:p w14:paraId="347D9016">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无论澄清或者修改的内容是否影响竞价，平台将以短信形式通知所有的报名供应商；报名供应商应按要求履行相应的义务；如报名</w:t>
      </w:r>
      <w:r>
        <w:rPr>
          <w:rFonts w:hint="eastAsia" w:cs="宋体" w:asciiTheme="minorEastAsia" w:hAnsiTheme="minorEastAsia"/>
          <w:color w:val="000000" w:themeColor="text1"/>
          <w:szCs w:val="21"/>
          <w:lang w:eastAsia="zh-TW"/>
          <w14:textFill>
            <w14:solidFill>
              <w14:schemeClr w14:val="tx1"/>
            </w14:solidFill>
          </w14:textFill>
        </w:rPr>
        <w:t>截止时间</w:t>
      </w:r>
      <w:r>
        <w:rPr>
          <w:rFonts w:hint="eastAsia" w:cs="宋体" w:asciiTheme="minorEastAsia" w:hAnsiTheme="minorEastAsia"/>
          <w:color w:val="000000" w:themeColor="text1"/>
          <w:szCs w:val="21"/>
          <w14:textFill>
            <w14:solidFill>
              <w14:schemeClr w14:val="tx1"/>
            </w14:solidFill>
          </w14:textFill>
        </w:rPr>
        <w:t>少于一个工作日的，采购人或者采购代理机构应当相应顺延报名的截止时间。</w:t>
      </w:r>
    </w:p>
    <w:p w14:paraId="3B8E9814">
      <w:pPr>
        <w:pStyle w:val="32"/>
        <w:numPr>
          <w:ilvl w:val="0"/>
          <w:numId w:val="5"/>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采购人或者采购代理机构发出的澄清或修改（更正/变更）的内容为竞价文件的组成部分，并对供应商具有约束力。</w:t>
      </w:r>
    </w:p>
    <w:p w14:paraId="7DFDFE36">
      <w:pPr>
        <w:pStyle w:val="32"/>
        <w:numPr>
          <w:ilvl w:val="0"/>
          <w:numId w:val="3"/>
        </w:numPr>
        <w:spacing w:after="0" w:line="360" w:lineRule="auto"/>
        <w:ind w:left="420" w:hanging="420" w:firstLineChars="0"/>
        <w:rPr>
          <w:rStyle w:val="27"/>
          <w:rFonts w:hint="eastAsia" w:cs="宋体" w:asciiTheme="minorEastAsia" w:hAnsiTheme="minorEastAsia"/>
          <w:bCs w:val="0"/>
          <w:szCs w:val="21"/>
        </w:rPr>
      </w:pPr>
      <w:r>
        <w:rPr>
          <w:rStyle w:val="27"/>
          <w:rFonts w:hint="eastAsia" w:cs="宋体" w:asciiTheme="minorEastAsia" w:hAnsiTheme="minorEastAsia"/>
          <w:bCs w:val="0"/>
          <w:szCs w:val="21"/>
        </w:rPr>
        <w:t>报名要求</w:t>
      </w:r>
      <w:r>
        <w:rPr>
          <w:rStyle w:val="27"/>
          <w:rFonts w:hint="eastAsia" w:cs="宋体" w:asciiTheme="minorEastAsia" w:hAnsiTheme="minorEastAsia"/>
          <w:b w:val="0"/>
          <w:szCs w:val="21"/>
        </w:rPr>
        <w:t>（参与竞价的供应商资质要求: 报名时需要提供以下</w:t>
      </w:r>
      <w:r>
        <w:rPr>
          <w:rStyle w:val="27"/>
          <w:rFonts w:hint="eastAsia" w:cs="宋体" w:asciiTheme="minorEastAsia" w:hAnsiTheme="minorEastAsia"/>
          <w:bCs w:val="0"/>
          <w:szCs w:val="21"/>
          <w:u w:val="single"/>
        </w:rPr>
        <w:t>盖章</w:t>
      </w:r>
      <w:r>
        <w:rPr>
          <w:rStyle w:val="27"/>
          <w:rFonts w:hint="eastAsia" w:cs="宋体" w:asciiTheme="minorEastAsia" w:hAnsiTheme="minorEastAsia"/>
          <w:b w:val="0"/>
          <w:szCs w:val="21"/>
        </w:rPr>
        <w:t>资料，并对上传的报名文件资料承担责任）</w:t>
      </w:r>
    </w:p>
    <w:p w14:paraId="02CA1B27">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kern w:val="0"/>
          <w:szCs w:val="21"/>
        </w:rPr>
        <w:t>提供在中华人民共和国境内注册的法人</w:t>
      </w:r>
      <w:bookmarkStart w:id="0" w:name="_Hlk191392636"/>
      <w:r>
        <w:rPr>
          <w:rFonts w:hint="eastAsia" w:cs="宋体" w:asciiTheme="minorEastAsia" w:hAnsiTheme="minorEastAsia"/>
          <w:kern w:val="0"/>
          <w:szCs w:val="21"/>
        </w:rPr>
        <w:t>或其他组织</w:t>
      </w:r>
      <w:bookmarkEnd w:id="0"/>
      <w:r>
        <w:rPr>
          <w:rFonts w:hint="eastAsia" w:cs="宋体" w:asciiTheme="minorEastAsia" w:hAnsiTheme="minorEastAsia"/>
          <w:kern w:val="0"/>
          <w:szCs w:val="21"/>
        </w:rPr>
        <w:t>的营业执照或事业单位法人证书或社会团体法人登记证书复印件</w:t>
      </w:r>
      <w:r>
        <w:rPr>
          <w:rFonts w:hint="eastAsia" w:ascii="宋体" w:hAnsi="宋体"/>
          <w:kern w:val="0"/>
          <w:szCs w:val="20"/>
        </w:rPr>
        <w:t>，如响应供应商为自然人的提供自然人身份证明复印件；</w:t>
      </w:r>
      <w:r>
        <w:rPr>
          <w:rFonts w:hint="eastAsia" w:cs="宋体" w:asciiTheme="minorEastAsia" w:hAnsiTheme="minorEastAsia"/>
          <w:kern w:val="0"/>
          <w:szCs w:val="21"/>
        </w:rPr>
        <w:t>如国家另有规定的，则从其规定（分公司参与竞价，须取得具有法人资格的总公司（总所）出具给分公司的授权书，并提供总公司（总所）和分公司的营业执照（执业许可证）复印件。已由总公司（总所）授权的，总公司（总所）取得的相关资质证书对分公司有效，法律法规或者行业另有规定的除外）。</w:t>
      </w:r>
    </w:p>
    <w:p w14:paraId="7CF62638">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供应商：具有良好的商业信誉和健全的财务会计制度；有依法缴纳税收和社会保障资金的良好记录；</w:t>
      </w:r>
      <w:r>
        <w:rPr>
          <w:rFonts w:hint="eastAsia" w:cs="宋体" w:asciiTheme="minorEastAsia" w:hAnsiTheme="minorEastAsia"/>
          <w:color w:val="000000" w:themeColor="text1"/>
          <w:kern w:val="0"/>
          <w:szCs w:val="21"/>
          <w14:textFill>
            <w14:solidFill>
              <w14:schemeClr w14:val="tx1"/>
            </w14:solidFill>
          </w14:textFill>
        </w:rPr>
        <w:t>具有</w:t>
      </w:r>
      <w:r>
        <w:rPr>
          <w:rFonts w:cs="宋体" w:asciiTheme="minorEastAsia" w:hAnsiTheme="minorEastAsia"/>
          <w:color w:val="000000" w:themeColor="text1"/>
          <w:kern w:val="0"/>
          <w:szCs w:val="21"/>
          <w14:textFill>
            <w14:solidFill>
              <w14:schemeClr w14:val="tx1"/>
            </w14:solidFill>
          </w14:textFill>
        </w:rPr>
        <w:t>履行合同所必需的设备和专业技术能力；参加采购活动前3年内在经营活动中没有重大违法记录的书面声明；具备法律、行政法规规定的其他条件</w:t>
      </w:r>
      <w:r>
        <w:rPr>
          <w:rFonts w:hint="eastAsia" w:cs="宋体" w:asciiTheme="minorEastAsia" w:hAnsiTheme="minorEastAsia"/>
          <w:color w:val="000000" w:themeColor="text1"/>
          <w:kern w:val="0"/>
          <w:szCs w:val="21"/>
          <w14:textFill>
            <w14:solidFill>
              <w14:schemeClr w14:val="tx1"/>
            </w14:solidFill>
          </w14:textFill>
        </w:rPr>
        <w:t>；法定代表人或单位负责人与所参投的本项目其他供应商的法定代表人或单位负责人不为同一人且与其他供应商之间不存在直接控股、管理关系；本项目不接受转包分包且不接受联合体参与竞价（提供《供应商资格声明函》，格式见附件）。</w:t>
      </w:r>
    </w:p>
    <w:p w14:paraId="75480435">
      <w:pPr>
        <w:pStyle w:val="32"/>
        <w:widowControl/>
        <w:numPr>
          <w:ilvl w:val="0"/>
          <w:numId w:val="6"/>
        </w:numPr>
        <w:spacing w:after="0" w:line="360" w:lineRule="auto"/>
        <w:ind w:left="732" w:hanging="312" w:firstLineChars="0"/>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供应商完全响应本项目</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需求的条款、内容及要求的，提供</w:t>
      </w:r>
      <w:r>
        <w:rPr>
          <w:rFonts w:hint="eastAsia" w:cs="宋体" w:asciiTheme="minorEastAsia" w:hAnsiTheme="minorEastAsia"/>
          <w:color w:val="000000" w:themeColor="text1"/>
          <w:szCs w:val="21"/>
          <w14:textFill>
            <w14:solidFill>
              <w14:schemeClr w14:val="tx1"/>
            </w14:solidFill>
          </w14:textFill>
        </w:rPr>
        <w:t>采购</w:t>
      </w:r>
      <w:r>
        <w:rPr>
          <w:rFonts w:hint="eastAsia" w:cs="宋体" w:asciiTheme="minorEastAsia" w:hAnsiTheme="minorEastAsia"/>
          <w:color w:val="000000" w:themeColor="text1"/>
          <w:kern w:val="0"/>
          <w:szCs w:val="21"/>
          <w14:textFill>
            <w14:solidFill>
              <w14:schemeClr w14:val="tx1"/>
            </w14:solidFill>
          </w14:textFill>
        </w:rPr>
        <w:t>需求书响应声明函，格式详见附件。</w:t>
      </w:r>
    </w:p>
    <w:p w14:paraId="3C230D5C">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报价要求</w:t>
      </w:r>
      <w:r>
        <w:rPr>
          <w:rStyle w:val="27"/>
          <w:rFonts w:hint="eastAsia" w:cs="宋体" w:asciiTheme="minorEastAsia" w:hAnsiTheme="minorEastAsia"/>
          <w:color w:val="000000" w:themeColor="text1"/>
          <w:szCs w:val="21"/>
          <w14:textFill>
            <w14:solidFill>
              <w14:schemeClr w14:val="tx1"/>
            </w14:solidFill>
          </w14:textFill>
        </w:rPr>
        <w:t>（</w:t>
      </w:r>
      <w:r>
        <w:rPr>
          <w:rStyle w:val="27"/>
          <w:rFonts w:hint="eastAsia" w:cs="宋体" w:asciiTheme="minorEastAsia" w:hAnsiTheme="minorEastAsia"/>
          <w:b w:val="0"/>
          <w:color w:val="000000" w:themeColor="text1"/>
          <w:szCs w:val="21"/>
          <w14:textFill>
            <w14:solidFill>
              <w14:schemeClr w14:val="tx1"/>
            </w14:solidFill>
          </w14:textFill>
        </w:rPr>
        <w:t>报价时需要提供以下</w:t>
      </w:r>
      <w:r>
        <w:rPr>
          <w:rStyle w:val="27"/>
          <w:rFonts w:hint="eastAsia" w:cs="宋体" w:asciiTheme="minorEastAsia" w:hAnsiTheme="minorEastAsia"/>
          <w:color w:val="000000" w:themeColor="text1"/>
          <w:szCs w:val="21"/>
          <w:u w:val="double"/>
          <w14:textFill>
            <w14:solidFill>
              <w14:schemeClr w14:val="tx1"/>
            </w14:solidFill>
          </w14:textFill>
        </w:rPr>
        <w:t>盖章</w:t>
      </w:r>
      <w:r>
        <w:rPr>
          <w:rStyle w:val="27"/>
          <w:rFonts w:hint="eastAsia" w:cs="宋体" w:asciiTheme="minorEastAsia" w:hAnsiTheme="minorEastAsia"/>
          <w:b w:val="0"/>
          <w:color w:val="000000" w:themeColor="text1"/>
          <w:szCs w:val="21"/>
          <w14:textFill>
            <w14:solidFill>
              <w14:schemeClr w14:val="tx1"/>
            </w14:solidFill>
          </w14:textFill>
        </w:rPr>
        <w:t>资料，</w:t>
      </w:r>
      <w:r>
        <w:rPr>
          <w:rFonts w:hint="eastAsia" w:cs="宋体" w:asciiTheme="minorEastAsia" w:hAnsiTheme="minorEastAsia"/>
          <w:color w:val="000000" w:themeColor="text1"/>
          <w:szCs w:val="21"/>
          <w14:textFill>
            <w14:solidFill>
              <w14:schemeClr w14:val="tx1"/>
            </w14:solidFill>
          </w14:textFill>
        </w:rPr>
        <w:t>并对上传的竞价文件资料承担责任</w:t>
      </w:r>
      <w:r>
        <w:rPr>
          <w:rStyle w:val="27"/>
          <w:rFonts w:hint="eastAsia" w:cs="宋体" w:asciiTheme="minorEastAsia" w:hAnsiTheme="minorEastAsia"/>
          <w:color w:val="000000" w:themeColor="text1"/>
          <w:szCs w:val="21"/>
          <w14:textFill>
            <w14:solidFill>
              <w14:schemeClr w14:val="tx1"/>
            </w14:solidFill>
          </w14:textFill>
        </w:rPr>
        <w:t>）</w:t>
      </w:r>
    </w:p>
    <w:p w14:paraId="68460156">
      <w:pPr>
        <w:pStyle w:val="32"/>
        <w:numPr>
          <w:ilvl w:val="0"/>
          <w:numId w:val="7"/>
        </w:numPr>
        <w:spacing w:after="0" w:line="360" w:lineRule="auto"/>
        <w:ind w:left="732" w:hanging="312" w:firstLineChars="0"/>
        <w:rPr>
          <w:rFonts w:hint="eastAsia" w:cs="宋体" w:asciiTheme="minorEastAsia" w:hAnsiTheme="minorEastAsia"/>
          <w:szCs w:val="21"/>
        </w:rPr>
      </w:pPr>
      <w:r>
        <w:rPr>
          <w:rFonts w:hint="eastAsia" w:cs="宋体" w:asciiTheme="minorEastAsia" w:hAnsiTheme="minorEastAsia"/>
          <w:color w:val="000000" w:themeColor="text1"/>
          <w:szCs w:val="21"/>
          <w14:textFill>
            <w14:solidFill>
              <w14:schemeClr w14:val="tx1"/>
            </w14:solidFill>
          </w14:textFill>
        </w:rPr>
        <w:t>通过报名供应商应根据本公告要求，在规定的竞价时间内对采购项目进行报价，同时按本公告要求完整</w:t>
      </w:r>
      <w:r>
        <w:rPr>
          <w:rFonts w:hint="eastAsia" w:cs="宋体" w:asciiTheme="minorEastAsia" w:hAnsiTheme="minorEastAsia"/>
          <w:color w:val="000000" w:themeColor="text1"/>
          <w:szCs w:val="21"/>
          <w:lang w:eastAsia="zh-TW"/>
          <w14:textFill>
            <w14:solidFill>
              <w14:schemeClr w14:val="tx1"/>
            </w14:solidFill>
          </w14:textFill>
        </w:rPr>
        <w:t>、真实、准确地</w:t>
      </w:r>
      <w:r>
        <w:rPr>
          <w:rFonts w:hint="eastAsia" w:cs="宋体" w:asciiTheme="minorEastAsia" w:hAnsiTheme="minorEastAsia"/>
          <w:color w:val="000000" w:themeColor="text1"/>
          <w:szCs w:val="21"/>
          <w14:textFill>
            <w14:solidFill>
              <w14:schemeClr w14:val="tx1"/>
            </w14:solidFill>
          </w14:textFill>
        </w:rPr>
        <w:t>填写并上传相应报价附</w:t>
      </w:r>
      <w:r>
        <w:rPr>
          <w:rFonts w:hint="eastAsia" w:cs="宋体" w:asciiTheme="minorEastAsia" w:hAnsiTheme="minorEastAsia"/>
          <w:color w:val="000000" w:themeColor="text1"/>
          <w:szCs w:val="21"/>
          <w:highlight w:val="none"/>
          <w14:textFill>
            <w14:solidFill>
              <w14:schemeClr w14:val="tx1"/>
            </w14:solidFill>
          </w14:textFill>
        </w:rPr>
        <w:t>件</w:t>
      </w:r>
      <w:r>
        <w:rPr>
          <w:rFonts w:hint="eastAsia" w:cs="宋体" w:asciiTheme="minorEastAsia" w:hAnsiTheme="minorEastAsia"/>
          <w:b/>
          <w:bCs/>
          <w:color w:val="000000" w:themeColor="text1"/>
          <w:szCs w:val="21"/>
          <w:highlight w:val="none"/>
          <w14:textFill>
            <w14:solidFill>
              <w14:schemeClr w14:val="tx1"/>
            </w14:solidFill>
          </w14:textFill>
        </w:rPr>
        <w:t>（</w:t>
      </w:r>
      <w:r>
        <w:rPr>
          <w:rFonts w:hint="eastAsia" w:cs="宋体" w:asciiTheme="minorEastAsia" w:hAnsiTheme="minorEastAsia"/>
          <w:b/>
          <w:szCs w:val="21"/>
          <w:highlight w:val="none"/>
          <w:lang w:bidi="ar"/>
        </w:rPr>
        <w:t>上传</w:t>
      </w:r>
      <w:r>
        <w:rPr>
          <w:rFonts w:hint="eastAsia" w:cs="宋体" w:asciiTheme="minorEastAsia" w:hAnsiTheme="minorEastAsia"/>
          <w:b/>
          <w:bCs/>
          <w:szCs w:val="21"/>
          <w:highlight w:val="none"/>
          <w:shd w:val="clear" w:color="auto" w:fill="FFFFFF"/>
          <w:lang w:bidi="ar"/>
        </w:rPr>
        <w:t>报价表</w:t>
      </w:r>
      <w:r>
        <w:rPr>
          <w:rFonts w:hint="eastAsia" w:cs="宋体" w:asciiTheme="minorEastAsia" w:hAnsiTheme="minorEastAsia"/>
          <w:b/>
          <w:bCs/>
          <w:szCs w:val="21"/>
          <w:highlight w:val="none"/>
          <w:shd w:val="clear" w:color="auto" w:fill="FFFFFF"/>
          <w:lang w:eastAsia="zh-CN" w:bidi="ar"/>
        </w:rPr>
        <w:t>）</w:t>
      </w:r>
      <w:r>
        <w:rPr>
          <w:rFonts w:hint="eastAsia" w:cs="宋体" w:asciiTheme="minorEastAsia" w:hAnsiTheme="minorEastAsia"/>
          <w:b/>
          <w:bCs/>
          <w:szCs w:val="21"/>
          <w:highlight w:val="none"/>
          <w:shd w:val="clear" w:color="auto" w:fill="FFFFFF"/>
          <w:lang w:bidi="ar"/>
        </w:rPr>
        <w:t>。</w:t>
      </w:r>
    </w:p>
    <w:p w14:paraId="1CE384E0">
      <w:pPr>
        <w:pStyle w:val="32"/>
        <w:numPr>
          <w:ilvl w:val="0"/>
          <w:numId w:val="7"/>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u w:val="double"/>
          <w14:textFill>
            <w14:solidFill>
              <w14:schemeClr w14:val="tx1"/>
            </w14:solidFill>
          </w14:textFill>
        </w:rPr>
        <w:t>公告中的报价次数指报价期间供应商可进行的最多报价次数。如报价次数为2次，指供应商最多可进行2次报价。如供应商只进行1次报价，则以此次报价为准；如供应商因报价有误或其他原因需重新进行第2次报价，则以第2次报价为准，以此类推。</w:t>
      </w:r>
    </w:p>
    <w:p w14:paraId="7A0AAC66">
      <w:pPr>
        <w:pStyle w:val="32"/>
        <w:numPr>
          <w:ilvl w:val="0"/>
          <w:numId w:val="3"/>
        </w:numPr>
        <w:spacing w:after="0" w:line="360" w:lineRule="auto"/>
        <w:ind w:left="420" w:hanging="420" w:firstLineChars="0"/>
        <w:rPr>
          <w:rStyle w:val="27"/>
          <w:rFonts w:hint="eastAsia" w:cs="宋体" w:asciiTheme="minorEastAsia" w:hAnsiTheme="minorEastAsia"/>
          <w:bCs w:val="0"/>
          <w:color w:val="000000" w:themeColor="text1"/>
          <w:szCs w:val="21"/>
          <w14:textFill>
            <w14:solidFill>
              <w14:schemeClr w14:val="tx1"/>
            </w14:solidFill>
          </w14:textFill>
        </w:rPr>
      </w:pPr>
      <w:r>
        <w:rPr>
          <w:rStyle w:val="27"/>
          <w:rFonts w:hint="eastAsia" w:cs="宋体" w:asciiTheme="minorEastAsia" w:hAnsiTheme="minorEastAsia"/>
          <w:bCs w:val="0"/>
          <w:color w:val="000000" w:themeColor="text1"/>
          <w:szCs w:val="21"/>
          <w14:textFill>
            <w14:solidFill>
              <w14:schemeClr w14:val="tx1"/>
            </w14:solidFill>
          </w14:textFill>
        </w:rPr>
        <w:t>确定成交候选人</w:t>
      </w:r>
    </w:p>
    <w:p w14:paraId="4386CF94">
      <w:pPr>
        <w:pStyle w:val="32"/>
        <w:numPr>
          <w:ilvl w:val="0"/>
          <w:numId w:val="8"/>
        </w:numPr>
        <w:spacing w:after="0" w:line="360" w:lineRule="auto"/>
        <w:ind w:left="760" w:hanging="340" w:firstLineChars="0"/>
        <w:rPr>
          <w:rFonts w:hint="eastAsia" w:cs="宋体" w:asciiTheme="minorEastAsia" w:hAnsiTheme="minorEastAsia"/>
          <w:bCs/>
          <w:color w:val="000000" w:themeColor="text1"/>
          <w:szCs w:val="21"/>
          <w14:textFill>
            <w14:solidFill>
              <w14:schemeClr w14:val="tx1"/>
            </w14:solidFill>
          </w14:textFill>
        </w:rPr>
      </w:pPr>
      <w:r>
        <w:rPr>
          <w:rFonts w:hint="eastAsia" w:asciiTheme="minorEastAsia" w:hAnsiTheme="minorEastAsia"/>
          <w:szCs w:val="21"/>
        </w:rPr>
        <w:t>本项目以最低价成交的方式确定成交供应商。报价时间截止后，系统按报价（经价格核准后的价格）由低到高顺序排列，报价最低的为第一成交候选人，报价相同的，按报价时间在前的为第一成交候选人；报价次低的为第二成交候选人，以此类推</w:t>
      </w:r>
      <w:r>
        <w:rPr>
          <w:rFonts w:hint="eastAsia" w:cs="宋体" w:asciiTheme="minorEastAsia" w:hAnsiTheme="minorEastAsia"/>
          <w:bCs/>
          <w:color w:val="000000" w:themeColor="text1"/>
          <w:szCs w:val="21"/>
          <w14:textFill>
            <w14:solidFill>
              <w14:schemeClr w14:val="tx1"/>
            </w14:solidFill>
          </w14:textFill>
        </w:rPr>
        <w:t>。</w:t>
      </w:r>
    </w:p>
    <w:p w14:paraId="10A43642">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无效报价</w:t>
      </w:r>
    </w:p>
    <w:p w14:paraId="345C4C8A">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参与竞价的供应商报价超过最高限价或低于最低限价或超过项目对应产品单项最高限价的视为无效报价。</w:t>
      </w:r>
    </w:p>
    <w:p w14:paraId="6D2A826D">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供应商须提供本项目要求的资质文件，如果不按公告规定或竞价文件要求等相关规定提供符合要求的资质文件，将被视为无效报价。</w:t>
      </w:r>
    </w:p>
    <w:p w14:paraId="691AE02D">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参与竞价的</w:t>
      </w:r>
      <w:r>
        <w:rPr>
          <w:rFonts w:hint="eastAsia" w:cs="宋体" w:asciiTheme="minorEastAsia" w:hAnsiTheme="minorEastAsia"/>
          <w:bCs/>
          <w:color w:val="000000" w:themeColor="text1"/>
          <w:szCs w:val="21"/>
          <w14:textFill>
            <w14:solidFill>
              <w14:schemeClr w14:val="tx1"/>
            </w14:solidFill>
          </w14:textFill>
        </w:rPr>
        <w:t>供应商须对本项目采购内容进行整体报价，任何只对其中一部分内容进行的报价都被视为无效报价。</w:t>
      </w:r>
    </w:p>
    <w:p w14:paraId="1E502C8D">
      <w:pPr>
        <w:pStyle w:val="32"/>
        <w:numPr>
          <w:ilvl w:val="0"/>
          <w:numId w:val="9"/>
        </w:numPr>
        <w:spacing w:after="0" w:line="360" w:lineRule="auto"/>
        <w:ind w:left="732" w:hanging="312"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u w:val="double"/>
          <w14:textFill>
            <w14:solidFill>
              <w14:schemeClr w14:val="tx1"/>
            </w14:solidFill>
          </w14:textFill>
        </w:rPr>
        <w:t>报价表以及有报价供应商落款的报价文件必须加盖报价供应商公章，否则视为无效报价。</w:t>
      </w:r>
    </w:p>
    <w:p w14:paraId="477F59F3">
      <w:pPr>
        <w:pStyle w:val="20"/>
        <w:numPr>
          <w:ilvl w:val="0"/>
          <w:numId w:val="9"/>
        </w:numPr>
        <w:shd w:val="clear" w:color="auto" w:fill="FFFFFF"/>
        <w:spacing w:before="0" w:beforeAutospacing="0" w:after="0" w:afterAutospacing="0" w:line="360" w:lineRule="auto"/>
        <w:ind w:left="732" w:hanging="312"/>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13B5B4FA">
      <w:pPr>
        <w:pStyle w:val="20"/>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b/>
          <w:bCs/>
          <w:color w:val="000000" w:themeColor="text1"/>
          <w:sz w:val="21"/>
          <w:szCs w:val="21"/>
          <w:u w:val="double"/>
          <w14:textFill>
            <w14:solidFill>
              <w14:schemeClr w14:val="tx1"/>
            </w14:solidFill>
          </w14:textFill>
        </w:rPr>
      </w:pPr>
      <w:r>
        <w:rPr>
          <w:rFonts w:hint="eastAsia" w:asciiTheme="minorEastAsia" w:hAnsiTheme="minorEastAsia" w:eastAsiaTheme="minorEastAsia"/>
          <w:b/>
          <w:bCs/>
          <w:color w:val="000000" w:themeColor="text1"/>
          <w:sz w:val="21"/>
          <w:szCs w:val="21"/>
          <w:u w:val="double"/>
          <w14:textFill>
            <w14:solidFill>
              <w14:schemeClr w14:val="tx1"/>
            </w14:solidFill>
          </w14:textFill>
        </w:rPr>
        <w:t>按有关法律、法规、规章属于报价无效的。</w:t>
      </w:r>
    </w:p>
    <w:p w14:paraId="3C139582">
      <w:pPr>
        <w:pStyle w:val="20"/>
        <w:numPr>
          <w:ilvl w:val="0"/>
          <w:numId w:val="9"/>
        </w:numPr>
        <w:shd w:val="clear" w:color="auto" w:fill="FFFFFF"/>
        <w:spacing w:before="0" w:beforeAutospacing="0" w:after="0" w:afterAutospacing="0" w:line="360" w:lineRule="auto"/>
        <w:ind w:left="840" w:hanging="420"/>
        <w:rPr>
          <w:rFonts w:hint="eastAsia"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b/>
          <w:color w:val="000000" w:themeColor="text1"/>
          <w:sz w:val="21"/>
          <w:szCs w:val="21"/>
          <w14:textFill>
            <w14:solidFill>
              <w14:schemeClr w14:val="tx1"/>
            </w14:solidFill>
          </w14:textFill>
        </w:rPr>
        <w:t>有下列情形之一的，视为串通竞价，其报价无效：</w:t>
      </w:r>
    </w:p>
    <w:p w14:paraId="64D92C73">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存在单位负责人为同一人或存在控股、管理关系的不同单位参与同一竞价项目；</w:t>
      </w:r>
    </w:p>
    <w:p w14:paraId="7B0C252D">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不同供应商的响应文件由同一单位或者个人编制；</w:t>
      </w:r>
    </w:p>
    <w:p w14:paraId="5DA2669F">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不同供应商委托同一单位或者个人办理竞价事宜；</w:t>
      </w:r>
    </w:p>
    <w:p w14:paraId="5A8ACE72">
      <w:pPr>
        <w:pStyle w:val="32"/>
        <w:widowControl/>
        <w:numPr>
          <w:ilvl w:val="0"/>
          <w:numId w:val="10"/>
        </w:numPr>
        <w:spacing w:after="0" w:line="360" w:lineRule="auto"/>
        <w:ind w:left="1248" w:hanging="397" w:firstLineChars="0"/>
        <w:jc w:val="left"/>
        <w:rPr>
          <w:rFonts w:hint="eastAsia" w:cs="宋体" w:asciiTheme="minorEastAsia" w:hAnsiTheme="minorEastAsia"/>
          <w:b/>
          <w:bCs/>
          <w:color w:val="000000" w:themeColor="text1"/>
          <w:szCs w:val="21"/>
          <w:u w:val="double"/>
          <w14:textFill>
            <w14:solidFill>
              <w14:schemeClr w14:val="tx1"/>
            </w14:solidFill>
          </w14:textFill>
        </w:rPr>
      </w:pPr>
      <w:r>
        <w:rPr>
          <w:rFonts w:hint="eastAsia" w:cs="宋体" w:asciiTheme="minorEastAsia" w:hAnsiTheme="minorEastAsia"/>
          <w:b/>
          <w:bCs/>
          <w:color w:val="000000" w:themeColor="text1"/>
          <w:szCs w:val="21"/>
          <w:u w:val="double"/>
          <w14:textFill>
            <w14:solidFill>
              <w14:schemeClr w14:val="tx1"/>
            </w14:solidFill>
          </w14:textFill>
        </w:rPr>
        <w:t>不同供应商使用同一IP地址参与竞价；</w:t>
      </w:r>
    </w:p>
    <w:p w14:paraId="43AF0976">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不同供应商的响应文件载明的项目管理成员或者联系人员为同一人；</w:t>
      </w:r>
    </w:p>
    <w:p w14:paraId="677D238E">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不同供应商的响应文件异常一致(格式相同，字体一样，表格颜色相同等)或者报价呈规律性差异；</w:t>
      </w:r>
    </w:p>
    <w:p w14:paraId="7003B4BB">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不同供应商的响应文件相互混淆；</w:t>
      </w:r>
    </w:p>
    <w:p w14:paraId="416D26C8">
      <w:pPr>
        <w:pStyle w:val="32"/>
        <w:widowControl/>
        <w:numPr>
          <w:ilvl w:val="0"/>
          <w:numId w:val="10"/>
        </w:numPr>
        <w:spacing w:after="0" w:line="360" w:lineRule="auto"/>
        <w:ind w:left="1248" w:hanging="397" w:firstLineChars="0"/>
        <w:jc w:val="left"/>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不同供应商的平台保障金从同一单位或者个人的账户转出（如有）。</w:t>
      </w:r>
    </w:p>
    <w:p w14:paraId="249D894A">
      <w:pPr>
        <w:pStyle w:val="32"/>
        <w:numPr>
          <w:ilvl w:val="0"/>
          <w:numId w:val="3"/>
        </w:numPr>
        <w:spacing w:after="0" w:line="360" w:lineRule="auto"/>
        <w:ind w:left="420" w:hanging="420" w:firstLineChars="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竞价活动失败</w:t>
      </w:r>
    </w:p>
    <w:p w14:paraId="383ADE5B">
      <w:pPr>
        <w:pStyle w:val="32"/>
        <w:numPr>
          <w:ilvl w:val="0"/>
          <w:numId w:val="11"/>
        </w:numPr>
        <w:spacing w:after="0" w:line="360" w:lineRule="auto"/>
        <w:ind w:left="840" w:leftChars="200" w:hanging="420" w:firstLineChars="0"/>
        <w:rPr>
          <w:rFonts w:hint="eastAsia" w:cs="宋体" w:asciiTheme="minorEastAsia" w:hAnsiTheme="minorEastAsia"/>
          <w:color w:val="000000"/>
          <w:szCs w:val="21"/>
        </w:rPr>
      </w:pPr>
      <w:r>
        <w:rPr>
          <w:rFonts w:hint="eastAsia" w:cs="宋体" w:asciiTheme="minorEastAsia" w:hAnsiTheme="minorEastAsia"/>
          <w:color w:val="000000"/>
          <w:szCs w:val="21"/>
        </w:rPr>
        <w:t>出现下列情况的，本项目竞价活动失败：</w:t>
      </w:r>
    </w:p>
    <w:p w14:paraId="774ECF7E">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有效报名供应商不足3家；</w:t>
      </w:r>
    </w:p>
    <w:p w14:paraId="4658A4D2">
      <w:pPr>
        <w:pStyle w:val="32"/>
        <w:numPr>
          <w:ilvl w:val="0"/>
          <w:numId w:val="12"/>
        </w:numPr>
        <w:spacing w:after="0" w:line="360" w:lineRule="auto"/>
        <w:ind w:left="1260" w:leftChars="600" w:firstLineChars="0"/>
        <w:rPr>
          <w:rFonts w:hint="eastAsia" w:cs="宋体" w:asciiTheme="minorEastAsia" w:hAnsiTheme="minorEastAsia"/>
          <w:color w:val="000000"/>
          <w:szCs w:val="21"/>
        </w:rPr>
      </w:pPr>
      <w:r>
        <w:rPr>
          <w:rFonts w:hint="eastAsia" w:cs="宋体" w:asciiTheme="minorEastAsia" w:hAnsiTheme="minorEastAsia"/>
          <w:color w:val="000000"/>
          <w:szCs w:val="21"/>
        </w:rPr>
        <w:t>有效报价供应商不足3家。</w:t>
      </w:r>
    </w:p>
    <w:p w14:paraId="251AA71D">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2.出现影响采购公正的违法、违规行为的。</w:t>
      </w:r>
    </w:p>
    <w:p w14:paraId="29F18B9E">
      <w:pPr>
        <w:pStyle w:val="32"/>
        <w:spacing w:after="0" w:line="360" w:lineRule="auto"/>
        <w:ind w:left="840" w:leftChars="200" w:hanging="420" w:firstLineChars="0"/>
        <w:rPr>
          <w:rFonts w:hint="eastAsia" w:cs="宋体" w:asciiTheme="minorEastAsia" w:hAnsiTheme="minorEastAsia"/>
          <w:szCs w:val="21"/>
        </w:rPr>
      </w:pPr>
      <w:r>
        <w:rPr>
          <w:rFonts w:hint="eastAsia" w:cs="宋体" w:asciiTheme="minorEastAsia" w:hAnsiTheme="minorEastAsia"/>
          <w:szCs w:val="21"/>
        </w:rPr>
        <w:t>3.因重大变故，采购任务取消的。</w:t>
      </w:r>
    </w:p>
    <w:p w14:paraId="2958981C">
      <w:pPr>
        <w:pStyle w:val="32"/>
        <w:numPr>
          <w:ilvl w:val="0"/>
          <w:numId w:val="3"/>
        </w:numPr>
        <w:spacing w:after="0" w:line="360" w:lineRule="auto"/>
        <w:ind w:left="420" w:hanging="420"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使用费</w:t>
      </w:r>
    </w:p>
    <w:p w14:paraId="2937E399">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1.成交供应商须向平台服务商云采链线上采购一体化平台缴纳平台使用费，金额为成交金额的1.2%（四舍五入取整数）。</w:t>
      </w:r>
    </w:p>
    <w:p w14:paraId="78F644F3">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2.成交供应商无正当理由放弃成交资格的必须按竞价公告等相关规定缴纳相应的平台使用费。</w:t>
      </w:r>
    </w:p>
    <w:p w14:paraId="299E81D6">
      <w:pPr>
        <w:pStyle w:val="32"/>
        <w:spacing w:after="0" w:line="360" w:lineRule="auto"/>
        <w:ind w:left="647" w:leftChars="200" w:hanging="227" w:firstLineChars="0"/>
        <w:rPr>
          <w:rFonts w:hint="eastAsia" w:cs="宋体" w:asciiTheme="minorEastAsia" w:hAnsiTheme="minorEastAsia"/>
          <w:szCs w:val="21"/>
        </w:rPr>
      </w:pPr>
      <w:r>
        <w:rPr>
          <w:rFonts w:hint="eastAsia" w:cs="宋体" w:asciiTheme="minorEastAsia" w:hAnsiTheme="minorEastAsia"/>
          <w:szCs w:val="21"/>
        </w:rPr>
        <w:t>3.如确实因不可抗力放弃成交资格的，应在不可抗力发生后三个工作日内予以通知采购代理机构并提供相关的证明；如逾期，采购代理机构不予退还平台使用费。</w:t>
      </w:r>
    </w:p>
    <w:p w14:paraId="68DA58B5">
      <w:pPr>
        <w:pStyle w:val="32"/>
        <w:numPr>
          <w:ilvl w:val="0"/>
          <w:numId w:val="2"/>
        </w:numPr>
        <w:spacing w:after="0" w:line="360" w:lineRule="auto"/>
        <w:ind w:firstLineChars="0"/>
        <w:rPr>
          <w:rFonts w:hint="eastAsia" w:cs="宋体" w:asciiTheme="minorEastAsia" w:hAnsiTheme="minorEastAsia"/>
          <w:b/>
          <w:color w:val="000000" w:themeColor="text1"/>
          <w:szCs w:val="21"/>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联系方式</w:t>
      </w:r>
    </w:p>
    <w:p w14:paraId="20C8190C">
      <w:pPr>
        <w:pStyle w:val="32"/>
        <w:numPr>
          <w:ilvl w:val="-1"/>
          <w:numId w:val="0"/>
        </w:numPr>
        <w:spacing w:after="0" w:line="360" w:lineRule="auto"/>
        <w:ind w:left="420" w:firstLine="0" w:firstLineChars="0"/>
        <w:rPr>
          <w:rFonts w:asciiTheme="minorEastAsia" w:hAnsiTheme="minorEastAsia"/>
          <w:szCs w:val="21"/>
        </w:rPr>
      </w:pPr>
      <w:r>
        <w:rPr>
          <w:rFonts w:hint="eastAsia" w:asciiTheme="minorEastAsia" w:hAnsiTheme="minorEastAsia"/>
          <w:szCs w:val="21"/>
          <w:lang w:val="en-US" w:eastAsia="zh-CN"/>
        </w:rPr>
        <w:t>1.</w:t>
      </w:r>
      <w:r>
        <w:rPr>
          <w:rFonts w:asciiTheme="minorEastAsia" w:hAnsiTheme="minorEastAsia"/>
          <w:szCs w:val="21"/>
        </w:rPr>
        <w:t>采购人联系人及联系</w:t>
      </w:r>
      <w:r>
        <w:rPr>
          <w:rFonts w:hint="eastAsia" w:asciiTheme="minorEastAsia" w:hAnsiTheme="minorEastAsia"/>
          <w:szCs w:val="21"/>
        </w:rPr>
        <w:t>方式</w:t>
      </w:r>
      <w:r>
        <w:rPr>
          <w:rFonts w:asciiTheme="minorEastAsia" w:hAnsiTheme="minorEastAsia"/>
          <w:szCs w:val="21"/>
        </w:rPr>
        <w:t>：</w:t>
      </w:r>
      <w:r>
        <w:rPr>
          <w:rFonts w:asciiTheme="minorEastAsia" w:hAnsiTheme="minorEastAsia"/>
          <w:szCs w:val="21"/>
        </w:rPr>
        <w:br w:type="textWrapping"/>
      </w:r>
      <w:r>
        <w:rPr>
          <w:rFonts w:hint="eastAsia" w:asciiTheme="minorEastAsia" w:hAnsiTheme="minorEastAsia"/>
          <w:szCs w:val="21"/>
        </w:rPr>
        <w:t>广东省肇庆监狱业务咨询部门电话 0758-3173863</w:t>
      </w:r>
      <w:r>
        <w:rPr>
          <w:rFonts w:asciiTheme="minorEastAsia" w:hAnsiTheme="minorEastAsia"/>
          <w:szCs w:val="21"/>
        </w:rPr>
        <w:t>。</w:t>
      </w:r>
      <w:r>
        <w:rPr>
          <w:rFonts w:asciiTheme="minorEastAsia" w:hAnsiTheme="minorEastAsia"/>
          <w:szCs w:val="21"/>
        </w:rPr>
        <w:br w:type="textWrapping"/>
      </w:r>
      <w:r>
        <w:rPr>
          <w:rFonts w:asciiTheme="minorEastAsia" w:hAnsiTheme="minorEastAsia"/>
          <w:szCs w:val="21"/>
        </w:rPr>
        <w:t>2</w:t>
      </w:r>
      <w:r>
        <w:rPr>
          <w:rFonts w:hint="eastAsia" w:asciiTheme="minorEastAsia" w:hAnsiTheme="minorEastAsia"/>
          <w:szCs w:val="21"/>
          <w:lang w:val="en-US" w:eastAsia="zh-CN"/>
        </w:rPr>
        <w:t>.</w:t>
      </w:r>
      <w:r>
        <w:rPr>
          <w:rFonts w:asciiTheme="minorEastAsia" w:hAnsiTheme="minorEastAsia"/>
          <w:szCs w:val="21"/>
        </w:rPr>
        <w:t>纪检监督部门：</w:t>
      </w:r>
      <w:r>
        <w:rPr>
          <w:rFonts w:asciiTheme="minorEastAsia" w:hAnsiTheme="minorEastAsia"/>
          <w:szCs w:val="21"/>
        </w:rPr>
        <w:br w:type="textWrapping"/>
      </w:r>
      <w:r>
        <w:rPr>
          <w:rFonts w:hint="eastAsia" w:asciiTheme="minorEastAsia" w:hAnsiTheme="minorEastAsia"/>
          <w:szCs w:val="21"/>
        </w:rPr>
        <w:t>广东省肇庆监狱纪检监督部门电话0758—3173809</w:t>
      </w:r>
      <w:r>
        <w:rPr>
          <w:rFonts w:asciiTheme="minorEastAsia" w:hAnsiTheme="minorEastAsia"/>
          <w:szCs w:val="21"/>
        </w:rPr>
        <w:t>。</w:t>
      </w:r>
    </w:p>
    <w:p w14:paraId="758C1DA1">
      <w:pPr>
        <w:pStyle w:val="32"/>
        <w:widowControl/>
        <w:spacing w:after="0" w:line="360" w:lineRule="auto"/>
        <w:ind w:left="420" w:firstLine="0" w:firstLineChars="0"/>
        <w:jc w:val="left"/>
        <w:rPr>
          <w:rFonts w:hint="eastAsia"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szCs w:val="21"/>
          <w:lang w:val="en-US" w:eastAsia="zh-CN"/>
        </w:rPr>
        <w:t>3.</w:t>
      </w:r>
      <w:r>
        <w:rPr>
          <w:rFonts w:hint="eastAsia" w:asciiTheme="minorEastAsia" w:hAnsiTheme="minorEastAsia" w:cstheme="minorEastAsia"/>
          <w:color w:val="000000" w:themeColor="text1"/>
          <w:szCs w:val="21"/>
          <w14:textFill>
            <w14:solidFill>
              <w14:schemeClr w14:val="tx1"/>
            </w14:solidFill>
          </w14:textFill>
        </w:rPr>
        <w:t>扫码关注微信公众号“云采链互联服务平台”，即可在线咨询相关事项。</w:t>
      </w:r>
    </w:p>
    <w:p w14:paraId="3605F6F2">
      <w:pPr>
        <w:pStyle w:val="32"/>
        <w:widowControl/>
        <w:spacing w:after="0" w:line="360" w:lineRule="auto"/>
        <w:ind w:left="420" w:firstLine="0" w:firstLineChars="0"/>
        <w:jc w:val="center"/>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drawing>
          <wp:inline distT="0" distB="0" distL="0" distR="0">
            <wp:extent cx="1390650" cy="1390650"/>
            <wp:effectExtent l="0" t="0" r="0" b="0"/>
            <wp:docPr id="7" name="图片 7" descr="C:\Users\ADMINI~1\AppData\Local\Temp\360zip$Temp\360$2\智采公众号8c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1\AppData\Local\Temp\360zip$Temp\360$2\智采公众号8cm.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390650" cy="1390650"/>
                    </a:xfrm>
                    <a:prstGeom prst="rect">
                      <a:avLst/>
                    </a:prstGeom>
                    <a:noFill/>
                    <a:ln>
                      <a:noFill/>
                    </a:ln>
                  </pic:spPr>
                </pic:pic>
              </a:graphicData>
            </a:graphic>
          </wp:inline>
        </w:drawing>
      </w:r>
    </w:p>
    <w:p w14:paraId="167719FC">
      <w:pPr>
        <w:spacing w:after="0"/>
        <w:rPr>
          <w:rFonts w:hint="eastAsia"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br w:type="page"/>
      </w:r>
    </w:p>
    <w:p w14:paraId="32E82B45">
      <w:pPr>
        <w:snapToGrid w:val="0"/>
        <w:spacing w:after="0" w:line="360" w:lineRule="auto"/>
        <w:jc w:val="center"/>
        <w:outlineLvl w:val="0"/>
        <w:rPr>
          <w:rFonts w:hint="eastAsia" w:cs="宋体" w:asciiTheme="minorEastAsia" w:hAnsiTheme="minorEastAsia"/>
          <w:color w:val="000000" w:themeColor="text1"/>
          <w:sz w:val="32"/>
          <w:szCs w:val="32"/>
          <w14:textFill>
            <w14:solidFill>
              <w14:schemeClr w14:val="tx1"/>
            </w14:solidFill>
          </w14:textFill>
        </w:rPr>
      </w:pPr>
      <w:r>
        <w:rPr>
          <w:rFonts w:hint="eastAsia" w:cs="宋体" w:asciiTheme="minorEastAsia" w:hAnsiTheme="minorEastAsia"/>
          <w:b/>
          <w:bCs/>
          <w:color w:val="000000" w:themeColor="text1"/>
          <w:sz w:val="32"/>
          <w:szCs w:val="32"/>
          <w14:textFill>
            <w14:solidFill>
              <w14:schemeClr w14:val="tx1"/>
            </w14:solidFill>
          </w14:textFill>
        </w:rPr>
        <w:t>第二章 采购需求书</w:t>
      </w:r>
    </w:p>
    <w:p w14:paraId="0D88D19E">
      <w:pPr>
        <w:snapToGrid w:val="0"/>
        <w:spacing w:after="0" w:line="360" w:lineRule="auto"/>
        <w:ind w:left="517" w:hanging="517" w:hangingChars="245"/>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说明：</w:t>
      </w:r>
    </w:p>
    <w:p w14:paraId="41F29DAA">
      <w:pPr>
        <w:numPr>
          <w:ilvl w:val="0"/>
          <w:numId w:val="13"/>
        </w:numPr>
        <w:snapToGrid w:val="0"/>
        <w:spacing w:after="0" w:line="360" w:lineRule="auto"/>
        <w:rPr>
          <w:rFonts w:hint="eastAsia" w:cs="宋体" w:asciiTheme="minorEastAsia" w:hAnsiTheme="minorEastAsia"/>
          <w:b/>
          <w:bCs/>
          <w:color w:val="000000" w:themeColor="text1"/>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 xml:space="preserve">响应供应商须对本项目进行整体响应，任何只对其中一部分进行的响应都被视为无效响应。 </w:t>
      </w:r>
    </w:p>
    <w:p w14:paraId="5006B3CC">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项目一览表</w:t>
      </w:r>
    </w:p>
    <w:tbl>
      <w:tblPr>
        <w:tblStyle w:val="24"/>
        <w:tblW w:w="850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1056"/>
        <w:gridCol w:w="2931"/>
        <w:gridCol w:w="1716"/>
      </w:tblGrid>
      <w:tr w14:paraId="37817D3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2802" w:type="dxa"/>
            <w:tcBorders>
              <w:top w:val="single" w:color="auto" w:sz="12" w:space="0"/>
              <w:bottom w:val="single" w:color="auto" w:sz="2" w:space="0"/>
            </w:tcBorders>
            <w:shd w:val="clear" w:color="auto" w:fill="EEECE1"/>
            <w:vAlign w:val="center"/>
          </w:tcPr>
          <w:p w14:paraId="5D79E66F">
            <w:pPr>
              <w:keepNext w:val="0"/>
              <w:keepLines w:val="0"/>
              <w:suppressLineNumbers w:val="0"/>
              <w:spacing w:before="0" w:beforeAutospacing="0" w:after="0" w:afterAutospacing="0"/>
              <w:ind w:left="0" w:right="0"/>
              <w:jc w:val="center"/>
              <w:rPr>
                <w:rFonts w:hint="eastAsia" w:asciiTheme="minorEastAsia" w:hAnsiTheme="minorEastAsia"/>
                <w:b/>
                <w:szCs w:val="21"/>
              </w:rPr>
            </w:pPr>
            <w:r>
              <w:rPr>
                <w:rFonts w:hint="eastAsia" w:asciiTheme="minorEastAsia" w:hAnsiTheme="minorEastAsia"/>
                <w:b/>
                <w:szCs w:val="21"/>
              </w:rPr>
              <w:t>项目名称</w:t>
            </w:r>
          </w:p>
        </w:tc>
        <w:tc>
          <w:tcPr>
            <w:tcW w:w="1056" w:type="dxa"/>
            <w:tcBorders>
              <w:top w:val="single" w:color="auto" w:sz="12" w:space="0"/>
              <w:bottom w:val="single" w:color="auto" w:sz="2" w:space="0"/>
            </w:tcBorders>
            <w:shd w:val="clear" w:color="auto" w:fill="EEECE1"/>
            <w:vAlign w:val="center"/>
          </w:tcPr>
          <w:p w14:paraId="42B7C993">
            <w:pPr>
              <w:keepNext w:val="0"/>
              <w:keepLines w:val="0"/>
              <w:suppressLineNumbers w:val="0"/>
              <w:spacing w:before="0" w:beforeAutospacing="0" w:after="0" w:afterAutospacing="0"/>
              <w:ind w:left="0" w:right="0"/>
              <w:jc w:val="center"/>
              <w:rPr>
                <w:rFonts w:hint="eastAsia" w:asciiTheme="minorEastAsia" w:hAnsiTheme="minorEastAsia"/>
                <w:b/>
                <w:szCs w:val="21"/>
              </w:rPr>
            </w:pPr>
            <w:r>
              <w:rPr>
                <w:rFonts w:hint="eastAsia" w:asciiTheme="minorEastAsia" w:hAnsiTheme="minorEastAsia"/>
                <w:b/>
                <w:szCs w:val="21"/>
              </w:rPr>
              <w:t>数量</w:t>
            </w:r>
          </w:p>
        </w:tc>
        <w:tc>
          <w:tcPr>
            <w:tcW w:w="2931" w:type="dxa"/>
            <w:tcBorders>
              <w:top w:val="single" w:color="auto" w:sz="12" w:space="0"/>
              <w:bottom w:val="single" w:color="auto" w:sz="2" w:space="0"/>
            </w:tcBorders>
            <w:shd w:val="clear" w:color="auto" w:fill="EEECE1"/>
            <w:vAlign w:val="center"/>
          </w:tcPr>
          <w:p w14:paraId="0E6BA92F">
            <w:pPr>
              <w:keepNext w:val="0"/>
              <w:keepLines w:val="0"/>
              <w:suppressLineNumbers w:val="0"/>
              <w:spacing w:before="0" w:beforeAutospacing="0" w:after="0" w:afterAutospacing="0"/>
              <w:ind w:left="0" w:right="0"/>
              <w:jc w:val="center"/>
              <w:rPr>
                <w:rFonts w:hint="eastAsia" w:asciiTheme="minorEastAsia" w:hAnsiTheme="minorEastAsia" w:eastAsiaTheme="minorEastAsia"/>
                <w:b/>
                <w:szCs w:val="21"/>
                <w:lang w:val="en-US" w:eastAsia="zh-CN"/>
              </w:rPr>
            </w:pPr>
            <w:r>
              <w:rPr>
                <w:rFonts w:hint="eastAsia" w:asciiTheme="minorEastAsia" w:hAnsiTheme="minorEastAsia"/>
                <w:b/>
                <w:szCs w:val="21"/>
                <w:lang w:val="en-US" w:eastAsia="zh-CN"/>
              </w:rPr>
              <w:t>完成期</w:t>
            </w:r>
          </w:p>
        </w:tc>
        <w:tc>
          <w:tcPr>
            <w:tcW w:w="1716" w:type="dxa"/>
            <w:tcBorders>
              <w:top w:val="single" w:color="auto" w:sz="12" w:space="0"/>
              <w:bottom w:val="single" w:color="auto" w:sz="2" w:space="0"/>
            </w:tcBorders>
            <w:shd w:val="clear" w:color="auto" w:fill="EEECE1"/>
            <w:vAlign w:val="center"/>
          </w:tcPr>
          <w:p w14:paraId="781440DC">
            <w:pPr>
              <w:keepNext w:val="0"/>
              <w:keepLines w:val="0"/>
              <w:suppressLineNumbers w:val="0"/>
              <w:spacing w:before="0" w:beforeAutospacing="0" w:after="0" w:afterAutospacing="0"/>
              <w:ind w:left="0" w:right="0"/>
              <w:jc w:val="center"/>
              <w:rPr>
                <w:rFonts w:hint="eastAsia" w:asciiTheme="minorEastAsia" w:hAnsiTheme="minorEastAsia"/>
                <w:b/>
                <w:szCs w:val="21"/>
              </w:rPr>
            </w:pPr>
            <w:r>
              <w:rPr>
                <w:rFonts w:hint="eastAsia" w:asciiTheme="minorEastAsia" w:hAnsiTheme="minorEastAsia"/>
                <w:b/>
                <w:szCs w:val="21"/>
              </w:rPr>
              <w:t>最高限价</w:t>
            </w:r>
          </w:p>
        </w:tc>
      </w:tr>
      <w:tr w14:paraId="42D6277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80" w:hRule="atLeast"/>
          <w:jc w:val="center"/>
        </w:trPr>
        <w:tc>
          <w:tcPr>
            <w:tcW w:w="2802" w:type="dxa"/>
            <w:tcBorders>
              <w:top w:val="single" w:color="auto" w:sz="2" w:space="0"/>
              <w:bottom w:val="single" w:color="auto" w:sz="2" w:space="0"/>
            </w:tcBorders>
            <w:vAlign w:val="center"/>
          </w:tcPr>
          <w:p w14:paraId="6523363B">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广东省肇庆监狱购置固态硬盘、机械硬盘、服务器内存条、万兆网卡项目（第二次）</w:t>
            </w:r>
          </w:p>
        </w:tc>
        <w:tc>
          <w:tcPr>
            <w:tcW w:w="1056" w:type="dxa"/>
            <w:tcBorders>
              <w:top w:val="single" w:color="auto" w:sz="2" w:space="0"/>
              <w:bottom w:val="single" w:color="auto" w:sz="2" w:space="0"/>
            </w:tcBorders>
            <w:vAlign w:val="center"/>
          </w:tcPr>
          <w:p w14:paraId="0E681DBA">
            <w:pPr>
              <w:keepNext w:val="0"/>
              <w:keepLines w:val="0"/>
              <w:suppressLineNumbers w:val="0"/>
              <w:spacing w:before="0" w:beforeAutospacing="0" w:after="0" w:afterAutospacing="0"/>
              <w:ind w:left="0" w:right="0"/>
              <w:jc w:val="center"/>
              <w:rPr>
                <w:rFonts w:hint="default" w:asciiTheme="minorEastAsia" w:hAnsiTheme="minorEastAsia"/>
                <w:szCs w:val="21"/>
                <w:lang w:val="en-US" w:eastAsia="zh-CN"/>
              </w:rPr>
            </w:pPr>
            <w:r>
              <w:rPr>
                <w:rFonts w:hint="eastAsia" w:asciiTheme="minorEastAsia" w:hAnsiTheme="minorEastAsia"/>
                <w:szCs w:val="21"/>
                <w:lang w:eastAsia="zh-CN"/>
              </w:rPr>
              <w:t>1</w:t>
            </w:r>
            <w:r>
              <w:rPr>
                <w:rFonts w:hint="eastAsia" w:asciiTheme="minorEastAsia" w:hAnsiTheme="minorEastAsia"/>
                <w:szCs w:val="21"/>
                <w:lang w:val="en-US" w:eastAsia="zh-CN"/>
              </w:rPr>
              <w:t>批</w:t>
            </w:r>
          </w:p>
        </w:tc>
        <w:tc>
          <w:tcPr>
            <w:tcW w:w="2931" w:type="dxa"/>
            <w:tcBorders>
              <w:top w:val="single" w:color="auto" w:sz="2" w:space="0"/>
              <w:bottom w:val="single" w:color="auto" w:sz="2" w:space="0"/>
            </w:tcBorders>
            <w:vAlign w:val="center"/>
          </w:tcPr>
          <w:p w14:paraId="1256BB7F">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合同签订后的15个工作日内完成设备安装调试并交付使用</w:t>
            </w:r>
          </w:p>
        </w:tc>
        <w:tc>
          <w:tcPr>
            <w:tcW w:w="1716" w:type="dxa"/>
            <w:tcBorders>
              <w:top w:val="single" w:color="auto" w:sz="2" w:space="0"/>
              <w:bottom w:val="single" w:color="auto" w:sz="2" w:space="0"/>
            </w:tcBorders>
            <w:vAlign w:val="center"/>
          </w:tcPr>
          <w:p w14:paraId="07C9CA21">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人民币119490元</w:t>
            </w:r>
          </w:p>
        </w:tc>
      </w:tr>
    </w:tbl>
    <w:p w14:paraId="232258A9">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zh-CN"/>
        </w:rPr>
      </w:pPr>
      <w:r>
        <w:rPr>
          <w:rFonts w:hint="eastAsia" w:cs="宋体" w:asciiTheme="minorEastAsia" w:hAnsiTheme="minorEastAsia" w:eastAsiaTheme="minorEastAsia"/>
          <w:b/>
          <w:bCs/>
          <w:sz w:val="21"/>
        </w:rPr>
        <w:t>项目</w:t>
      </w:r>
      <w:r>
        <w:rPr>
          <w:rFonts w:hint="eastAsia" w:cs="宋体" w:asciiTheme="minorEastAsia" w:hAnsiTheme="minorEastAsia" w:eastAsiaTheme="minorEastAsia"/>
          <w:b/>
          <w:bCs/>
          <w:sz w:val="21"/>
          <w:lang w:val="en-US" w:eastAsia="zh-CN"/>
        </w:rPr>
        <w:t>概况</w:t>
      </w:r>
    </w:p>
    <w:p w14:paraId="5DDF82A1">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sz w:val="21"/>
          <w:szCs w:val="21"/>
          <w:highlight w:val="none"/>
          <w:lang w:val="en-US" w:eastAsia="zh-CN"/>
        </w:rPr>
      </w:pPr>
      <w:r>
        <w:rPr>
          <w:rFonts w:hint="eastAsia" w:ascii="宋体" w:hAnsi="宋体" w:eastAsia="宋体" w:cs="宋体"/>
          <w:sz w:val="21"/>
          <w:szCs w:val="21"/>
          <w:highlight w:val="none"/>
          <w:lang w:val="en-US" w:eastAsia="zh-CN"/>
        </w:rPr>
        <w:t>采购服务器固态硬盘、机械硬盘、服务器内存条、万兆网卡，成交供应商须提供两套正式永久授权的海康虚拟化平台，安装在中心机房现有6台独立海康流媒体服务器（利旧）上，</w:t>
      </w:r>
      <w:bookmarkStart w:id="1" w:name="_GoBack"/>
      <w:bookmarkEnd w:id="1"/>
      <w:r>
        <w:rPr>
          <w:rFonts w:hint="eastAsia" w:ascii="宋体" w:hAnsi="宋体" w:eastAsia="宋体" w:cs="宋体"/>
          <w:sz w:val="21"/>
          <w:szCs w:val="21"/>
          <w:highlight w:val="none"/>
          <w:lang w:val="en-US" w:eastAsia="zh-CN"/>
        </w:rPr>
        <w:t>并将此6台流媒体服务器（利旧）搭建成2套虚拟化集群，安装海康虚拟化平台。</w:t>
      </w:r>
    </w:p>
    <w:p w14:paraId="07981576">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zh-CN"/>
        </w:rPr>
      </w:pPr>
      <w:r>
        <w:rPr>
          <w:rFonts w:hint="eastAsia" w:cs="宋体" w:asciiTheme="minorEastAsia" w:hAnsiTheme="minorEastAsia" w:eastAsiaTheme="minorEastAsia"/>
          <w:b/>
          <w:bCs/>
          <w:sz w:val="21"/>
          <w:lang w:val="en-US" w:eastAsia="zh-CN"/>
        </w:rPr>
        <w:t>建设目标</w:t>
      </w:r>
    </w:p>
    <w:p w14:paraId="27CCF4E0">
      <w:pPr>
        <w:keepNext w:val="0"/>
        <w:keepLines w:val="0"/>
        <w:pageBreakBefore w:val="0"/>
        <w:widowControl w:val="0"/>
        <w:kinsoku/>
        <w:wordWrap/>
        <w:overflowPunct/>
        <w:topLinePunct w:val="0"/>
        <w:autoSpaceDE/>
        <w:autoSpaceDN/>
        <w:bidi w:val="0"/>
        <w:adjustRightInd/>
        <w:snapToGrid/>
        <w:spacing w:line="360" w:lineRule="auto"/>
        <w:ind w:left="0" w:leftChars="0" w:firstLine="420" w:firstLineChars="20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对中心机房现有6台海康流媒体服务器（利旧）进行虚拟化调试，在政法网、安防网内各搭建一套虚拟化集群，安装海康虚拟化平台，可以在政法网、安防网虚拟化多台服务器，切实解决</w:t>
      </w:r>
      <w:r>
        <w:rPr>
          <w:rFonts w:hint="eastAsia" w:ascii="宋体" w:hAnsi="宋体" w:eastAsia="宋体" w:cs="宋体"/>
          <w:sz w:val="21"/>
          <w:szCs w:val="21"/>
          <w:highlight w:val="none"/>
          <w:lang w:val="en-US" w:eastAsia="zh-CN"/>
        </w:rPr>
        <w:t>监控画面经常卡顿，电视墙出现黑屏、资源不足等情况，</w:t>
      </w:r>
      <w:r>
        <w:rPr>
          <w:rFonts w:hint="eastAsia" w:ascii="宋体" w:hAnsi="宋体" w:eastAsia="宋体" w:cs="宋体"/>
          <w:color w:val="auto"/>
          <w:sz w:val="21"/>
          <w:szCs w:val="21"/>
          <w:lang w:val="en-US" w:eastAsia="zh-CN"/>
        </w:rPr>
        <w:t>实现提高服务器高可用性、保障业务系统连续性、快速高效备份恢复的整体建设目标。</w:t>
      </w:r>
    </w:p>
    <w:p w14:paraId="38679703">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项目具体内容</w:t>
      </w:r>
    </w:p>
    <w:p w14:paraId="038AF34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（一）项目名称：</w:t>
      </w:r>
      <w:r>
        <w:rPr>
          <w:rFonts w:hint="eastAsia" w:ascii="宋体" w:hAnsi="宋体" w:eastAsia="宋体" w:cs="宋体"/>
          <w:bCs/>
          <w:color w:val="auto"/>
          <w:sz w:val="21"/>
          <w:szCs w:val="21"/>
          <w:lang w:eastAsia="zh-CN"/>
        </w:rPr>
        <w:t>广东省肇庆监狱购置固态硬盘、机械硬盘、服务器内存条、万兆网卡项目（第二次）</w:t>
      </w:r>
      <w:r>
        <w:rPr>
          <w:rFonts w:hint="eastAsia" w:ascii="宋体" w:hAnsi="宋体" w:eastAsia="宋体" w:cs="宋体"/>
          <w:color w:val="auto"/>
          <w:sz w:val="21"/>
          <w:szCs w:val="21"/>
        </w:rPr>
        <w:t>；</w:t>
      </w:r>
    </w:p>
    <w:p w14:paraId="045C2C4C">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（二）采购预算：约</w:t>
      </w:r>
      <w:r>
        <w:rPr>
          <w:rFonts w:hint="eastAsia" w:ascii="宋体" w:hAnsi="宋体" w:eastAsia="宋体" w:cs="宋体"/>
          <w:sz w:val="21"/>
          <w:szCs w:val="21"/>
          <w:vertAlign w:val="baseline"/>
          <w:lang w:val="en-US" w:eastAsia="zh-CN"/>
        </w:rPr>
        <w:t>119490</w:t>
      </w:r>
      <w:r>
        <w:rPr>
          <w:rFonts w:hint="eastAsia" w:ascii="宋体" w:hAnsi="宋体" w:eastAsia="宋体" w:cs="宋体"/>
          <w:color w:val="auto"/>
          <w:sz w:val="21"/>
          <w:szCs w:val="21"/>
          <w:lang w:val="en-US" w:eastAsia="zh-CN"/>
        </w:rPr>
        <w:t>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项目总费用包括：</w:t>
      </w:r>
      <w:r>
        <w:rPr>
          <w:rFonts w:hint="eastAsia" w:ascii="宋体" w:hAnsi="宋体" w:eastAsia="宋体" w:cs="宋体"/>
          <w:color w:val="auto"/>
          <w:sz w:val="21"/>
          <w:szCs w:val="21"/>
          <w:lang w:eastAsia="zh-CN"/>
        </w:rPr>
        <w:t>货物安装、</w:t>
      </w:r>
      <w:r>
        <w:rPr>
          <w:rFonts w:hint="eastAsia" w:ascii="宋体" w:hAnsi="宋体" w:eastAsia="宋体" w:cs="宋体"/>
          <w:color w:val="auto"/>
          <w:sz w:val="21"/>
          <w:szCs w:val="21"/>
          <w:lang w:val="en-US" w:eastAsia="zh-CN"/>
        </w:rPr>
        <w:t>配套</w:t>
      </w:r>
      <w:r>
        <w:rPr>
          <w:rFonts w:hint="eastAsia" w:ascii="宋体" w:hAnsi="宋体" w:eastAsia="宋体" w:cs="宋体"/>
          <w:color w:val="auto"/>
          <w:sz w:val="21"/>
          <w:szCs w:val="21"/>
          <w:lang w:eastAsia="zh-CN"/>
        </w:rPr>
        <w:t>零配件、标配工具、运输保险、质保期服务、系统对接费、各项税费及合同实施过程中不可预见费用等</w:t>
      </w:r>
      <w:r>
        <w:rPr>
          <w:rFonts w:hint="eastAsia" w:ascii="宋体" w:hAnsi="宋体" w:eastAsia="宋体" w:cs="宋体"/>
          <w:color w:val="auto"/>
          <w:sz w:val="21"/>
          <w:szCs w:val="21"/>
        </w:rPr>
        <w:t>；</w:t>
      </w:r>
    </w:p>
    <w:p w14:paraId="7068DE62">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（三）项目具体内容：成交供应商须与采购人签订合同。</w:t>
      </w:r>
    </w:p>
    <w:p w14:paraId="4385B6F1">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购置12块480G固态硬盘（型号SSD，MZ7L3480HCHQ-7,480G,2.5,SATA,6Gps），</w:t>
      </w:r>
    </w:p>
    <w:p w14:paraId="29ADA257">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购置12块960G固态硬盘（型号SSD、MZ7L3960HCJR-7、960G、2.5寸、SATA），</w:t>
      </w:r>
    </w:p>
    <w:p w14:paraId="680C9AD7">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购置12块4T机械硬盘（型号HDD，HUS726T4TALE6L4 4T 7.2k 3.5 6Gb,SG），</w:t>
      </w:r>
    </w:p>
    <w:p w14:paraId="5BAF12DA">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购置24条服务器内存条(型号SA M393A4K40EB3-CWE DDR4 32R 32G(SG))，</w:t>
      </w:r>
    </w:p>
    <w:p w14:paraId="36365568">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sz w:val="21"/>
          <w:szCs w:val="21"/>
          <w:vertAlign w:val="baseline"/>
          <w:lang w:val="en-US" w:eastAsia="zh-CN"/>
        </w:rPr>
        <w:t>购置6块万兆网卡（型号SG专用，SND E10GI2-82599,双口10G SFP+网卡，带光模块），</w:t>
      </w:r>
    </w:p>
    <w:p w14:paraId="5570E29E">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bCs/>
          <w:color w:val="auto"/>
          <w:sz w:val="21"/>
          <w:szCs w:val="21"/>
          <w:lang w:val="en-US" w:eastAsia="zh-CN"/>
        </w:rPr>
        <w:t>以上固态硬盘、机械硬盘、服务器内存条、万兆网卡，成交供应商须提供两套正式永久授权的海康虚拟化平台，并安装在中心机房现有6台独立海康服务器上，并将此6台服务器搭建成2套虚拟化集群，安装海康虚拟化平台</w:t>
      </w:r>
      <w:r>
        <w:rPr>
          <w:rFonts w:hint="eastAsia" w:ascii="宋体" w:hAnsi="宋体" w:eastAsia="宋体" w:cs="宋体"/>
          <w:color w:val="auto"/>
          <w:sz w:val="21"/>
          <w:szCs w:val="21"/>
          <w:lang w:val="en-US" w:eastAsia="zh-CN"/>
        </w:rPr>
        <w:t>。</w:t>
      </w:r>
    </w:p>
    <w:p w14:paraId="2090A201">
      <w:pPr>
        <w:keepNext w:val="0"/>
        <w:keepLines w:val="0"/>
        <w:pageBreakBefore w:val="0"/>
        <w:widowControl w:val="0"/>
        <w:numPr>
          <w:ilvl w:val="0"/>
          <w:numId w:val="15"/>
        </w:numPr>
        <w:kinsoku/>
        <w:wordWrap/>
        <w:overflowPunct/>
        <w:topLinePunct w:val="0"/>
        <w:autoSpaceDE/>
        <w:autoSpaceDN/>
        <w:bidi w:val="0"/>
        <w:adjustRightInd/>
        <w:snapToGrid/>
        <w:spacing w:line="360" w:lineRule="auto"/>
        <w:ind w:left="208" w:leftChars="0" w:firstLine="422" w:firstLineChars="0"/>
        <w:jc w:val="left"/>
        <w:textAlignment w:val="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本项目预算包含人工、安装调试等内容</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充分考虑安装过程可能的估算错误及漏项，所提供的设备清单是本</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所需的最低基本要求，</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必须按</w:t>
      </w:r>
      <w:r>
        <w:rPr>
          <w:rFonts w:hint="eastAsia" w:ascii="宋体" w:hAnsi="宋体" w:eastAsia="宋体" w:cs="宋体"/>
          <w:color w:val="auto"/>
          <w:sz w:val="21"/>
          <w:szCs w:val="21"/>
          <w:lang w:val="en-US" w:eastAsia="zh-CN"/>
        </w:rPr>
        <w:t>项目</w:t>
      </w:r>
      <w:r>
        <w:rPr>
          <w:rFonts w:hint="eastAsia" w:ascii="宋体" w:hAnsi="宋体" w:eastAsia="宋体" w:cs="宋体"/>
          <w:color w:val="auto"/>
          <w:sz w:val="21"/>
          <w:szCs w:val="21"/>
        </w:rPr>
        <w:t>进行</w:t>
      </w:r>
      <w:r>
        <w:rPr>
          <w:rFonts w:hint="eastAsia" w:ascii="宋体" w:hAnsi="宋体" w:eastAsia="宋体" w:cs="宋体"/>
          <w:color w:val="auto"/>
          <w:sz w:val="21"/>
          <w:szCs w:val="21"/>
          <w:lang w:val="en-US" w:eastAsia="zh-CN"/>
        </w:rPr>
        <w:t>总价</w:t>
      </w:r>
      <w:r>
        <w:rPr>
          <w:rFonts w:hint="eastAsia" w:ascii="宋体" w:hAnsi="宋体" w:eastAsia="宋体" w:cs="宋体"/>
          <w:color w:val="auto"/>
          <w:sz w:val="21"/>
          <w:szCs w:val="21"/>
        </w:rPr>
        <w:t>报价，</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所报价的材料设备档次数量均应不低于需求文件所提出的要求，若认为设备清单不够的，必须对设备清单进行补充，达到系统的完整性；除本需求文件说明外，凡是系统正常运行所需的设备、配件及服务项目等，</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均需自行考虑，并在其报价</w:t>
      </w:r>
      <w:r>
        <w:rPr>
          <w:rFonts w:hint="eastAsia" w:ascii="宋体" w:hAnsi="宋体" w:eastAsia="宋体" w:cs="宋体"/>
          <w:color w:val="auto"/>
          <w:sz w:val="21"/>
          <w:szCs w:val="21"/>
          <w:lang w:val="en-US" w:eastAsia="zh-CN"/>
        </w:rPr>
        <w:t>文件中体现，清单设备需要明确具体数量。</w:t>
      </w:r>
    </w:p>
    <w:p w14:paraId="13280E34">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en-US" w:eastAsia="zh-CN"/>
        </w:rPr>
      </w:pPr>
      <w:r>
        <w:rPr>
          <w:rFonts w:hint="eastAsia" w:cs="宋体" w:asciiTheme="minorEastAsia" w:hAnsiTheme="minorEastAsia" w:eastAsiaTheme="minorEastAsia"/>
          <w:b/>
          <w:bCs/>
          <w:sz w:val="21"/>
          <w:lang w:val="en-US" w:eastAsia="zh-CN"/>
        </w:rPr>
        <w:t>项目清单及要求</w:t>
      </w:r>
    </w:p>
    <w:tbl>
      <w:tblPr>
        <w:tblStyle w:val="24"/>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651"/>
        <w:gridCol w:w="1679"/>
        <w:gridCol w:w="4515"/>
        <w:gridCol w:w="764"/>
        <w:gridCol w:w="724"/>
      </w:tblGrid>
      <w:tr w14:paraId="0AE6B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8194C2">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序号</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DF9AAA">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名称</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0B7C720">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规格参数</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AB5E21">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单位</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E1D3C7">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数量</w:t>
            </w:r>
          </w:p>
        </w:tc>
      </w:tr>
      <w:tr w14:paraId="086AB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13444FC">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1</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BED2B47">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480G固态硬盘</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E546039">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SSD、MZ7L3480HCHQ-7,480G,2.5,SATA,6Gps</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E4F8FB2">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块</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4104361">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12</w:t>
            </w:r>
          </w:p>
        </w:tc>
      </w:tr>
      <w:tr w14:paraId="2FBAA4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9B12DDC">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2</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070E2C">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960G固态硬盘</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0F53751">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SSD、MZ7L3960HCJR-7、960G、2.5寸、SATA</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916F53D">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块</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C20E0DB">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12</w:t>
            </w:r>
          </w:p>
        </w:tc>
      </w:tr>
      <w:tr w14:paraId="70745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16BEFF0">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3</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56821A">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4T机械硬盘</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671711F">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HDD，HUS726T4TALE6L4 4T 7.2k 3.5 6Gb,SG</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774C2E4">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块</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EFDF85E">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12</w:t>
            </w:r>
          </w:p>
        </w:tc>
      </w:tr>
      <w:tr w14:paraId="38E4E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FFE51">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4</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486F9BA">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服务器内存条</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09BA9C99">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SA M393A4K40EB3-CWE DDR4 32R 32G(SG)</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5C3785B">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条</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B2CB533">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24</w:t>
            </w:r>
          </w:p>
        </w:tc>
      </w:tr>
      <w:tr w14:paraId="57863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CD0CB2">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5</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3D44F95">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万兆网卡</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95140F4">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SG专用，SND E10GI2-82599,双口10G SFP+网卡，带光模块</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5583A6C">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个</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54E61A03">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6</w:t>
            </w:r>
          </w:p>
        </w:tc>
      </w:tr>
      <w:tr w14:paraId="40452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EE9FCEC">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6</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DAD5929">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安装/调试</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028FF25">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val="en-US" w:eastAsia="zh-CN"/>
              </w:rPr>
              <w:t>成交供应商须提供两套正式永久授权的海康虚拟化平台，安装在中心机房现有6台独立海康服务器（利旧）上，并将此6台服务器搭建成2套虚拟化集群，安装海康虚拟化平台</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4183DF5">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项</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536B24C">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w:t>
            </w:r>
          </w:p>
        </w:tc>
      </w:tr>
      <w:tr w14:paraId="30B816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4" w:hRule="atLeast"/>
        </w:trPr>
        <w:tc>
          <w:tcPr>
            <w:tcW w:w="391"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F624646">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7</w:t>
            </w:r>
          </w:p>
        </w:tc>
        <w:tc>
          <w:tcPr>
            <w:tcW w:w="1007"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D9F2A25">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税费</w:t>
            </w:r>
          </w:p>
        </w:tc>
        <w:tc>
          <w:tcPr>
            <w:tcW w:w="270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E890BC7">
            <w:pPr>
              <w:keepNext w:val="0"/>
              <w:keepLines w:val="0"/>
              <w:suppressLineNumbers w:val="0"/>
              <w:spacing w:before="0" w:beforeAutospacing="0" w:after="0" w:afterAutospacing="0"/>
              <w:ind w:left="0" w:right="0"/>
              <w:jc w:val="center"/>
              <w:rPr>
                <w:rFonts w:hint="default" w:asciiTheme="minorEastAsia" w:hAnsiTheme="minorEastAsia"/>
                <w:szCs w:val="21"/>
                <w:lang w:val="en-US" w:eastAsia="zh-CN"/>
              </w:rPr>
            </w:pPr>
            <w:r>
              <w:rPr>
                <w:rFonts w:hint="eastAsia" w:asciiTheme="minorEastAsia" w:hAnsiTheme="minorEastAsia"/>
                <w:szCs w:val="21"/>
                <w:lang w:val="en-US" w:eastAsia="zh-CN"/>
              </w:rPr>
              <w:t>/</w:t>
            </w:r>
          </w:p>
        </w:tc>
        <w:tc>
          <w:tcPr>
            <w:tcW w:w="458"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F8C2633">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项</w:t>
            </w:r>
          </w:p>
        </w:tc>
        <w:tc>
          <w:tcPr>
            <w:tcW w:w="434" w:type="pc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A17CBCB">
            <w:pPr>
              <w:keepNext w:val="0"/>
              <w:keepLines w:val="0"/>
              <w:suppressLineNumbers w:val="0"/>
              <w:spacing w:before="0" w:beforeAutospacing="0" w:after="0" w:afterAutospacing="0"/>
              <w:ind w:left="0" w:right="0"/>
              <w:jc w:val="center"/>
              <w:rPr>
                <w:rFonts w:hint="eastAsia" w:asciiTheme="minorEastAsia" w:hAnsiTheme="minorEastAsia"/>
                <w:szCs w:val="21"/>
                <w:lang w:val="en-US" w:eastAsia="zh-CN"/>
              </w:rPr>
            </w:pPr>
            <w:r>
              <w:rPr>
                <w:rFonts w:hint="eastAsia" w:asciiTheme="minorEastAsia" w:hAnsiTheme="minorEastAsia"/>
                <w:szCs w:val="21"/>
                <w:lang w:val="en-US" w:eastAsia="zh-CN"/>
              </w:rPr>
              <w:t>1</w:t>
            </w:r>
          </w:p>
        </w:tc>
      </w:tr>
    </w:tbl>
    <w:p w14:paraId="5BC158BE">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lang w:val="en-US" w:eastAsia="zh-CN"/>
        </w:rPr>
      </w:pPr>
      <w:r>
        <w:rPr>
          <w:rFonts w:hint="eastAsia" w:cs="宋体" w:asciiTheme="minorEastAsia" w:hAnsiTheme="minorEastAsia" w:eastAsiaTheme="minorEastAsia"/>
          <w:b/>
          <w:bCs/>
          <w:sz w:val="21"/>
          <w:lang w:val="en-US" w:eastAsia="zh-CN"/>
        </w:rPr>
        <w:t>供货时间及地点</w:t>
      </w:r>
    </w:p>
    <w:p w14:paraId="6C9E350B">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（一）交货期：合同签订之后，成交供应商需在</w:t>
      </w:r>
      <w:r>
        <w:rPr>
          <w:rFonts w:hint="eastAsia" w:ascii="宋体" w:hAnsi="宋体" w:eastAsia="宋体" w:cs="宋体"/>
          <w:color w:val="auto"/>
          <w:sz w:val="21"/>
          <w:szCs w:val="21"/>
          <w:lang w:val="en-US" w:eastAsia="zh-CN"/>
        </w:rPr>
        <w:t>15个工作日内完成</w:t>
      </w:r>
      <w:r>
        <w:rPr>
          <w:rFonts w:hint="eastAsia" w:ascii="宋体" w:hAnsi="宋体" w:eastAsia="宋体" w:cs="宋体"/>
          <w:color w:val="auto"/>
          <w:sz w:val="21"/>
          <w:szCs w:val="21"/>
        </w:rPr>
        <w:t>。</w:t>
      </w:r>
    </w:p>
    <w:p w14:paraId="26223887">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（二）交货方式：现场交付 </w:t>
      </w:r>
    </w:p>
    <w:p w14:paraId="17B1D2B9">
      <w:pPr>
        <w:keepNext w:val="0"/>
        <w:keepLines w:val="0"/>
        <w:pageBreakBefore w:val="0"/>
        <w:widowControl w:val="0"/>
        <w:kinsoku/>
        <w:wordWrap/>
        <w:overflowPunct/>
        <w:topLinePunct w:val="0"/>
        <w:autoSpaceDE/>
        <w:autoSpaceDN/>
        <w:bidi w:val="0"/>
        <w:adjustRightInd/>
        <w:snapToGrid/>
        <w:spacing w:line="360" w:lineRule="auto"/>
        <w:ind w:left="0"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（三）交货地点：广东省</w:t>
      </w:r>
      <w:r>
        <w:rPr>
          <w:rFonts w:hint="eastAsia" w:ascii="宋体" w:hAnsi="宋体" w:eastAsia="宋体" w:cs="宋体"/>
          <w:color w:val="auto"/>
          <w:sz w:val="21"/>
          <w:szCs w:val="21"/>
          <w:lang w:eastAsia="zh-CN"/>
        </w:rPr>
        <w:t>肇庆监狱</w:t>
      </w:r>
      <w:r>
        <w:rPr>
          <w:rFonts w:hint="eastAsia" w:ascii="宋体" w:hAnsi="宋体" w:eastAsia="宋体" w:cs="宋体"/>
          <w:color w:val="auto"/>
          <w:sz w:val="21"/>
          <w:szCs w:val="21"/>
        </w:rPr>
        <w:t>。</w:t>
      </w:r>
    </w:p>
    <w:p w14:paraId="1AFAE832">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供货要求</w:t>
      </w:r>
    </w:p>
    <w:p w14:paraId="49E7D961">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成交供应商项目所用设备、材料和配件必须符合国家和行业的有关技术及安全标准；</w:t>
      </w:r>
    </w:p>
    <w:p w14:paraId="4A4F3A51">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应保证提供的货物是全新、未使用过的原装合格正品，并完全符合生产厂家或国家规定的质量、规格和性能的要求。</w:t>
      </w:r>
    </w:p>
    <w:p w14:paraId="77C97116">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设备材料的包装必须是制造商原厂包装，凡由于包装不良造成的损失和由此产生的费用均由</w:t>
      </w:r>
      <w:r>
        <w:rPr>
          <w:rFonts w:hint="eastAsia" w:ascii="宋体" w:hAnsi="宋体" w:eastAsia="宋体" w:cs="宋体"/>
          <w:sz w:val="21"/>
          <w:szCs w:val="21"/>
          <w:lang w:eastAsia="zh-CN"/>
        </w:rPr>
        <w:t>成交供应商</w:t>
      </w:r>
      <w:r>
        <w:rPr>
          <w:rFonts w:hint="eastAsia" w:ascii="宋体" w:hAnsi="宋体" w:eastAsia="宋体" w:cs="宋体"/>
          <w:sz w:val="21"/>
          <w:szCs w:val="21"/>
        </w:rPr>
        <w:t>承担。</w:t>
      </w:r>
    </w:p>
    <w:p w14:paraId="13BD5CDA">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产品移交给使用单位验收合格前，</w:t>
      </w:r>
      <w:r>
        <w:rPr>
          <w:rFonts w:hint="eastAsia" w:ascii="宋体" w:hAnsi="宋体" w:eastAsia="宋体" w:cs="宋体"/>
          <w:sz w:val="21"/>
          <w:szCs w:val="21"/>
          <w:lang w:eastAsia="zh-CN"/>
        </w:rPr>
        <w:t>成交供应商</w:t>
      </w:r>
      <w:r>
        <w:rPr>
          <w:rFonts w:hint="eastAsia" w:ascii="宋体" w:hAnsi="宋体" w:eastAsia="宋体" w:cs="宋体"/>
          <w:sz w:val="21"/>
          <w:szCs w:val="21"/>
        </w:rPr>
        <w:t>需要对所有有关项目的材料、半成品、成品和配套设备装置负全责；</w:t>
      </w:r>
    </w:p>
    <w:p w14:paraId="44FD9B09">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项目确因不可抗力需要延期的，双方应通过友好协商尽快解决。</w:t>
      </w:r>
    </w:p>
    <w:p w14:paraId="38FF5480">
      <w:pPr>
        <w:keepNext w:val="0"/>
        <w:keepLines w:val="0"/>
        <w:pageBreakBefore w:val="0"/>
        <w:numPr>
          <w:ilvl w:val="0"/>
          <w:numId w:val="16"/>
        </w:numPr>
        <w:kinsoku/>
        <w:wordWrap/>
        <w:overflowPunct/>
        <w:topLinePunct w:val="0"/>
        <w:bidi w:val="0"/>
        <w:spacing w:line="360" w:lineRule="auto"/>
        <w:ind w:firstLine="420" w:firstLineChars="200"/>
        <w:jc w:val="left"/>
        <w:rPr>
          <w:rFonts w:hint="eastAsia" w:ascii="宋体" w:hAnsi="宋体" w:eastAsia="宋体" w:cs="宋体"/>
          <w:color w:val="auto"/>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负责物品的包装、保险及发运等环节和费用。</w:t>
      </w:r>
    </w:p>
    <w:p w14:paraId="68EFF91C">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验收要求</w:t>
      </w:r>
    </w:p>
    <w:p w14:paraId="339918A7">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成交供应商</w:t>
      </w:r>
      <w:r>
        <w:rPr>
          <w:rFonts w:hint="eastAsia" w:ascii="宋体" w:hAnsi="宋体" w:eastAsia="宋体" w:cs="宋体"/>
          <w:sz w:val="21"/>
          <w:szCs w:val="21"/>
        </w:rPr>
        <w:t xml:space="preserve">发货前应对货物的质量、规格、性能和数量/重量进行精确全面的检验，并出具证明书，证明货物与合同的规定相符。该证明书将成为向采购人要求付款的单据不可分割的组成部分。 </w:t>
      </w:r>
    </w:p>
    <w:p w14:paraId="04853147">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采购人在</w:t>
      </w:r>
      <w:r>
        <w:rPr>
          <w:rFonts w:hint="eastAsia" w:ascii="宋体" w:hAnsi="宋体" w:eastAsia="宋体" w:cs="宋体"/>
          <w:sz w:val="21"/>
          <w:szCs w:val="21"/>
          <w:lang w:eastAsia="zh-CN"/>
        </w:rPr>
        <w:t>成交供应商</w:t>
      </w:r>
      <w:r>
        <w:rPr>
          <w:rFonts w:hint="eastAsia" w:ascii="宋体" w:hAnsi="宋体" w:eastAsia="宋体" w:cs="宋体"/>
          <w:sz w:val="21"/>
          <w:szCs w:val="21"/>
        </w:rPr>
        <w:t>按合同内容完成全部建设并提出验收申请后的10个工作日内进行验收。验收方案由采购人最终确定，验收工作由采购人负责，</w:t>
      </w:r>
      <w:r>
        <w:rPr>
          <w:rFonts w:hint="eastAsia" w:ascii="宋体" w:hAnsi="宋体" w:eastAsia="宋体" w:cs="宋体"/>
          <w:sz w:val="21"/>
          <w:szCs w:val="21"/>
          <w:lang w:eastAsia="zh-CN"/>
        </w:rPr>
        <w:t>成交供应商</w:t>
      </w:r>
      <w:r>
        <w:rPr>
          <w:rFonts w:hint="eastAsia" w:ascii="宋体" w:hAnsi="宋体" w:eastAsia="宋体" w:cs="宋体"/>
          <w:sz w:val="21"/>
          <w:szCs w:val="21"/>
        </w:rPr>
        <w:t>配合。在验收时</w:t>
      </w:r>
      <w:r>
        <w:rPr>
          <w:rFonts w:hint="eastAsia" w:ascii="宋体" w:hAnsi="宋体" w:eastAsia="宋体" w:cs="宋体"/>
          <w:sz w:val="21"/>
          <w:szCs w:val="21"/>
          <w:lang w:eastAsia="zh-CN"/>
        </w:rPr>
        <w:t>成交供应商</w:t>
      </w:r>
      <w:r>
        <w:rPr>
          <w:rFonts w:hint="eastAsia" w:ascii="宋体" w:hAnsi="宋体" w:eastAsia="宋体" w:cs="宋体"/>
          <w:sz w:val="21"/>
          <w:szCs w:val="21"/>
        </w:rPr>
        <w:t>自行组织验收测试用设备、测试所需的测试用例和人员，并在采购人的监査下现场进行测试和验收。</w:t>
      </w:r>
    </w:p>
    <w:p w14:paraId="4641603F">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项目验收前，采购人必须做好验收准备工作，包括将有关产品说明书、安装手册、技术文件、资料、安装、测试报告等文挡汇集成册交付采购人，验收方案和验收文挡清单必须得到采购人确认。</w:t>
      </w:r>
    </w:p>
    <w:p w14:paraId="204BB9FA">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供应商承担。</w:t>
      </w:r>
    </w:p>
    <w:p w14:paraId="4C0634CA">
      <w:pPr>
        <w:keepNext w:val="0"/>
        <w:keepLines w:val="0"/>
        <w:pageBreakBefore w:val="0"/>
        <w:numPr>
          <w:ilvl w:val="0"/>
          <w:numId w:val="17"/>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若验收不通过，</w:t>
      </w:r>
      <w:r>
        <w:rPr>
          <w:rFonts w:hint="eastAsia" w:ascii="宋体" w:hAnsi="宋体" w:eastAsia="宋体" w:cs="宋体"/>
          <w:sz w:val="21"/>
          <w:szCs w:val="21"/>
          <w:lang w:val="en-US" w:eastAsia="zh-CN"/>
        </w:rPr>
        <w:t>成交</w:t>
      </w:r>
      <w:r>
        <w:rPr>
          <w:rFonts w:hint="eastAsia" w:ascii="宋体" w:hAnsi="宋体" w:eastAsia="宋体" w:cs="宋体"/>
          <w:sz w:val="21"/>
          <w:szCs w:val="21"/>
        </w:rPr>
        <w:t>供应商应对验收过程发现的问题进行整改；复查系统中是否存在类似问题或相关问题，并进行相应的改进。完成整改后，再次对系统实施检测</w:t>
      </w:r>
      <w:r>
        <w:rPr>
          <w:rFonts w:hint="eastAsia" w:ascii="宋体" w:hAnsi="宋体" w:eastAsia="宋体" w:cs="宋体"/>
          <w:sz w:val="21"/>
          <w:szCs w:val="21"/>
          <w:lang w:eastAsia="zh-CN"/>
        </w:rPr>
        <w:t>。</w:t>
      </w:r>
    </w:p>
    <w:p w14:paraId="1F3BF141">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价格要求</w:t>
      </w:r>
    </w:p>
    <w:p w14:paraId="2D9A43EE">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项目总费用包括：</w:t>
      </w:r>
      <w:r>
        <w:rPr>
          <w:rFonts w:hint="eastAsia" w:ascii="宋体" w:hAnsi="宋体" w:eastAsia="宋体" w:cs="宋体"/>
          <w:color w:val="auto"/>
          <w:sz w:val="21"/>
          <w:szCs w:val="21"/>
        </w:rPr>
        <w:t>货物安装、</w:t>
      </w:r>
      <w:r>
        <w:rPr>
          <w:rFonts w:hint="eastAsia" w:ascii="宋体" w:hAnsi="宋体" w:eastAsia="宋体" w:cs="宋体"/>
          <w:color w:val="auto"/>
          <w:sz w:val="21"/>
          <w:szCs w:val="21"/>
          <w:lang w:val="en-US" w:eastAsia="zh-CN"/>
        </w:rPr>
        <w:t>配套</w:t>
      </w:r>
      <w:r>
        <w:rPr>
          <w:rFonts w:hint="eastAsia" w:ascii="宋体" w:hAnsi="宋体" w:eastAsia="宋体" w:cs="宋体"/>
          <w:color w:val="auto"/>
          <w:sz w:val="21"/>
          <w:szCs w:val="21"/>
        </w:rPr>
        <w:t>零配件、标配工具、运输保险、项目勘察、质保期服务、系统对接费、各项税费及合同实施过程中不可预见费用等，采购人不另外支付其他费用。</w:t>
      </w:r>
    </w:p>
    <w:p w14:paraId="6EBBC208">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付款方式</w:t>
      </w:r>
    </w:p>
    <w:p w14:paraId="4D2FF8BA">
      <w:pPr>
        <w:keepNext w:val="0"/>
        <w:keepLines w:val="0"/>
        <w:pageBreakBefore w:val="0"/>
        <w:numPr>
          <w:ilvl w:val="0"/>
          <w:numId w:val="18"/>
        </w:numPr>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本项目验收合格，</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提供等额发票后的15个工作日内，采购人向</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支付合同总价的</w:t>
      </w:r>
      <w:r>
        <w:rPr>
          <w:rFonts w:hint="eastAsia" w:ascii="宋体" w:hAnsi="宋体" w:eastAsia="宋体" w:cs="宋体"/>
          <w:color w:val="auto"/>
          <w:sz w:val="21"/>
          <w:szCs w:val="21"/>
          <w:lang w:eastAsia="zh-CN"/>
        </w:rPr>
        <w:t>1</w:t>
      </w:r>
      <w:r>
        <w:rPr>
          <w:rFonts w:hint="eastAsia" w:ascii="宋体" w:hAnsi="宋体" w:eastAsia="宋体" w:cs="宋体"/>
          <w:color w:val="auto"/>
          <w:sz w:val="21"/>
          <w:szCs w:val="21"/>
          <w:lang w:val="en-US" w:eastAsia="zh-CN"/>
        </w:rPr>
        <w:t>00</w:t>
      </w:r>
      <w:r>
        <w:rPr>
          <w:rFonts w:hint="eastAsia" w:ascii="宋体" w:hAnsi="宋体" w:eastAsia="宋体" w:cs="宋体"/>
          <w:color w:val="auto"/>
          <w:sz w:val="21"/>
          <w:szCs w:val="21"/>
        </w:rPr>
        <w:t>%款项。</w:t>
      </w:r>
    </w:p>
    <w:p w14:paraId="21B3620E">
      <w:pPr>
        <w:keepNext w:val="0"/>
        <w:keepLines w:val="0"/>
        <w:pageBreakBefore w:val="0"/>
        <w:tabs>
          <w:tab w:val="left" w:pos="630"/>
        </w:tabs>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二</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须在采购人办理以上付款手续前，为采购人出具等额的符合国家规定的发票。因采购人使用的是财政资金，采购人在规定时间向政府采购支付部门提出办理财政支付申请手续即视为采购人已经按期支付。</w:t>
      </w:r>
    </w:p>
    <w:p w14:paraId="46C9A91A">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质保期及售后服务要求</w:t>
      </w:r>
    </w:p>
    <w:p w14:paraId="0BCB54BF">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（一）本合同的质量保证期（简称“质保期”）为 </w:t>
      </w:r>
      <w:r>
        <w:rPr>
          <w:rFonts w:hint="eastAsia" w:ascii="宋体" w:hAnsi="宋体" w:eastAsia="宋体" w:cs="宋体"/>
          <w:color w:val="auto"/>
          <w:sz w:val="21"/>
          <w:szCs w:val="21"/>
          <w:lang w:val="en-US" w:eastAsia="zh-CN"/>
        </w:rPr>
        <w:t>24</w:t>
      </w:r>
      <w:r>
        <w:rPr>
          <w:rFonts w:hint="eastAsia" w:ascii="宋体" w:hAnsi="宋体" w:eastAsia="宋体" w:cs="宋体"/>
          <w:color w:val="auto"/>
          <w:sz w:val="21"/>
          <w:szCs w:val="21"/>
        </w:rPr>
        <w:t>个月，质保期自货物最终验收合格之日起算</w:t>
      </w:r>
      <w:r>
        <w:rPr>
          <w:rFonts w:hint="eastAsia" w:ascii="宋体" w:hAnsi="宋体" w:eastAsia="宋体" w:cs="宋体"/>
          <w:color w:val="auto"/>
          <w:sz w:val="21"/>
          <w:szCs w:val="21"/>
          <w:lang w:eastAsia="zh-CN"/>
        </w:rPr>
        <w:t>，</w:t>
      </w:r>
      <w:r>
        <w:rPr>
          <w:rFonts w:hint="eastAsia" w:ascii="宋体" w:hAnsi="宋体" w:eastAsia="宋体" w:cs="宋体"/>
          <w:color w:val="auto"/>
          <w:szCs w:val="21"/>
        </w:rPr>
        <w:t>质保期内</w:t>
      </w:r>
      <w:r>
        <w:rPr>
          <w:rFonts w:hint="eastAsia" w:ascii="宋体" w:hAnsi="宋体" w:eastAsia="宋体" w:cs="宋体"/>
          <w:color w:val="auto"/>
          <w:szCs w:val="21"/>
          <w:lang w:val="en-US" w:eastAsia="zh-CN"/>
        </w:rPr>
        <w:t>成交供应商</w:t>
      </w:r>
      <w:r>
        <w:rPr>
          <w:rFonts w:hint="eastAsia" w:ascii="宋体" w:hAnsi="宋体" w:eastAsia="宋体" w:cs="宋体"/>
          <w:color w:val="auto"/>
          <w:szCs w:val="21"/>
        </w:rPr>
        <w:t>对所供货物实行包修、包换、包退、包维护保养</w:t>
      </w:r>
      <w:r>
        <w:rPr>
          <w:rFonts w:hint="eastAsia" w:ascii="宋体" w:hAnsi="宋体" w:eastAsia="宋体" w:cs="宋体"/>
          <w:color w:val="auto"/>
          <w:sz w:val="21"/>
          <w:szCs w:val="21"/>
        </w:rPr>
        <w:t>。</w:t>
      </w:r>
    </w:p>
    <w:p w14:paraId="0B6268F3">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（二）本项目报修的响应时间为1小时内，</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供应商8小时内须派项目技术人员进行维护维修。如</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供应商怠于或拒绝履行质保服务的，采购人有权自行委托第三方进行维护，由此产生的费用由</w:t>
      </w:r>
      <w:r>
        <w:rPr>
          <w:rFonts w:hint="eastAsia" w:ascii="宋体" w:hAnsi="宋体" w:eastAsia="宋体" w:cs="宋体"/>
          <w:color w:val="auto"/>
          <w:sz w:val="21"/>
          <w:szCs w:val="21"/>
          <w:lang w:val="en-US" w:eastAsia="zh-CN"/>
        </w:rPr>
        <w:t>成交</w:t>
      </w:r>
      <w:r>
        <w:rPr>
          <w:rFonts w:hint="eastAsia" w:ascii="宋体" w:hAnsi="宋体" w:eastAsia="宋体" w:cs="宋体"/>
          <w:color w:val="auto"/>
          <w:sz w:val="21"/>
          <w:szCs w:val="21"/>
        </w:rPr>
        <w:t>供应商自行承担。</w:t>
      </w:r>
    </w:p>
    <w:p w14:paraId="3AB439D0">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违约责任与赔偿损失</w:t>
      </w:r>
    </w:p>
    <w:p w14:paraId="03087575">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成交供应商交付的货物、</w:t>
      </w:r>
      <w:r>
        <w:rPr>
          <w:rFonts w:hint="eastAsia" w:ascii="宋体" w:hAnsi="宋体" w:eastAsia="宋体" w:cs="宋体"/>
          <w:sz w:val="21"/>
          <w:szCs w:val="21"/>
        </w:rPr>
        <w:t>提供的服务不符合竞价文件、响应文件或所签订的合同规定的，采购人有权拒收，并且</w:t>
      </w:r>
      <w:r>
        <w:rPr>
          <w:rFonts w:hint="eastAsia" w:ascii="宋体" w:hAnsi="宋体" w:eastAsia="宋体" w:cs="宋体"/>
          <w:sz w:val="21"/>
          <w:szCs w:val="21"/>
          <w:lang w:eastAsia="zh-CN"/>
        </w:rPr>
        <w:t>成交供应商</w:t>
      </w:r>
      <w:r>
        <w:rPr>
          <w:rFonts w:hint="eastAsia" w:ascii="宋体" w:hAnsi="宋体" w:eastAsia="宋体" w:cs="宋体"/>
          <w:sz w:val="21"/>
          <w:szCs w:val="21"/>
        </w:rPr>
        <w:t>须向采购人支付合同总价5%的违约金。</w:t>
      </w:r>
    </w:p>
    <w:p w14:paraId="20AFC7B7">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eastAsia="zh-CN"/>
        </w:rPr>
        <w:t>成交供应商</w:t>
      </w:r>
      <w:r>
        <w:rPr>
          <w:rFonts w:hint="eastAsia" w:ascii="宋体" w:hAnsi="宋体" w:eastAsia="宋体" w:cs="宋体"/>
          <w:sz w:val="21"/>
          <w:szCs w:val="21"/>
        </w:rPr>
        <w:t>未能按本合同规定的交货时间交付货物或提供服务，从逾期之日起每日按本合同总价3‰的数额向采购人支付违约金；逾期10天以上（含10天）的，采购人有权终止合同，要求</w:t>
      </w:r>
      <w:r>
        <w:rPr>
          <w:rFonts w:hint="eastAsia" w:ascii="宋体" w:hAnsi="宋体" w:eastAsia="宋体" w:cs="宋体"/>
          <w:sz w:val="21"/>
          <w:szCs w:val="21"/>
          <w:lang w:eastAsia="zh-CN"/>
        </w:rPr>
        <w:t>成交供应商</w:t>
      </w:r>
      <w:r>
        <w:rPr>
          <w:rFonts w:hint="eastAsia" w:ascii="宋体" w:hAnsi="宋体" w:eastAsia="宋体" w:cs="宋体"/>
          <w:sz w:val="21"/>
          <w:szCs w:val="21"/>
        </w:rPr>
        <w:t>支付违约金，并且给采购人造成的经济损失由</w:t>
      </w:r>
      <w:r>
        <w:rPr>
          <w:rFonts w:hint="eastAsia" w:ascii="宋体" w:hAnsi="宋体" w:eastAsia="宋体" w:cs="宋体"/>
          <w:sz w:val="21"/>
          <w:szCs w:val="21"/>
          <w:lang w:eastAsia="zh-CN"/>
        </w:rPr>
        <w:t>成交供应商</w:t>
      </w:r>
      <w:r>
        <w:rPr>
          <w:rFonts w:hint="eastAsia" w:ascii="宋体" w:hAnsi="宋体" w:eastAsia="宋体" w:cs="宋体"/>
          <w:sz w:val="21"/>
          <w:szCs w:val="21"/>
        </w:rPr>
        <w:t>承担赔偿责任。</w:t>
      </w:r>
    </w:p>
    <w:p w14:paraId="63D45B3F">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采购人无正当理由拒收货物或接受服务，到期拒付货物或服务款项的，采购人向</w:t>
      </w:r>
      <w:r>
        <w:rPr>
          <w:rFonts w:hint="eastAsia" w:ascii="宋体" w:hAnsi="宋体" w:eastAsia="宋体" w:cs="宋体"/>
          <w:sz w:val="21"/>
          <w:szCs w:val="21"/>
          <w:lang w:eastAsia="zh-CN"/>
        </w:rPr>
        <w:t>成交供应商</w:t>
      </w:r>
      <w:r>
        <w:rPr>
          <w:rFonts w:hint="eastAsia" w:ascii="宋体" w:hAnsi="宋体" w:eastAsia="宋体" w:cs="宋体"/>
          <w:sz w:val="21"/>
          <w:szCs w:val="21"/>
        </w:rPr>
        <w:t>偿付合同总价的5%的违约金。采购人逾期付款，则每日按本合同总价的3‰向</w:t>
      </w:r>
      <w:r>
        <w:rPr>
          <w:rFonts w:hint="eastAsia" w:ascii="宋体" w:hAnsi="宋体" w:eastAsia="宋体" w:cs="宋体"/>
          <w:sz w:val="21"/>
          <w:szCs w:val="21"/>
          <w:lang w:eastAsia="zh-CN"/>
        </w:rPr>
        <w:t>成交供应商</w:t>
      </w:r>
      <w:r>
        <w:rPr>
          <w:rFonts w:hint="eastAsia" w:ascii="宋体" w:hAnsi="宋体" w:eastAsia="宋体" w:cs="宋体"/>
          <w:sz w:val="21"/>
          <w:szCs w:val="21"/>
        </w:rPr>
        <w:t>偿付违约金。</w:t>
      </w:r>
    </w:p>
    <w:p w14:paraId="10B81112">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rPr>
        <w:t>合同期内采购人和</w:t>
      </w:r>
      <w:r>
        <w:rPr>
          <w:rFonts w:hint="eastAsia" w:ascii="宋体" w:hAnsi="宋体" w:eastAsia="宋体" w:cs="宋体"/>
          <w:sz w:val="21"/>
          <w:szCs w:val="21"/>
          <w:lang w:eastAsia="zh-CN"/>
        </w:rPr>
        <w:t>成交供应商</w:t>
      </w:r>
      <w:r>
        <w:rPr>
          <w:rFonts w:hint="eastAsia" w:ascii="宋体" w:hAnsi="宋体" w:eastAsia="宋体" w:cs="宋体"/>
          <w:sz w:val="21"/>
          <w:szCs w:val="21"/>
        </w:rPr>
        <w:t>双方无正当理由终止合同的，违约方须向守约方支付合同总额 20%的违约金，并返还采购人已支付款项，违约金不足以弥补守约方所受损失的，守约方有权进一步追偿。若采购人解除合同后，</w:t>
      </w:r>
      <w:r>
        <w:rPr>
          <w:rFonts w:hint="eastAsia" w:ascii="宋体" w:hAnsi="宋体" w:eastAsia="宋体" w:cs="宋体"/>
          <w:sz w:val="21"/>
          <w:szCs w:val="21"/>
          <w:lang w:eastAsia="zh-CN"/>
        </w:rPr>
        <w:t>成交供应商</w:t>
      </w:r>
      <w:r>
        <w:rPr>
          <w:rFonts w:hint="eastAsia" w:ascii="宋体" w:hAnsi="宋体" w:eastAsia="宋体" w:cs="宋体"/>
          <w:sz w:val="21"/>
          <w:szCs w:val="21"/>
        </w:rPr>
        <w:t>须在接到采购人解约通知之日起 10 天内退回采购人已支付的价款。</w:t>
      </w:r>
    </w:p>
    <w:p w14:paraId="2A4EDE2A">
      <w:pPr>
        <w:keepNext w:val="0"/>
        <w:keepLines w:val="0"/>
        <w:pageBreakBefore w:val="0"/>
        <w:numPr>
          <w:ilvl w:val="0"/>
          <w:numId w:val="19"/>
        </w:numPr>
        <w:kinsoku/>
        <w:wordWrap/>
        <w:overflowPunct/>
        <w:topLinePunct w:val="0"/>
        <w:bidi w:val="0"/>
        <w:spacing w:line="360" w:lineRule="auto"/>
        <w:ind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 xml:space="preserve">成交供应商有以下行为之一并经调查属实的，采购人有权立即解除合同： </w:t>
      </w:r>
    </w:p>
    <w:p w14:paraId="2F4A95E6">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1．弄虚作假，提供虚假材料取得成交供应资格的； </w:t>
      </w:r>
    </w:p>
    <w:p w14:paraId="4CF290FC">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2．成交供应商有违规转包、分包行为的；</w:t>
      </w:r>
    </w:p>
    <w:p w14:paraId="5D2F2954">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3．经营情况发生重大变更，已不具备承接本项目能力的； </w:t>
      </w:r>
    </w:p>
    <w:p w14:paraId="37D5B3F2">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4．无正当理由拒绝履行合同约定的；</w:t>
      </w:r>
    </w:p>
    <w:p w14:paraId="7765F294">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5．存在行贿、受贿等违法违纪行为的； </w:t>
      </w:r>
    </w:p>
    <w:p w14:paraId="39FC3C90">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6．成交供应商未在</w:t>
      </w:r>
      <w:r>
        <w:rPr>
          <w:rFonts w:hint="eastAsia" w:ascii="宋体" w:hAnsi="宋体" w:eastAsia="宋体" w:cs="宋体"/>
          <w:color w:val="auto"/>
          <w:sz w:val="21"/>
          <w:szCs w:val="21"/>
          <w:lang w:val="en-US" w:eastAsia="zh-CN"/>
        </w:rPr>
        <w:t>约定时间内</w:t>
      </w:r>
      <w:r>
        <w:rPr>
          <w:rFonts w:hint="eastAsia" w:ascii="宋体" w:hAnsi="宋体" w:eastAsia="宋体" w:cs="宋体"/>
          <w:color w:val="auto"/>
          <w:sz w:val="21"/>
          <w:szCs w:val="21"/>
        </w:rPr>
        <w:t>交付</w:t>
      </w:r>
      <w:r>
        <w:rPr>
          <w:rFonts w:hint="eastAsia" w:ascii="宋体" w:hAnsi="宋体" w:eastAsia="宋体" w:cs="宋体"/>
          <w:color w:val="auto"/>
          <w:sz w:val="21"/>
          <w:szCs w:val="21"/>
          <w:lang w:val="en-US" w:eastAsia="zh-CN"/>
        </w:rPr>
        <w:t>项目内容</w:t>
      </w:r>
      <w:r>
        <w:rPr>
          <w:rFonts w:hint="eastAsia" w:ascii="宋体" w:hAnsi="宋体" w:eastAsia="宋体" w:cs="宋体"/>
          <w:color w:val="auto"/>
          <w:sz w:val="21"/>
          <w:szCs w:val="21"/>
        </w:rPr>
        <w:t>的，逾期15天以上的；</w:t>
      </w:r>
    </w:p>
    <w:p w14:paraId="45066C3A">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 xml:space="preserve">7. </w:t>
      </w:r>
      <w:r>
        <w:rPr>
          <w:rFonts w:hint="eastAsia" w:ascii="宋体" w:hAnsi="宋体" w:eastAsia="宋体" w:cs="宋体"/>
          <w:color w:val="auto"/>
          <w:sz w:val="21"/>
          <w:szCs w:val="21"/>
          <w:lang w:eastAsia="zh-CN"/>
        </w:rPr>
        <w:t>成交供应商</w:t>
      </w:r>
      <w:r>
        <w:rPr>
          <w:rFonts w:hint="eastAsia" w:ascii="宋体" w:hAnsi="宋体" w:eastAsia="宋体" w:cs="宋体"/>
          <w:color w:val="auto"/>
          <w:sz w:val="21"/>
          <w:szCs w:val="21"/>
        </w:rPr>
        <w:t>存在擅自更换货物的品牌、降低货物质量等行为；</w:t>
      </w:r>
    </w:p>
    <w:p w14:paraId="3A24F95B">
      <w:pPr>
        <w:keepNext w:val="0"/>
        <w:keepLines w:val="0"/>
        <w:pageBreakBefore w:val="0"/>
        <w:numPr>
          <w:ilvl w:val="0"/>
          <w:numId w:val="0"/>
        </w:numPr>
        <w:kinsoku/>
        <w:wordWrap/>
        <w:overflowPunct/>
        <w:topLinePunct w:val="0"/>
        <w:bidi w:val="0"/>
        <w:spacing w:line="360" w:lineRule="auto"/>
        <w:ind w:leftChars="0" w:firstLine="420" w:firstLineChars="200"/>
        <w:jc w:val="left"/>
        <w:rPr>
          <w:rFonts w:hint="eastAsia" w:ascii="宋体" w:hAnsi="宋体" w:eastAsia="宋体" w:cs="宋体"/>
          <w:sz w:val="21"/>
          <w:szCs w:val="21"/>
        </w:rPr>
      </w:pPr>
      <w:r>
        <w:rPr>
          <w:rFonts w:hint="eastAsia" w:ascii="宋体" w:hAnsi="宋体" w:eastAsia="宋体" w:cs="宋体"/>
          <w:sz w:val="21"/>
          <w:szCs w:val="21"/>
          <w:lang w:val="en-US" w:eastAsia="zh-CN"/>
        </w:rPr>
        <w:t>以上原因造成采购人经济损失，由成交供应商承担。其它违约责任按《中华人民共和国民法典》处理。</w:t>
      </w:r>
    </w:p>
    <w:p w14:paraId="4E0DE584">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争议的解决</w:t>
      </w:r>
    </w:p>
    <w:p w14:paraId="29511C89">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本合同发生争议，由双方协商或调解解决，协商或调解不成时，向有采购人所在地具有管辖权的人民法院提起诉讼。（在仲裁或诉讼期间，除有争议部分的事项外，合同其他部分仍应继续履行。）</w:t>
      </w:r>
    </w:p>
    <w:p w14:paraId="0E98F3E4">
      <w:pPr>
        <w:pStyle w:val="12"/>
        <w:numPr>
          <w:ilvl w:val="0"/>
          <w:numId w:val="14"/>
        </w:numPr>
        <w:tabs>
          <w:tab w:val="left" w:pos="540"/>
        </w:tabs>
        <w:adjustRightInd w:val="0"/>
        <w:snapToGrid w:val="0"/>
        <w:spacing w:after="0" w:line="360" w:lineRule="auto"/>
        <w:outlineLvl w:val="1"/>
        <w:rPr>
          <w:rFonts w:hint="eastAsia" w:cs="宋体" w:asciiTheme="minorEastAsia" w:hAnsiTheme="minorEastAsia" w:eastAsiaTheme="minorEastAsia"/>
          <w:b/>
          <w:bCs/>
          <w:sz w:val="21"/>
        </w:rPr>
      </w:pPr>
      <w:r>
        <w:rPr>
          <w:rFonts w:hint="eastAsia" w:cs="宋体" w:asciiTheme="minorEastAsia" w:hAnsiTheme="minorEastAsia" w:eastAsiaTheme="minorEastAsia"/>
          <w:b/>
          <w:bCs/>
          <w:sz w:val="21"/>
        </w:rPr>
        <w:t>不可抗力</w:t>
      </w:r>
    </w:p>
    <w:p w14:paraId="198543DB">
      <w:pPr>
        <w:keepNext w:val="0"/>
        <w:keepLines w:val="0"/>
        <w:pageBreakBefore w:val="0"/>
        <w:kinsoku/>
        <w:wordWrap/>
        <w:overflowPunct/>
        <w:topLinePunct w:val="0"/>
        <w:bidi w:val="0"/>
        <w:spacing w:line="360" w:lineRule="auto"/>
        <w:ind w:firstLine="420" w:firstLineChars="200"/>
        <w:jc w:val="left"/>
        <w:textAlignment w:val="auto"/>
        <w:rPr>
          <w:rFonts w:hint="eastAsia" w:ascii="宋体" w:hAnsi="宋体" w:eastAsia="宋体" w:cs="宋体"/>
          <w:color w:val="auto"/>
          <w:sz w:val="21"/>
          <w:szCs w:val="21"/>
          <w:lang w:val="zh-CN"/>
        </w:rPr>
      </w:pPr>
      <w:r>
        <w:rPr>
          <w:rFonts w:hint="eastAsia" w:ascii="宋体" w:hAnsi="宋体" w:eastAsia="宋体" w:cs="宋体"/>
          <w:color w:val="auto"/>
          <w:sz w:val="21"/>
          <w:szCs w:val="21"/>
        </w:rPr>
        <w:t>任何一方由于不可抗力原因不能履行合同时，应在不可抗力事件结束后1日内向对方通报，以减轻可能给对方造成的损失，在取得有关机构的不可抗力证明或双方谅解确认后，允许延期履行或修订合同，并根据情况可</w:t>
      </w:r>
      <w:r>
        <w:rPr>
          <w:rFonts w:hint="eastAsia" w:ascii="宋体" w:hAnsi="宋体" w:eastAsia="宋体" w:cs="宋体"/>
          <w:color w:val="auto"/>
          <w:sz w:val="21"/>
          <w:szCs w:val="21"/>
          <w:lang w:val="zh-CN"/>
        </w:rPr>
        <w:t>部分或全部免于承担违约责任。</w:t>
      </w:r>
    </w:p>
    <w:p w14:paraId="64CBF26D">
      <w:pPr>
        <w:keepNext w:val="0"/>
        <w:keepLines w:val="0"/>
        <w:pageBreakBefore w:val="0"/>
        <w:widowControl w:val="0"/>
        <w:kinsoku/>
        <w:wordWrap/>
        <w:overflowPunct/>
        <w:topLinePunct w:val="0"/>
        <w:autoSpaceDE/>
        <w:autoSpaceDN/>
        <w:bidi w:val="0"/>
        <w:adjustRightInd/>
        <w:snapToGrid/>
        <w:spacing w:after="0" w:line="360" w:lineRule="auto"/>
        <w:ind w:firstLine="643" w:firstLineChars="200"/>
        <w:textAlignment w:val="auto"/>
        <w:rPr>
          <w:rFonts w:hint="eastAsia"/>
          <w:sz w:val="21"/>
          <w:szCs w:val="21"/>
        </w:rPr>
      </w:pPr>
      <w:r>
        <w:rPr>
          <w:rFonts w:hint="eastAsia"/>
          <w:b/>
          <w:bCs/>
          <w:color w:val="000000" w:themeColor="text1"/>
          <w:sz w:val="32"/>
          <w:szCs w:val="32"/>
          <w14:textFill>
            <w14:solidFill>
              <w14:schemeClr w14:val="tx1"/>
            </w14:solidFill>
          </w14:textFill>
        </w:rPr>
        <w:br w:type="page"/>
      </w:r>
    </w:p>
    <w:p w14:paraId="6A3FF1FF">
      <w:pPr>
        <w:snapToGrid w:val="0"/>
        <w:spacing w:after="0" w:line="360" w:lineRule="auto"/>
        <w:jc w:val="center"/>
        <w:outlineLvl w:val="0"/>
        <w:rPr>
          <w:rFonts w:hint="eastAsia" w:ascii="宋体" w:hAnsi="宋体" w:eastAsia="宋体" w:cs="宋体"/>
          <w:b/>
          <w:bCs/>
          <w:color w:val="000000" w:themeColor="text1"/>
          <w:sz w:val="32"/>
          <w:szCs w:val="32"/>
          <w14:textFill>
            <w14:solidFill>
              <w14:schemeClr w14:val="tx1"/>
            </w14:solidFill>
          </w14:textFill>
        </w:rPr>
      </w:pPr>
      <w:r>
        <w:rPr>
          <w:rFonts w:hint="eastAsia" w:ascii="宋体" w:hAnsi="宋体" w:eastAsia="宋体" w:cs="宋体"/>
          <w:b/>
          <w:bCs/>
          <w:color w:val="000000" w:themeColor="text1"/>
          <w:sz w:val="32"/>
          <w:szCs w:val="32"/>
          <w14:textFill>
            <w14:solidFill>
              <w14:schemeClr w14:val="tx1"/>
            </w14:solidFill>
          </w14:textFill>
        </w:rPr>
        <w:t>第三章 报价附件</w:t>
      </w:r>
    </w:p>
    <w:p w14:paraId="06DA5412">
      <w:pPr>
        <w:pStyle w:val="6"/>
        <w:spacing w:before="0" w:after="0"/>
        <w:jc w:val="center"/>
        <w:rPr>
          <w:rFonts w:hint="eastAsia" w:ascii="宋体" w:hAnsi="宋体" w:eastAsia="宋体" w:cs="宋体"/>
          <w:color w:val="000000" w:themeColor="text1"/>
          <w:lang w:val="zh-CN"/>
          <w14:textFill>
            <w14:solidFill>
              <w14:schemeClr w14:val="tx1"/>
            </w14:solidFill>
          </w14:textFill>
        </w:rPr>
      </w:pPr>
      <w:r>
        <w:rPr>
          <w:rFonts w:hint="eastAsia" w:ascii="宋体" w:hAnsi="宋体" w:eastAsia="宋体" w:cs="宋体"/>
          <w:color w:val="000000" w:themeColor="text1"/>
          <w:lang w:val="zh-CN"/>
          <w14:textFill>
            <w14:solidFill>
              <w14:schemeClr w14:val="tx1"/>
            </w14:solidFill>
          </w14:textFill>
        </w:rPr>
        <w:t>报价表</w:t>
      </w:r>
    </w:p>
    <w:tbl>
      <w:tblPr>
        <w:tblStyle w:val="24"/>
        <w:tblW w:w="4998" w:type="pct"/>
        <w:jc w:val="center"/>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Layout w:type="autofit"/>
        <w:tblCellMar>
          <w:top w:w="0" w:type="dxa"/>
          <w:left w:w="108" w:type="dxa"/>
          <w:bottom w:w="0" w:type="dxa"/>
          <w:right w:w="108" w:type="dxa"/>
        </w:tblCellMar>
      </w:tblPr>
      <w:tblGrid>
        <w:gridCol w:w="3673"/>
        <w:gridCol w:w="1079"/>
        <w:gridCol w:w="2551"/>
        <w:gridCol w:w="1216"/>
      </w:tblGrid>
      <w:tr w14:paraId="23DE6D3E">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968" w:hRule="atLeast"/>
          <w:jc w:val="center"/>
        </w:trPr>
        <w:tc>
          <w:tcPr>
            <w:tcW w:w="2155" w:type="pct"/>
            <w:tcBorders>
              <w:top w:val="single" w:color="auto" w:sz="12" w:space="0"/>
              <w:left w:val="single" w:color="auto" w:sz="12" w:space="0"/>
              <w:bottom w:val="single" w:color="auto" w:sz="2" w:space="0"/>
              <w:right w:val="single" w:color="auto" w:sz="2" w:space="0"/>
            </w:tcBorders>
            <w:vAlign w:val="center"/>
          </w:tcPr>
          <w:p w14:paraId="3A251D7F">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项目名称</w:t>
            </w:r>
          </w:p>
        </w:tc>
        <w:tc>
          <w:tcPr>
            <w:tcW w:w="633" w:type="pct"/>
            <w:tcBorders>
              <w:top w:val="single" w:color="auto" w:sz="12" w:space="0"/>
              <w:left w:val="single" w:color="auto" w:sz="2" w:space="0"/>
              <w:bottom w:val="single" w:color="auto" w:sz="2" w:space="0"/>
              <w:right w:val="single" w:color="auto" w:sz="2" w:space="0"/>
            </w:tcBorders>
            <w:vAlign w:val="center"/>
          </w:tcPr>
          <w:p w14:paraId="5805123E">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数量</w:t>
            </w:r>
          </w:p>
        </w:tc>
        <w:tc>
          <w:tcPr>
            <w:tcW w:w="1497" w:type="pct"/>
            <w:tcBorders>
              <w:top w:val="single" w:color="auto" w:sz="12" w:space="0"/>
              <w:left w:val="single" w:color="auto" w:sz="2" w:space="0"/>
              <w:bottom w:val="single" w:color="auto" w:sz="2" w:space="0"/>
              <w:right w:val="single" w:color="auto" w:sz="2" w:space="0"/>
            </w:tcBorders>
            <w:vAlign w:val="center"/>
          </w:tcPr>
          <w:p w14:paraId="3CE9B62F">
            <w:pPr>
              <w:keepNext w:val="0"/>
              <w:keepLines w:val="0"/>
              <w:suppressLineNumbers w:val="0"/>
              <w:spacing w:before="0" w:beforeAutospacing="0" w:after="0" w:afterAutospacing="0"/>
              <w:ind w:left="0" w:right="0"/>
              <w:jc w:val="center"/>
              <w:rPr>
                <w:rFonts w:hint="default" w:asciiTheme="minorEastAsia" w:hAnsiTheme="minorEastAsia"/>
                <w:b/>
                <w:bCs/>
                <w:szCs w:val="21"/>
                <w:lang w:val="en-US" w:eastAsia="zh-CN"/>
              </w:rPr>
            </w:pPr>
            <w:r>
              <w:rPr>
                <w:rFonts w:hint="eastAsia" w:asciiTheme="minorEastAsia" w:hAnsiTheme="minorEastAsia"/>
                <w:b/>
                <w:bCs/>
                <w:szCs w:val="21"/>
                <w:lang w:val="en-US" w:eastAsia="zh-CN"/>
              </w:rPr>
              <w:t>总价报价</w:t>
            </w:r>
          </w:p>
        </w:tc>
        <w:tc>
          <w:tcPr>
            <w:tcW w:w="713" w:type="pct"/>
            <w:tcBorders>
              <w:top w:val="single" w:color="auto" w:sz="12" w:space="0"/>
              <w:left w:val="single" w:color="auto" w:sz="2" w:space="0"/>
              <w:bottom w:val="single" w:color="auto" w:sz="2" w:space="0"/>
              <w:right w:val="single" w:color="auto" w:sz="12" w:space="0"/>
            </w:tcBorders>
            <w:vAlign w:val="center"/>
          </w:tcPr>
          <w:p w14:paraId="40E44F23">
            <w:pPr>
              <w:keepNext w:val="0"/>
              <w:keepLines w:val="0"/>
              <w:suppressLineNumbers w:val="0"/>
              <w:spacing w:before="0" w:beforeAutospacing="0" w:after="0" w:afterAutospacing="0"/>
              <w:ind w:left="0" w:right="0"/>
              <w:jc w:val="center"/>
              <w:rPr>
                <w:rFonts w:hint="eastAsia" w:asciiTheme="minorEastAsia" w:hAnsiTheme="minorEastAsia"/>
                <w:b/>
                <w:bCs/>
                <w:szCs w:val="21"/>
                <w:lang w:eastAsia="zh-CN"/>
              </w:rPr>
            </w:pPr>
            <w:r>
              <w:rPr>
                <w:rFonts w:hint="eastAsia" w:asciiTheme="minorEastAsia" w:hAnsiTheme="minorEastAsia"/>
                <w:b/>
                <w:bCs/>
                <w:szCs w:val="21"/>
                <w:lang w:eastAsia="zh-CN"/>
              </w:rPr>
              <w:t>备注</w:t>
            </w:r>
          </w:p>
        </w:tc>
      </w:tr>
      <w:tr w14:paraId="79CD6081">
        <w:tblPrEx>
          <w:tblBorders>
            <w:top w:val="single" w:color="auto" w:sz="12" w:space="0"/>
            <w:left w:val="single" w:color="auto" w:sz="12" w:space="0"/>
            <w:bottom w:val="single" w:color="auto" w:sz="12" w:space="0"/>
            <w:right w:val="single" w:color="auto" w:sz="12" w:space="0"/>
            <w:insideH w:val="single" w:color="auto" w:sz="2" w:space="0"/>
            <w:insideV w:val="single" w:color="auto" w:sz="2" w:space="0"/>
          </w:tblBorders>
          <w:tblCellMar>
            <w:top w:w="0" w:type="dxa"/>
            <w:left w:w="108" w:type="dxa"/>
            <w:bottom w:w="0" w:type="dxa"/>
            <w:right w:w="108" w:type="dxa"/>
          </w:tblCellMar>
        </w:tblPrEx>
        <w:trPr>
          <w:trHeight w:val="1056" w:hRule="atLeast"/>
          <w:jc w:val="center"/>
        </w:trPr>
        <w:tc>
          <w:tcPr>
            <w:tcW w:w="2155" w:type="pct"/>
            <w:tcBorders>
              <w:top w:val="single" w:color="auto" w:sz="2" w:space="0"/>
              <w:left w:val="single" w:color="auto" w:sz="12" w:space="0"/>
              <w:bottom w:val="single" w:color="auto" w:sz="12" w:space="0"/>
              <w:right w:val="single" w:color="auto" w:sz="2" w:space="0"/>
            </w:tcBorders>
            <w:vAlign w:val="center"/>
          </w:tcPr>
          <w:p w14:paraId="0062C95E">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广东省肇庆监狱购置固态硬盘、机械硬盘、服务器内存条、万兆网卡项目（第二次）</w:t>
            </w:r>
          </w:p>
        </w:tc>
        <w:tc>
          <w:tcPr>
            <w:tcW w:w="633" w:type="pct"/>
            <w:tcBorders>
              <w:top w:val="single" w:color="auto" w:sz="2" w:space="0"/>
              <w:left w:val="single" w:color="auto" w:sz="2" w:space="0"/>
              <w:bottom w:val="single" w:color="auto" w:sz="12" w:space="0"/>
              <w:right w:val="single" w:color="auto" w:sz="2" w:space="0"/>
            </w:tcBorders>
            <w:vAlign w:val="center"/>
          </w:tcPr>
          <w:p w14:paraId="1F6FA675">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r>
              <w:rPr>
                <w:rFonts w:hint="eastAsia" w:asciiTheme="minorEastAsia" w:hAnsiTheme="minorEastAsia"/>
                <w:szCs w:val="21"/>
                <w:lang w:eastAsia="zh-CN"/>
              </w:rPr>
              <w:t>1批</w:t>
            </w:r>
          </w:p>
        </w:tc>
        <w:tc>
          <w:tcPr>
            <w:tcW w:w="1497" w:type="pct"/>
            <w:tcBorders>
              <w:top w:val="single" w:color="auto" w:sz="2" w:space="0"/>
              <w:left w:val="single" w:color="auto" w:sz="2" w:space="0"/>
              <w:bottom w:val="single" w:color="auto" w:sz="12" w:space="0"/>
              <w:right w:val="single" w:color="auto" w:sz="2" w:space="0"/>
            </w:tcBorders>
            <w:vAlign w:val="center"/>
          </w:tcPr>
          <w:p w14:paraId="612B8592">
            <w:pPr>
              <w:keepNext w:val="0"/>
              <w:keepLines w:val="0"/>
              <w:suppressLineNumbers w:val="0"/>
              <w:spacing w:before="0" w:beforeAutospacing="0" w:after="0" w:afterAutospacing="0"/>
              <w:ind w:left="0" w:right="0"/>
              <w:jc w:val="center"/>
              <w:rPr>
                <w:rFonts w:hint="default" w:asciiTheme="minorEastAsia" w:hAnsiTheme="minorEastAsia"/>
                <w:szCs w:val="21"/>
                <w:lang w:val="en-US" w:eastAsia="zh-CN"/>
              </w:rPr>
            </w:pPr>
            <w:r>
              <w:rPr>
                <w:rFonts w:hint="eastAsia" w:asciiTheme="minorEastAsia" w:hAnsiTheme="minorEastAsia"/>
                <w:szCs w:val="21"/>
                <w:u w:val="single"/>
                <w:lang w:val="en-US" w:eastAsia="zh-CN"/>
              </w:rPr>
              <w:t xml:space="preserve">       </w:t>
            </w:r>
            <w:r>
              <w:rPr>
                <w:rFonts w:hint="eastAsia" w:asciiTheme="minorEastAsia" w:hAnsiTheme="minorEastAsia"/>
                <w:szCs w:val="21"/>
                <w:lang w:val="en-US" w:eastAsia="zh-CN"/>
              </w:rPr>
              <w:t>元</w:t>
            </w:r>
          </w:p>
        </w:tc>
        <w:tc>
          <w:tcPr>
            <w:tcW w:w="713" w:type="pct"/>
            <w:tcBorders>
              <w:top w:val="single" w:color="auto" w:sz="2" w:space="0"/>
              <w:left w:val="single" w:color="auto" w:sz="2" w:space="0"/>
              <w:bottom w:val="single" w:color="auto" w:sz="12" w:space="0"/>
              <w:right w:val="single" w:color="auto" w:sz="12" w:space="0"/>
            </w:tcBorders>
            <w:vAlign w:val="center"/>
          </w:tcPr>
          <w:p w14:paraId="5A6F1633">
            <w:pPr>
              <w:keepNext w:val="0"/>
              <w:keepLines w:val="0"/>
              <w:suppressLineNumbers w:val="0"/>
              <w:spacing w:before="0" w:beforeAutospacing="0" w:after="0" w:afterAutospacing="0"/>
              <w:ind w:left="0" w:right="0"/>
              <w:jc w:val="center"/>
              <w:rPr>
                <w:rFonts w:hint="eastAsia" w:asciiTheme="minorEastAsia" w:hAnsiTheme="minorEastAsia"/>
                <w:szCs w:val="21"/>
                <w:lang w:eastAsia="zh-CN"/>
              </w:rPr>
            </w:pPr>
          </w:p>
        </w:tc>
      </w:tr>
    </w:tbl>
    <w:p w14:paraId="0B4B9ABB">
      <w:pPr>
        <w:spacing w:after="0" w:line="360" w:lineRule="auto"/>
        <w:rPr>
          <w:rFonts w:hint="eastAsia" w:ascii="宋体" w:hAnsi="宋体" w:eastAsia="宋体" w:cs="宋体"/>
          <w:b/>
          <w:color w:val="000000" w:themeColor="text1"/>
          <w:spacing w:val="4"/>
          <w:szCs w:val="21"/>
          <w14:textFill>
            <w14:solidFill>
              <w14:schemeClr w14:val="tx1"/>
            </w14:solidFill>
          </w14:textFill>
        </w:rPr>
      </w:pPr>
      <w:r>
        <w:rPr>
          <w:rFonts w:hint="eastAsia" w:ascii="宋体" w:hAnsi="宋体" w:eastAsia="宋体" w:cs="宋体"/>
          <w:b/>
          <w:color w:val="000000" w:themeColor="text1"/>
          <w:spacing w:val="4"/>
          <w:szCs w:val="21"/>
          <w14:textFill>
            <w14:solidFill>
              <w14:schemeClr w14:val="tx1"/>
            </w14:solidFill>
          </w14:textFill>
        </w:rPr>
        <w:t>注：</w:t>
      </w:r>
    </w:p>
    <w:p w14:paraId="02E1FD03">
      <w:pPr>
        <w:pStyle w:val="20"/>
        <w:numPr>
          <w:ilvl w:val="0"/>
          <w:numId w:val="20"/>
        </w:numPr>
        <w:shd w:val="clear" w:color="auto" w:fill="FFFFFF"/>
        <w:spacing w:before="0" w:beforeAutospacing="0" w:after="0" w:afterAutospacing="0" w:line="360" w:lineRule="auto"/>
        <w:rPr>
          <w:rFonts w:hint="eastAsia"/>
          <w:b/>
          <w:bCs/>
          <w:color w:val="000000" w:themeColor="text1"/>
          <w:sz w:val="21"/>
          <w:szCs w:val="21"/>
          <w:u w:val="single"/>
          <w14:textFill>
            <w14:solidFill>
              <w14:schemeClr w14:val="tx1"/>
            </w14:solidFill>
          </w14:textFill>
        </w:rPr>
      </w:pPr>
      <w:r>
        <w:rPr>
          <w:rFonts w:hint="eastAsia"/>
          <w:b/>
          <w:bCs/>
          <w:color w:val="000000" w:themeColor="text1"/>
          <w:sz w:val="21"/>
          <w:szCs w:val="21"/>
          <w:u w:val="single"/>
          <w14:textFill>
            <w14:solidFill>
              <w14:schemeClr w14:val="tx1"/>
            </w14:solidFill>
          </w14:textFill>
        </w:rPr>
        <w:t>供应商必须按报价表的格式填写，不得增加或删除表格内容。除金额或项目要求填写的内容外，不得擅自改动报价表内容，</w:t>
      </w:r>
      <w:r>
        <w:rPr>
          <w:rFonts w:hint="eastAsia"/>
          <w:b/>
          <w:bCs/>
          <w:color w:val="000000" w:themeColor="text1"/>
          <w:sz w:val="21"/>
          <w:szCs w:val="21"/>
          <w14:textFill>
            <w14:solidFill>
              <w14:schemeClr w14:val="tx1"/>
            </w14:solidFill>
          </w14:textFill>
        </w:rPr>
        <w:t>否则将有可能影响成交结果，不推荐为成交候选人；</w:t>
      </w:r>
    </w:p>
    <w:p w14:paraId="248F47C3">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所有价格均系用人民币表示，单位为元，</w:t>
      </w:r>
      <w:r>
        <w:rPr>
          <w:rFonts w:hint="eastAsia"/>
          <w:b/>
          <w:bCs/>
          <w:color w:val="000000" w:themeColor="text1"/>
          <w:sz w:val="21"/>
          <w:szCs w:val="21"/>
          <w14:textFill>
            <w14:solidFill>
              <w14:schemeClr w14:val="tx1"/>
            </w14:solidFill>
          </w14:textFill>
        </w:rPr>
        <w:t>均为含税价</w:t>
      </w:r>
      <w:r>
        <w:rPr>
          <w:rFonts w:hint="eastAsia"/>
          <w:b/>
          <w:color w:val="000000" w:themeColor="text1"/>
          <w:sz w:val="21"/>
          <w:szCs w:val="21"/>
          <w14:textFill>
            <w14:solidFill>
              <w14:schemeClr w14:val="tx1"/>
            </w14:solidFill>
          </w14:textFill>
        </w:rPr>
        <w:t>；</w:t>
      </w:r>
    </w:p>
    <w:p w14:paraId="3E39D4F9">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平台上报价与报价表合计不一致的，以报价表报价（经价格核准后的价格）为准</w:t>
      </w:r>
      <w:r>
        <w:rPr>
          <w:rFonts w:hint="eastAsia"/>
          <w:b/>
          <w:bCs/>
          <w:color w:val="000000"/>
          <w:sz w:val="21"/>
          <w:szCs w:val="21"/>
          <w:shd w:val="clear" w:color="auto" w:fill="FFFFFF"/>
        </w:rPr>
        <w:t>；</w:t>
      </w:r>
    </w:p>
    <w:p w14:paraId="79AEC73C">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供应商报价表必须加盖公章，否则视作无效报价；</w:t>
      </w:r>
    </w:p>
    <w:p w14:paraId="13AE948C">
      <w:pPr>
        <w:pStyle w:val="20"/>
        <w:numPr>
          <w:ilvl w:val="0"/>
          <w:numId w:val="20"/>
        </w:numPr>
        <w:shd w:val="clear" w:color="auto" w:fill="FFFFFF"/>
        <w:spacing w:before="0" w:beforeAutospacing="0" w:after="0" w:afterAutospacing="0" w:line="360" w:lineRule="auto"/>
        <w:rPr>
          <w:rFonts w:hint="eastAsia"/>
          <w:b/>
          <w:color w:val="000000" w:themeColor="text1"/>
          <w:sz w:val="21"/>
          <w:szCs w:val="21"/>
          <w14:textFill>
            <w14:solidFill>
              <w14:schemeClr w14:val="tx1"/>
            </w14:solidFill>
          </w14:textFill>
        </w:rPr>
      </w:pPr>
      <w:r>
        <w:rPr>
          <w:rFonts w:hint="eastAsia"/>
          <w:b/>
          <w:color w:val="000000" w:themeColor="text1"/>
          <w:sz w:val="21"/>
          <w:szCs w:val="21"/>
          <w14:textFill>
            <w14:solidFill>
              <w14:schemeClr w14:val="tx1"/>
            </w14:solidFill>
          </w14:textFill>
        </w:rPr>
        <w:t>报价的小数点后保留2位有效数。</w:t>
      </w:r>
    </w:p>
    <w:p w14:paraId="07A45A03">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p>
    <w:p w14:paraId="602967EC">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5D9E02D7">
      <w:pPr>
        <w:spacing w:after="0" w:line="360" w:lineRule="auto"/>
        <w:ind w:right="218"/>
        <w:jc w:val="right"/>
        <w:rPr>
          <w:rFonts w:hint="eastAsia" w:ascii="宋体" w:hAnsi="宋体" w:eastAsia="宋体" w:cs="宋体"/>
          <w:color w:val="000000" w:themeColor="text1"/>
          <w:spacing w:val="4"/>
          <w:szCs w:val="21"/>
          <w:u w:val="single"/>
          <w14:textFill>
            <w14:solidFill>
              <w14:schemeClr w14:val="tx1"/>
            </w14:solidFill>
          </w14:textFill>
        </w:rPr>
      </w:pPr>
    </w:p>
    <w:p w14:paraId="24C940FA">
      <w:pPr>
        <w:spacing w:after="0" w:line="360" w:lineRule="auto"/>
        <w:ind w:right="218"/>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C500050">
      <w:pPr>
        <w:pStyle w:val="6"/>
        <w:spacing w:before="0" w:after="0"/>
        <w:jc w:val="center"/>
        <w:rPr>
          <w:rFonts w:hint="eastAsia" w:ascii="宋体" w:hAnsi="宋体" w:eastAsia="宋体" w:cs="宋体"/>
          <w:color w:val="000000" w:themeColor="text1"/>
          <w14:textFill>
            <w14:solidFill>
              <w14:schemeClr w14:val="tx1"/>
            </w14:solidFill>
          </w14:textFill>
        </w:rPr>
      </w:pPr>
      <w:r>
        <w:rPr>
          <w:rFonts w:ascii="宋体" w:hAnsi="宋体" w:eastAsia="宋体" w:cs="宋体"/>
          <w:color w:val="000000" w:themeColor="text1"/>
          <w14:textFill>
            <w14:solidFill>
              <w14:schemeClr w14:val="tx1"/>
            </w14:solidFill>
          </w14:textFill>
        </w:rPr>
        <w:br w:type="page"/>
      </w:r>
      <w:r>
        <w:rPr>
          <w:rFonts w:hint="eastAsia" w:ascii="宋体" w:hAnsi="宋体" w:eastAsia="宋体" w:cs="宋体"/>
          <w:color w:val="000000" w:themeColor="text1"/>
          <w14:textFill>
            <w14:solidFill>
              <w14:schemeClr w14:val="tx1"/>
            </w14:solidFill>
          </w14:textFill>
        </w:rPr>
        <w:t>采购需求书响应声明函</w:t>
      </w:r>
    </w:p>
    <w:p w14:paraId="77DFEF6C">
      <w:pPr>
        <w:spacing w:after="0" w:line="360" w:lineRule="auto"/>
        <w:rPr>
          <w:rFonts w:hint="eastAsia" w:ascii="宋体" w:hAnsi="宋体" w:eastAsia="宋体" w:cs="宋体"/>
          <w:b/>
          <w:color w:val="000000" w:themeColor="text1"/>
          <w:szCs w:val="21"/>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致：广东省肇庆监狱、</w:t>
      </w:r>
      <w:r>
        <w:rPr>
          <w:rFonts w:hint="eastAsia" w:ascii="宋体" w:hAnsi="宋体" w:eastAsia="宋体" w:cs="宋体"/>
          <w:b/>
          <w:color w:val="000000" w:themeColor="text1"/>
          <w14:textFill>
            <w14:solidFill>
              <w14:schemeClr w14:val="tx1"/>
            </w14:solidFill>
          </w14:textFill>
        </w:rPr>
        <w:t>采联国际招标采购集团有限公司</w:t>
      </w:r>
    </w:p>
    <w:p w14:paraId="7D46A244">
      <w:pPr>
        <w:spacing w:after="0" w:line="360" w:lineRule="auto"/>
        <w:rPr>
          <w:rFonts w:hint="eastAsia" w:ascii="宋体" w:hAnsi="宋体" w:eastAsia="宋体" w:cs="宋体"/>
          <w:color w:val="000000" w:themeColor="text1"/>
          <w:lang w:val="zh-CN"/>
          <w14:textFill>
            <w14:solidFill>
              <w14:schemeClr w14:val="tx1"/>
            </w14:solidFill>
          </w14:textFill>
        </w:rPr>
      </w:pPr>
    </w:p>
    <w:p w14:paraId="6AD4997D">
      <w:pPr>
        <w:snapToGrid w:val="0"/>
        <w:spacing w:after="0" w:line="360" w:lineRule="auto"/>
        <w:ind w:firstLine="420" w:firstLineChars="20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广东省肇庆监狱购置固态硬盘、机械硬盘、服务器内存条、万兆网卡项目（第二次）</w:t>
      </w:r>
      <w:r>
        <w:rPr>
          <w:rFonts w:hint="eastAsia" w:ascii="宋体" w:hAnsi="宋体" w:eastAsia="宋体" w:cs="宋体"/>
          <w:color w:val="000000" w:themeColor="text1"/>
          <w:szCs w:val="21"/>
          <w14:textFill>
            <w14:solidFill>
              <w14:schemeClr w14:val="tx1"/>
            </w14:solidFill>
          </w14:textFill>
        </w:rPr>
        <w:t>的竞价公告，本公司（企业）愿意参加竞价活动，并作出如下声明：</w:t>
      </w:r>
    </w:p>
    <w:p w14:paraId="32B1CD7C">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报名时已对于采购需求书中的各项条款、内容及要求给予充分考虑，明确承诺对于本项目的采购需求中的各项条款、内容及要求均为完全响应，不存在任意一条负偏离或不响应的情况。本公司（企业）清楚，若对于采购需求书各项条款存在任意一条负偏离或不响应的情况，不被推荐为成交候选人的要求。</w:t>
      </w:r>
    </w:p>
    <w:p w14:paraId="213B559A">
      <w:pPr>
        <w:pStyle w:val="42"/>
        <w:tabs>
          <w:tab w:val="left" w:pos="426"/>
        </w:tabs>
        <w:snapToGrid w:val="0"/>
        <w:spacing w:after="0" w:line="360" w:lineRule="auto"/>
        <w:ind w:firstLineChars="0"/>
        <w:rPr>
          <w:rFonts w:hint="eastAsia" w:ascii="宋体" w:hAnsi="宋体" w:cs="宋体"/>
          <w:color w:val="000000" w:themeColor="text1"/>
          <w14:textFill>
            <w14:solidFill>
              <w14:schemeClr w14:val="tx1"/>
            </w14:solidFill>
          </w14:textFill>
        </w:rPr>
      </w:pPr>
      <w:r>
        <w:rPr>
          <w:rFonts w:hint="eastAsia" w:ascii="宋体" w:hAnsi="宋体" w:cs="宋体"/>
          <w:color w:val="000000" w:themeColor="text1"/>
          <w14:textFill>
            <w14:solidFill>
              <w14:schemeClr w14:val="tx1"/>
            </w14:solidFill>
          </w14:textFill>
        </w:rPr>
        <w:t>本公司（企业）承诺在本次采购活动中，如有违法、违规、弄虚作假行为，所造成的损失、不良后果及法律责任，一律由我公司（企业）承担。</w:t>
      </w:r>
    </w:p>
    <w:p w14:paraId="72232FBF">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603D09BB">
      <w:pPr>
        <w:pStyle w:val="32"/>
        <w:numPr>
          <w:ilvl w:val="0"/>
          <w:numId w:val="21"/>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2DA8D3E5">
      <w:pPr>
        <w:pStyle w:val="32"/>
        <w:numPr>
          <w:ilvl w:val="0"/>
          <w:numId w:val="21"/>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5D791748">
      <w:pPr>
        <w:widowControl/>
        <w:spacing w:after="0" w:line="360" w:lineRule="auto"/>
        <w:jc w:val="left"/>
        <w:rPr>
          <w:rFonts w:hint="eastAsia" w:ascii="宋体" w:hAnsi="宋体" w:eastAsia="宋体" w:cs="宋体"/>
          <w:b/>
          <w:bCs/>
          <w:color w:val="000000" w:themeColor="text1"/>
          <w:kern w:val="0"/>
          <w:sz w:val="32"/>
          <w:szCs w:val="32"/>
          <w14:textFill>
            <w14:solidFill>
              <w14:schemeClr w14:val="tx1"/>
            </w14:solidFill>
          </w14:textFill>
        </w:rPr>
      </w:pPr>
    </w:p>
    <w:p w14:paraId="2B4D7D8F">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0985062F">
      <w:pPr>
        <w:spacing w:after="0" w:line="360" w:lineRule="auto"/>
        <w:ind w:firstLine="105" w:firstLineChars="50"/>
        <w:jc w:val="right"/>
        <w:rPr>
          <w:rFonts w:hint="eastAsia" w:ascii="宋体" w:hAnsi="宋体" w:eastAsia="宋体" w:cs="宋体"/>
          <w:color w:val="000000" w:themeColor="text1"/>
          <w:szCs w:val="21"/>
          <w:u w:val="single"/>
          <w14:textFill>
            <w14:solidFill>
              <w14:schemeClr w14:val="tx1"/>
            </w14:solidFill>
          </w14:textFill>
        </w:rPr>
      </w:pPr>
    </w:p>
    <w:p w14:paraId="49142B18">
      <w:pPr>
        <w:spacing w:after="0" w:line="360" w:lineRule="auto"/>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62AC94DA">
      <w:pPr>
        <w:widowControl/>
        <w:spacing w:after="0" w:line="360" w:lineRule="auto"/>
        <w:jc w:val="right"/>
        <w:rPr>
          <w:rFonts w:hint="eastAsia" w:ascii="宋体" w:hAnsi="宋体" w:eastAsia="宋体" w:cs="宋体"/>
          <w:b/>
          <w:bCs/>
          <w:color w:val="000000" w:themeColor="text1"/>
          <w:kern w:val="0"/>
          <w:sz w:val="32"/>
          <w:szCs w:val="32"/>
          <w:lang w:val="zh-CN"/>
          <w14:textFill>
            <w14:solidFill>
              <w14:schemeClr w14:val="tx1"/>
            </w14:solidFill>
          </w14:textFill>
        </w:rPr>
      </w:pPr>
    </w:p>
    <w:p w14:paraId="0092BEA0">
      <w:pPr>
        <w:spacing w:after="0" w:line="360" w:lineRule="auto"/>
        <w:rPr>
          <w:rFonts w:hint="eastAsia" w:ascii="宋体" w:hAnsi="宋体" w:eastAsia="宋体" w:cs="宋体"/>
          <w:color w:val="000000" w:themeColor="text1"/>
          <w14:textFill>
            <w14:solidFill>
              <w14:schemeClr w14:val="tx1"/>
            </w14:solidFill>
          </w14:textFill>
        </w:rPr>
      </w:pPr>
    </w:p>
    <w:p w14:paraId="2B7A2287">
      <w:pPr>
        <w:widowControl/>
        <w:spacing w:after="0" w:line="360" w:lineRule="auto"/>
        <w:jc w:val="left"/>
        <w:rPr>
          <w:rFonts w:hint="eastAsia" w:ascii="宋体" w:hAnsi="宋体" w:eastAsia="宋体" w:cs="宋体"/>
          <w:b/>
          <w:bCs/>
          <w:color w:val="000000" w:themeColor="text1"/>
          <w:kern w:val="0"/>
          <w:sz w:val="32"/>
          <w:szCs w:val="32"/>
          <w:lang w:val="zh-CN"/>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br w:type="page"/>
      </w:r>
    </w:p>
    <w:p w14:paraId="634AD331">
      <w:pPr>
        <w:pStyle w:val="6"/>
        <w:spacing w:before="0" w:after="0"/>
        <w:jc w:val="center"/>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供应商资格声明函</w:t>
      </w:r>
    </w:p>
    <w:p w14:paraId="4C62ECA4">
      <w:pPr>
        <w:spacing w:after="0"/>
        <w:rPr>
          <w:rFonts w:hint="eastAsia" w:ascii="宋体" w:hAnsi="宋体" w:eastAsia="宋体" w:cs="宋体"/>
          <w:b/>
          <w:color w:val="000000" w:themeColor="text1"/>
          <w:szCs w:val="24"/>
          <w14:textFill>
            <w14:solidFill>
              <w14:schemeClr w14:val="tx1"/>
            </w14:solidFill>
          </w14:textFill>
        </w:rPr>
      </w:pPr>
    </w:p>
    <w:p w14:paraId="717BBB37">
      <w:pPr>
        <w:spacing w:after="0"/>
        <w:rPr>
          <w:rFonts w:hint="eastAsia" w:ascii="宋体" w:hAnsi="宋体" w:eastAsia="宋体" w:cs="宋体"/>
          <w:b/>
          <w:color w:val="000000" w:themeColor="text1"/>
          <w:szCs w:val="24"/>
          <w14:textFill>
            <w14:solidFill>
              <w14:schemeClr w14:val="tx1"/>
            </w14:solidFill>
          </w14:textFill>
        </w:rPr>
      </w:pPr>
      <w:r>
        <w:rPr>
          <w:rFonts w:hint="eastAsia" w:ascii="宋体" w:hAnsi="宋体" w:eastAsia="宋体" w:cs="宋体"/>
          <w:b/>
          <w:color w:val="000000" w:themeColor="text1"/>
          <w:szCs w:val="21"/>
          <w14:textFill>
            <w14:solidFill>
              <w14:schemeClr w14:val="tx1"/>
            </w14:solidFill>
          </w14:textFill>
        </w:rPr>
        <w:t>致：</w:t>
      </w:r>
      <w:r>
        <w:rPr>
          <w:rFonts w:hint="eastAsia" w:ascii="宋体" w:hAnsi="宋体" w:eastAsia="宋体" w:cs="宋体"/>
          <w:b/>
          <w:color w:val="000000" w:themeColor="text1"/>
          <w:szCs w:val="24"/>
          <w14:textFill>
            <w14:solidFill>
              <w14:schemeClr w14:val="tx1"/>
            </w14:solidFill>
          </w14:textFill>
        </w:rPr>
        <w:t>广东省肇庆监狱、</w:t>
      </w:r>
      <w:r>
        <w:rPr>
          <w:rFonts w:hint="eastAsia" w:ascii="宋体" w:hAnsi="宋体" w:eastAsia="宋体" w:cs="宋体"/>
          <w:b/>
          <w:color w:val="000000" w:themeColor="text1"/>
          <w14:textFill>
            <w14:solidFill>
              <w14:schemeClr w14:val="tx1"/>
            </w14:solidFill>
          </w14:textFill>
        </w:rPr>
        <w:t>采联国际招标采购集团有限公司</w:t>
      </w:r>
      <w:r>
        <w:rPr>
          <w:rFonts w:hint="eastAsia" w:ascii="宋体" w:hAnsi="宋体" w:eastAsia="宋体" w:cs="宋体"/>
          <w:b/>
          <w:color w:val="000000" w:themeColor="text1"/>
          <w:szCs w:val="24"/>
          <w14:textFill>
            <w14:solidFill>
              <w14:schemeClr w14:val="tx1"/>
            </w14:solidFill>
          </w14:textFill>
        </w:rPr>
        <w:t>：</w:t>
      </w:r>
    </w:p>
    <w:p w14:paraId="47F15449">
      <w:pPr>
        <w:spacing w:after="0"/>
        <w:rPr>
          <w:rFonts w:hint="eastAsia" w:ascii="宋体" w:hAnsi="宋体" w:eastAsia="宋体" w:cs="宋体"/>
          <w:b/>
          <w:color w:val="000000" w:themeColor="text1"/>
          <w:szCs w:val="24"/>
          <w14:textFill>
            <w14:solidFill>
              <w14:schemeClr w14:val="tx1"/>
            </w14:solidFill>
          </w14:textFill>
        </w:rPr>
      </w:pPr>
    </w:p>
    <w:p w14:paraId="707F1852">
      <w:pPr>
        <w:snapToGrid w:val="0"/>
        <w:spacing w:after="0" w:line="360" w:lineRule="auto"/>
        <w:ind w:firstLine="424" w:firstLineChars="202"/>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14:textFill>
            <w14:solidFill>
              <w14:schemeClr w14:val="tx1"/>
            </w14:solidFill>
          </w14:textFill>
        </w:rPr>
        <w:t>关于贵单位、贵司发布</w:t>
      </w:r>
      <w:r>
        <w:rPr>
          <w:rFonts w:hint="eastAsia" w:ascii="宋体" w:hAnsi="宋体" w:eastAsia="宋体" w:cs="宋体"/>
          <w:b/>
          <w:bCs/>
          <w:color w:val="000000" w:themeColor="text1"/>
          <w:szCs w:val="32"/>
          <w:u w:val="single"/>
          <w:lang w:eastAsia="zh-CN"/>
          <w14:textFill>
            <w14:solidFill>
              <w14:schemeClr w14:val="tx1"/>
            </w14:solidFill>
          </w14:textFill>
        </w:rPr>
        <w:t>广东省肇庆监狱购置固态硬盘、机械硬盘、服务器内存条、万兆网卡项目（第二次）</w:t>
      </w:r>
      <w:r>
        <w:rPr>
          <w:rFonts w:hint="eastAsia" w:ascii="宋体" w:hAnsi="宋体" w:eastAsia="宋体" w:cs="宋体"/>
          <w:color w:val="000000" w:themeColor="text1"/>
          <w:szCs w:val="24"/>
          <w14:textFill>
            <w14:solidFill>
              <w14:schemeClr w14:val="tx1"/>
            </w14:solidFill>
          </w14:textFill>
        </w:rPr>
        <w:t>的竞价公告，本公司（企业）愿意参加竞价活动，并作出如下声明：</w:t>
      </w:r>
    </w:p>
    <w:p w14:paraId="42C5D7C0">
      <w:pPr>
        <w:snapToGrid w:val="0"/>
        <w:spacing w:after="0" w:line="360" w:lineRule="auto"/>
        <w:ind w:firstLine="420" w:firstLineChars="200"/>
        <w:rPr>
          <w:rFonts w:hint="eastAsia" w:ascii="宋体" w:hAnsi="宋体" w:eastAsia="宋体"/>
          <w:bCs/>
          <w:szCs w:val="20"/>
        </w:rPr>
      </w:pPr>
      <w:r>
        <w:rPr>
          <w:rFonts w:hint="eastAsia" w:ascii="宋体" w:hAnsi="宋体" w:eastAsia="宋体"/>
          <w:szCs w:val="24"/>
        </w:rPr>
        <w:t>一、本公司（企业）</w:t>
      </w:r>
      <w:r>
        <w:rPr>
          <w:rFonts w:hint="eastAsia" w:ascii="宋体" w:hAnsi="宋体" w:eastAsia="宋体"/>
          <w:bCs/>
          <w:szCs w:val="20"/>
        </w:rPr>
        <w:t>具备：</w:t>
      </w:r>
    </w:p>
    <w:p w14:paraId="6EACBABB">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（一）具有独立承担民事责任的能力；</w:t>
      </w:r>
    </w:p>
    <w:p w14:paraId="4BBAECD1">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（二）具有良好的商业信誉和健全的财务会计制度；</w:t>
      </w:r>
      <w:r>
        <w:rPr>
          <w:rFonts w:ascii="宋体" w:hAnsi="宋体" w:eastAsia="宋体" w:cs="宋体"/>
          <w:kern w:val="0"/>
          <w:szCs w:val="21"/>
        </w:rPr>
        <w:t xml:space="preserve"> </w:t>
      </w:r>
    </w:p>
    <w:p w14:paraId="37F45F3D">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（三）具有履行合同所必需的设备和专业技术能力；</w:t>
      </w:r>
    </w:p>
    <w:p w14:paraId="35F08495">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（四）有依法缴纳税收和社会保障资金的良好记录；</w:t>
      </w:r>
    </w:p>
    <w:p w14:paraId="6C5C30E1">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（五）</w:t>
      </w:r>
      <w:r>
        <w:t>本单位（如前三年内有名称变更的，含变更前名称）参加采购活动前三年内，在经营活动中没有重大违法记录（重大违法记录是指因违法经营受到刑事处罚或责令停产停业、吊销许可证或者执照、较大数额罚款等行政处罚）</w:t>
      </w:r>
      <w:r>
        <w:rPr>
          <w:rFonts w:hint="eastAsia" w:ascii="宋体" w:hAnsi="宋体" w:eastAsia="宋体" w:cs="宋体"/>
          <w:kern w:val="0"/>
          <w:szCs w:val="21"/>
        </w:rPr>
        <w:t>；</w:t>
      </w:r>
    </w:p>
    <w:p w14:paraId="03BFE1C8">
      <w:pPr>
        <w:widowControl/>
        <w:spacing w:after="0" w:line="360" w:lineRule="auto"/>
        <w:ind w:firstLine="360"/>
        <w:rPr>
          <w:rFonts w:hint="eastAsia" w:ascii="宋体" w:hAnsi="宋体" w:eastAsia="宋体" w:cs="宋体"/>
          <w:kern w:val="0"/>
          <w:szCs w:val="21"/>
        </w:rPr>
      </w:pPr>
      <w:r>
        <w:rPr>
          <w:rFonts w:hint="eastAsia" w:ascii="宋体" w:hAnsi="宋体" w:eastAsia="宋体" w:cs="宋体"/>
          <w:kern w:val="0"/>
          <w:szCs w:val="21"/>
        </w:rPr>
        <w:t>（六）法律、行政法规规定的其他条件。</w:t>
      </w:r>
    </w:p>
    <w:p w14:paraId="029556DC">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二、本公司（企业）的法定代表人或单位负责人与所参投的本项目其他供应商的法定代表人或单位负责人不为同一人且与其他供应商之间不存在直接控股、管理关系。</w:t>
      </w:r>
    </w:p>
    <w:p w14:paraId="28682F1A">
      <w:pPr>
        <w:snapToGrid w:val="0"/>
        <w:spacing w:after="0" w:line="360" w:lineRule="auto"/>
        <w:ind w:firstLine="424" w:firstLineChars="202"/>
        <w:rPr>
          <w:rFonts w:hint="eastAsia" w:ascii="宋体" w:hAnsi="宋体" w:eastAsia="宋体"/>
          <w:szCs w:val="24"/>
        </w:rPr>
      </w:pPr>
      <w:r>
        <w:rPr>
          <w:rFonts w:hint="eastAsia" w:ascii="宋体" w:hAnsi="宋体" w:eastAsia="宋体"/>
          <w:szCs w:val="24"/>
        </w:rPr>
        <w:t>三、本公司（企业）</w:t>
      </w:r>
      <w:r>
        <w:rPr>
          <w:rFonts w:ascii="宋体" w:hAnsi="宋体" w:eastAsia="宋体"/>
          <w:szCs w:val="24"/>
        </w:rPr>
        <w:t>在本项目中不转包分包且不联合竞价。</w:t>
      </w:r>
    </w:p>
    <w:p w14:paraId="40FDE21F">
      <w:pPr>
        <w:snapToGrid w:val="0"/>
        <w:spacing w:after="0" w:line="360" w:lineRule="auto"/>
        <w:ind w:firstLine="424" w:firstLineChars="202"/>
        <w:rPr>
          <w:rFonts w:hint="eastAsia" w:ascii="宋体" w:hAnsi="宋体" w:eastAsia="宋体"/>
          <w:szCs w:val="21"/>
        </w:rPr>
      </w:pPr>
      <w:r>
        <w:rPr>
          <w:rFonts w:hint="eastAsia" w:ascii="宋体" w:hAnsi="宋体" w:eastAsia="宋体"/>
          <w:szCs w:val="21"/>
        </w:rPr>
        <w:t>本公司（企业）承诺在本次采购活动中，如有违法、违规、弄虚作假行为，所造成的损失、不良后果及法律责任，一律由我公司（企业）承担。</w:t>
      </w:r>
    </w:p>
    <w:p w14:paraId="1A85C751">
      <w:pPr>
        <w:spacing w:after="0" w:line="360" w:lineRule="auto"/>
        <w:ind w:firstLine="420"/>
        <w:rPr>
          <w:rFonts w:hint="eastAsia" w:ascii="宋体" w:hAnsi="宋体" w:eastAsia="宋体"/>
          <w:szCs w:val="21"/>
        </w:rPr>
      </w:pPr>
      <w:r>
        <w:rPr>
          <w:rFonts w:hint="eastAsia" w:ascii="宋体" w:hAnsi="宋体" w:eastAsia="宋体"/>
          <w:szCs w:val="21"/>
        </w:rPr>
        <w:t>特此声明！</w:t>
      </w:r>
    </w:p>
    <w:p w14:paraId="27074DD0">
      <w:pPr>
        <w:autoSpaceDE w:val="0"/>
        <w:autoSpaceDN w:val="0"/>
        <w:adjustRightInd w:val="0"/>
        <w:spacing w:after="0" w:line="360" w:lineRule="auto"/>
        <w:ind w:firstLine="413" w:firstLineChars="196"/>
        <w:rPr>
          <w:rFonts w:hint="eastAsia"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14:paraId="27E3BC65">
      <w:pPr>
        <w:pStyle w:val="32"/>
        <w:numPr>
          <w:ilvl w:val="0"/>
          <w:numId w:val="22"/>
        </w:numPr>
        <w:autoSpaceDE w:val="0"/>
        <w:autoSpaceDN w:val="0"/>
        <w:adjustRightInd w:val="0"/>
        <w:spacing w:after="0" w:line="360" w:lineRule="auto"/>
        <w:ind w:firstLineChars="0"/>
        <w:rPr>
          <w:rFonts w:hint="eastAsia"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本声明函必须提供且内容不得擅自删改，否则视为响应无效。</w:t>
      </w:r>
    </w:p>
    <w:p w14:paraId="03C08A64">
      <w:pPr>
        <w:pStyle w:val="32"/>
        <w:numPr>
          <w:ilvl w:val="0"/>
          <w:numId w:val="22"/>
        </w:numPr>
        <w:snapToGrid w:val="0"/>
        <w:spacing w:after="0" w:line="360" w:lineRule="auto"/>
        <w:ind w:firstLineChars="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本声明函如有虚假或与事实不符的，作无效报价处理。</w:t>
      </w:r>
    </w:p>
    <w:p w14:paraId="03610354">
      <w:pPr>
        <w:pStyle w:val="32"/>
        <w:spacing w:after="0" w:line="360" w:lineRule="auto"/>
        <w:ind w:left="1200" w:right="218" w:firstLine="0" w:firstLineChars="0"/>
        <w:jc w:val="right"/>
        <w:rPr>
          <w:rFonts w:hint="eastAsia"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单位盖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BCF23E5">
      <w:pPr>
        <w:pStyle w:val="32"/>
        <w:spacing w:after="0" w:line="360" w:lineRule="auto"/>
        <w:ind w:left="1200" w:right="218" w:firstLine="0" w:firstLineChars="0"/>
        <w:jc w:val="right"/>
        <w:rPr>
          <w:rFonts w:hint="eastAsia" w:ascii="宋体" w:hAnsi="宋体" w:eastAsia="宋体" w:cs="宋体"/>
          <w:color w:val="000000" w:themeColor="text1"/>
          <w:spacing w:val="4"/>
          <w:szCs w:val="21"/>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p>
    <w:p w14:paraId="3DD2E11B">
      <w:pPr>
        <w:spacing w:after="0" w:line="360" w:lineRule="auto"/>
        <w:rPr>
          <w:rFonts w:hint="eastAsia" w:ascii="宋体" w:hAnsi="宋体" w:eastAsia="宋体" w:cs="宋体"/>
          <w:color w:val="000000" w:themeColor="text1"/>
          <w14:textFill>
            <w14:solidFill>
              <w14:schemeClr w14:val="tx1"/>
            </w14:solidFill>
          </w14:textFill>
        </w:rPr>
      </w:pPr>
    </w:p>
    <w:sectPr>
      <w:headerReference r:id="rId6" w:type="first"/>
      <w:headerReference r:id="rId5" w:type="default"/>
      <w:type w:val="continuous"/>
      <w:pgSz w:w="11906" w:h="16838"/>
      <w:pgMar w:top="1417" w:right="1800" w:bottom="1417" w:left="1800" w:header="720" w:footer="720" w:gutter="0"/>
      <w:cols w:space="425" w:num="1"/>
      <w:titlePg/>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22430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27EB40">
    <w:pPr>
      <w:pStyle w:val="15"/>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CE0D2"/>
    <w:multiLevelType w:val="singleLevel"/>
    <w:tmpl w:val="A63CE0D2"/>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
    <w:nsid w:val="AC14EAB6"/>
    <w:multiLevelType w:val="singleLevel"/>
    <w:tmpl w:val="AC14EAB6"/>
    <w:lvl w:ilvl="0" w:tentative="0">
      <w:start w:val="1"/>
      <w:numFmt w:val="decimal"/>
      <w:suff w:val="space"/>
      <w:lvlText w:val="%1."/>
      <w:lvlJc w:val="left"/>
      <w:pPr>
        <w:ind w:left="208" w:hanging="425"/>
      </w:pPr>
      <w:rPr>
        <w:rFonts w:hint="default"/>
      </w:rPr>
    </w:lvl>
  </w:abstractNum>
  <w:abstractNum w:abstractNumId="2">
    <w:nsid w:val="D7010DB7"/>
    <w:multiLevelType w:val="singleLevel"/>
    <w:tmpl w:val="D7010DB7"/>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3">
    <w:nsid w:val="F09CFC33"/>
    <w:multiLevelType w:val="singleLevel"/>
    <w:tmpl w:val="F09CFC33"/>
    <w:lvl w:ilvl="0" w:tentative="0">
      <w:start w:val="1"/>
      <w:numFmt w:val="decimal"/>
      <w:suff w:val="space"/>
      <w:lvlText w:val="(%1)"/>
      <w:lvlJc w:val="left"/>
      <w:pPr>
        <w:ind w:left="0" w:firstLine="0"/>
      </w:pPr>
      <w:rPr>
        <w:rFonts w:hint="default" w:ascii="宋体" w:hAnsi="宋体" w:eastAsia="宋体" w:cs="宋体"/>
        <w:sz w:val="21"/>
        <w:szCs w:val="21"/>
      </w:rPr>
    </w:lvl>
  </w:abstractNum>
  <w:abstractNum w:abstractNumId="4">
    <w:nsid w:val="F47A0796"/>
    <w:multiLevelType w:val="singleLevel"/>
    <w:tmpl w:val="F47A0796"/>
    <w:lvl w:ilvl="0" w:tentative="0">
      <w:start w:val="1"/>
      <w:numFmt w:val="chineseCounting"/>
      <w:suff w:val="nothing"/>
      <w:lvlText w:val="（%1）"/>
      <w:lvlJc w:val="left"/>
      <w:pPr>
        <w:ind w:left="0" w:firstLine="420"/>
      </w:pPr>
      <w:rPr>
        <w:rFonts w:hint="eastAsia"/>
        <w:b/>
        <w:bCs/>
      </w:rPr>
    </w:lvl>
  </w:abstractNum>
  <w:abstractNum w:abstractNumId="5">
    <w:nsid w:val="00000004"/>
    <w:multiLevelType w:val="multilevel"/>
    <w:tmpl w:val="00000004"/>
    <w:lvl w:ilvl="0" w:tentative="0">
      <w:start w:val="1"/>
      <w:numFmt w:val="chineseCountingThousand"/>
      <w:suff w:val="space"/>
      <w:lvlText w:val="%1、"/>
      <w:lvlJc w:val="left"/>
      <w:pPr>
        <w:ind w:left="0" w:firstLine="0"/>
      </w:pPr>
      <w:rPr>
        <w:rFonts w:hint="eastAsia" w:ascii="宋体" w:hAnsi="宋体" w:eastAsia="宋体" w:cs="宋体"/>
        <w:b/>
        <w:sz w:val="21"/>
        <w:szCs w:val="21"/>
      </w:rPr>
    </w:lvl>
    <w:lvl w:ilvl="1" w:tentative="0">
      <w:start w:val="1"/>
      <w:numFmt w:val="lowerLetter"/>
      <w:lvlText w:val="%2)"/>
      <w:lvlJc w:val="left"/>
      <w:pPr>
        <w:tabs>
          <w:tab w:val="left" w:pos="840"/>
        </w:tabs>
        <w:ind w:left="840" w:hanging="420"/>
      </w:pPr>
      <w:rPr>
        <w:rFonts w:hint="eastAsia"/>
      </w:rPr>
    </w:lvl>
    <w:lvl w:ilvl="2" w:tentative="0">
      <w:start w:val="1"/>
      <w:numFmt w:val="lowerRoman"/>
      <w:lvlText w:val="%3."/>
      <w:lvlJc w:val="right"/>
      <w:pPr>
        <w:tabs>
          <w:tab w:val="left" w:pos="1260"/>
        </w:tabs>
        <w:ind w:left="1260" w:hanging="420"/>
      </w:pPr>
      <w:rPr>
        <w:rFonts w:hint="eastAsia"/>
      </w:rPr>
    </w:lvl>
    <w:lvl w:ilvl="3" w:tentative="0">
      <w:start w:val="1"/>
      <w:numFmt w:val="decimal"/>
      <w:lvlText w:val="%4."/>
      <w:lvlJc w:val="left"/>
      <w:pPr>
        <w:tabs>
          <w:tab w:val="left" w:pos="1680"/>
        </w:tabs>
        <w:ind w:left="1680" w:hanging="420"/>
      </w:pPr>
      <w:rPr>
        <w:rFonts w:hint="eastAsia"/>
      </w:rPr>
    </w:lvl>
    <w:lvl w:ilvl="4" w:tentative="0">
      <w:start w:val="1"/>
      <w:numFmt w:val="lowerLetter"/>
      <w:lvlText w:val="%5)"/>
      <w:lvlJc w:val="left"/>
      <w:pPr>
        <w:tabs>
          <w:tab w:val="left" w:pos="2100"/>
        </w:tabs>
        <w:ind w:left="2100" w:hanging="420"/>
      </w:pPr>
      <w:rPr>
        <w:rFonts w:hint="eastAsia"/>
      </w:rPr>
    </w:lvl>
    <w:lvl w:ilvl="5" w:tentative="0">
      <w:start w:val="1"/>
      <w:numFmt w:val="lowerRoman"/>
      <w:lvlText w:val="%6."/>
      <w:lvlJc w:val="right"/>
      <w:pPr>
        <w:tabs>
          <w:tab w:val="left" w:pos="2520"/>
        </w:tabs>
        <w:ind w:left="2520" w:hanging="420"/>
      </w:pPr>
      <w:rPr>
        <w:rFonts w:hint="eastAsia"/>
      </w:rPr>
    </w:lvl>
    <w:lvl w:ilvl="6" w:tentative="0">
      <w:start w:val="1"/>
      <w:numFmt w:val="decimal"/>
      <w:lvlText w:val="%7."/>
      <w:lvlJc w:val="left"/>
      <w:pPr>
        <w:tabs>
          <w:tab w:val="left" w:pos="2940"/>
        </w:tabs>
        <w:ind w:left="2940" w:hanging="420"/>
      </w:pPr>
      <w:rPr>
        <w:rFonts w:hint="eastAsia"/>
      </w:rPr>
    </w:lvl>
    <w:lvl w:ilvl="7" w:tentative="0">
      <w:start w:val="1"/>
      <w:numFmt w:val="lowerLetter"/>
      <w:lvlText w:val="%8)"/>
      <w:lvlJc w:val="left"/>
      <w:pPr>
        <w:tabs>
          <w:tab w:val="left" w:pos="3360"/>
        </w:tabs>
        <w:ind w:left="3360" w:hanging="420"/>
      </w:pPr>
      <w:rPr>
        <w:rFonts w:hint="eastAsia"/>
      </w:rPr>
    </w:lvl>
    <w:lvl w:ilvl="8" w:tentative="0">
      <w:start w:val="1"/>
      <w:numFmt w:val="lowerRoman"/>
      <w:lvlText w:val="%9."/>
      <w:lvlJc w:val="right"/>
      <w:pPr>
        <w:tabs>
          <w:tab w:val="left" w:pos="3780"/>
        </w:tabs>
        <w:ind w:left="3780" w:hanging="420"/>
      </w:pPr>
      <w:rPr>
        <w:rFonts w:hint="eastAsia"/>
      </w:rPr>
    </w:lvl>
  </w:abstractNum>
  <w:abstractNum w:abstractNumId="6">
    <w:nsid w:val="00000010"/>
    <w:multiLevelType w:val="multilevel"/>
    <w:tmpl w:val="00000010"/>
    <w:lvl w:ilvl="0" w:tentative="0">
      <w:start w:val="1"/>
      <w:numFmt w:val="decimal"/>
      <w:lvlText w:val="%1."/>
      <w:lvlJc w:val="left"/>
      <w:pPr>
        <w:tabs>
          <w:tab w:val="left" w:pos="425"/>
        </w:tabs>
        <w:ind w:left="425" w:hanging="425"/>
      </w:pPr>
      <w:rPr>
        <w:rFonts w:hint="eastAsia"/>
      </w:rPr>
    </w:lvl>
    <w:lvl w:ilvl="1" w:tentative="0">
      <w:start w:val="1"/>
      <w:numFmt w:val="decimal"/>
      <w:lvlText w:val="%1.%2"/>
      <w:lvlJc w:val="left"/>
      <w:pPr>
        <w:tabs>
          <w:tab w:val="left" w:pos="567"/>
        </w:tabs>
        <w:ind w:left="567" w:hanging="567"/>
      </w:pPr>
      <w:rPr>
        <w:rFonts w:hint="default" w:ascii="宋体" w:hAnsi="宋体" w:eastAsia="宋体" w:cs="Times New Roman"/>
        <w:b w:val="0"/>
        <w:dstrike w:val="0"/>
      </w:rPr>
    </w:lvl>
    <w:lvl w:ilvl="2" w:tentative="0">
      <w:start w:val="1"/>
      <w:numFmt w:val="decimal"/>
      <w:lvlText w:val="%1.%2.%3"/>
      <w:lvlJc w:val="left"/>
      <w:pPr>
        <w:tabs>
          <w:tab w:val="left" w:pos="1703"/>
        </w:tabs>
        <w:ind w:left="1703" w:hanging="851"/>
      </w:pPr>
      <w:rPr>
        <w:rFonts w:hint="default" w:ascii="宋体" w:hAnsi="宋体" w:eastAsia="宋体" w:cs="Times New Roman"/>
        <w:b w:val="0"/>
        <w:color w:val="auto"/>
        <w:sz w:val="21"/>
        <w:szCs w:val="21"/>
      </w:rPr>
    </w:lvl>
    <w:lvl w:ilvl="3" w:tentative="0">
      <w:start w:val="1"/>
      <w:numFmt w:val="decimal"/>
      <w:pStyle w:val="41"/>
      <w:lvlText w:val="%1.%2.%3.%4"/>
      <w:lvlJc w:val="left"/>
      <w:pPr>
        <w:tabs>
          <w:tab w:val="left" w:pos="851"/>
        </w:tabs>
        <w:ind w:left="851" w:hanging="851"/>
      </w:pPr>
      <w:rPr>
        <w:rFonts w:hint="eastAsia"/>
        <w:dstrike w:val="0"/>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7">
    <w:nsid w:val="0304B097"/>
    <w:multiLevelType w:val="singleLevel"/>
    <w:tmpl w:val="0304B097"/>
    <w:lvl w:ilvl="0" w:tentative="0">
      <w:start w:val="1"/>
      <w:numFmt w:val="decimal"/>
      <w:suff w:val="nothing"/>
      <w:lvlText w:val="%1．"/>
      <w:lvlJc w:val="left"/>
      <w:pPr>
        <w:ind w:left="309" w:firstLine="400"/>
      </w:pPr>
      <w:rPr>
        <w:rFonts w:hint="default" w:ascii="宋体" w:hAnsi="宋体" w:eastAsia="宋体" w:cs="宋体"/>
        <w:sz w:val="21"/>
        <w:szCs w:val="21"/>
      </w:rPr>
    </w:lvl>
  </w:abstractNum>
  <w:abstractNum w:abstractNumId="8">
    <w:nsid w:val="04AD10DA"/>
    <w:multiLevelType w:val="multilevel"/>
    <w:tmpl w:val="04AD10DA"/>
    <w:lvl w:ilvl="0" w:tentative="0">
      <w:start w:val="1"/>
      <w:numFmt w:val="lowerLetter"/>
      <w:suff w:val="nothing"/>
      <w:lvlText w:val="%1)"/>
      <w:lvlJc w:val="left"/>
      <w:pPr>
        <w:ind w:left="2121" w:hanging="420"/>
      </w:pPr>
      <w:rPr>
        <w:rFonts w:hint="eastAsia"/>
      </w:rPr>
    </w:lvl>
    <w:lvl w:ilvl="1" w:tentative="0">
      <w:start w:val="1"/>
      <w:numFmt w:val="lowerLetter"/>
      <w:lvlText w:val="%2)"/>
      <w:lvlJc w:val="left"/>
      <w:pPr>
        <w:ind w:left="2541" w:hanging="420"/>
      </w:pPr>
    </w:lvl>
    <w:lvl w:ilvl="2" w:tentative="0">
      <w:start w:val="1"/>
      <w:numFmt w:val="lowerRoman"/>
      <w:lvlText w:val="%3."/>
      <w:lvlJc w:val="right"/>
      <w:pPr>
        <w:ind w:left="2961" w:hanging="420"/>
      </w:pPr>
    </w:lvl>
    <w:lvl w:ilvl="3" w:tentative="0">
      <w:start w:val="1"/>
      <w:numFmt w:val="decimal"/>
      <w:lvlText w:val="%4."/>
      <w:lvlJc w:val="left"/>
      <w:pPr>
        <w:ind w:left="3381" w:hanging="420"/>
      </w:pPr>
    </w:lvl>
    <w:lvl w:ilvl="4" w:tentative="0">
      <w:start w:val="1"/>
      <w:numFmt w:val="lowerLetter"/>
      <w:lvlText w:val="%5)"/>
      <w:lvlJc w:val="left"/>
      <w:pPr>
        <w:ind w:left="3801" w:hanging="420"/>
      </w:pPr>
    </w:lvl>
    <w:lvl w:ilvl="5" w:tentative="0">
      <w:start w:val="1"/>
      <w:numFmt w:val="lowerRoman"/>
      <w:lvlText w:val="%6."/>
      <w:lvlJc w:val="right"/>
      <w:pPr>
        <w:ind w:left="4221" w:hanging="420"/>
      </w:pPr>
    </w:lvl>
    <w:lvl w:ilvl="6" w:tentative="0">
      <w:start w:val="1"/>
      <w:numFmt w:val="decimal"/>
      <w:lvlText w:val="%7."/>
      <w:lvlJc w:val="left"/>
      <w:pPr>
        <w:ind w:left="4641" w:hanging="420"/>
      </w:pPr>
    </w:lvl>
    <w:lvl w:ilvl="7" w:tentative="0">
      <w:start w:val="1"/>
      <w:numFmt w:val="lowerLetter"/>
      <w:lvlText w:val="%8)"/>
      <w:lvlJc w:val="left"/>
      <w:pPr>
        <w:ind w:left="5061" w:hanging="420"/>
      </w:pPr>
    </w:lvl>
    <w:lvl w:ilvl="8" w:tentative="0">
      <w:start w:val="1"/>
      <w:numFmt w:val="lowerRoman"/>
      <w:lvlText w:val="%9."/>
      <w:lvlJc w:val="right"/>
      <w:pPr>
        <w:ind w:left="5481" w:hanging="420"/>
      </w:pPr>
    </w:lvl>
  </w:abstractNum>
  <w:abstractNum w:abstractNumId="9">
    <w:nsid w:val="0F3B8502"/>
    <w:multiLevelType w:val="singleLevel"/>
    <w:tmpl w:val="0F3B8502"/>
    <w:lvl w:ilvl="0" w:tentative="0">
      <w:start w:val="1"/>
      <w:numFmt w:val="chineseCounting"/>
      <w:suff w:val="nothing"/>
      <w:lvlText w:val="（%1）"/>
      <w:lvlJc w:val="left"/>
      <w:rPr>
        <w:rFonts w:hint="eastAsia"/>
      </w:rPr>
    </w:lvl>
  </w:abstractNum>
  <w:abstractNum w:abstractNumId="10">
    <w:nsid w:val="1579B33C"/>
    <w:multiLevelType w:val="singleLevel"/>
    <w:tmpl w:val="1579B33C"/>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1">
    <w:nsid w:val="1C0F739A"/>
    <w:multiLevelType w:val="singleLevel"/>
    <w:tmpl w:val="1C0F739A"/>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2">
    <w:nsid w:val="288C32E4"/>
    <w:multiLevelType w:val="multilevel"/>
    <w:tmpl w:val="288C32E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3">
    <w:nsid w:val="2F0E7B2B"/>
    <w:multiLevelType w:val="multilevel"/>
    <w:tmpl w:val="2F0E7B2B"/>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4">
    <w:nsid w:val="48CC94AA"/>
    <w:multiLevelType w:val="singleLevel"/>
    <w:tmpl w:val="48CC94AA"/>
    <w:lvl w:ilvl="0" w:tentative="0">
      <w:start w:val="1"/>
      <w:numFmt w:val="chineseCounting"/>
      <w:suff w:val="nothing"/>
      <w:lvlText w:val="（%1）"/>
      <w:lvlJc w:val="left"/>
      <w:rPr>
        <w:rFonts w:hint="eastAsia"/>
      </w:rPr>
    </w:lvl>
  </w:abstractNum>
  <w:abstractNum w:abstractNumId="15">
    <w:nsid w:val="49C161C6"/>
    <w:multiLevelType w:val="singleLevel"/>
    <w:tmpl w:val="49C161C6"/>
    <w:lvl w:ilvl="0" w:tentative="0">
      <w:start w:val="1"/>
      <w:numFmt w:val="chineseCounting"/>
      <w:suff w:val="nothing"/>
      <w:lvlText w:val="（%1）"/>
      <w:lvlJc w:val="left"/>
      <w:rPr>
        <w:rFonts w:hint="eastAsia"/>
      </w:rPr>
    </w:lvl>
  </w:abstractNum>
  <w:abstractNum w:abstractNumId="16">
    <w:nsid w:val="4CCCCDC4"/>
    <w:multiLevelType w:val="singleLevel"/>
    <w:tmpl w:val="4CCCCDC4"/>
    <w:lvl w:ilvl="0" w:tentative="0">
      <w:start w:val="1"/>
      <w:numFmt w:val="decimal"/>
      <w:suff w:val="nothing"/>
      <w:lvlText w:val="%1．"/>
      <w:lvlJc w:val="left"/>
      <w:pPr>
        <w:ind w:left="0" w:firstLine="400"/>
      </w:pPr>
      <w:rPr>
        <w:rFonts w:hint="default" w:ascii="宋体" w:hAnsi="宋体" w:eastAsia="宋体" w:cstheme="minorEastAsia"/>
        <w:sz w:val="21"/>
        <w:szCs w:val="21"/>
      </w:rPr>
    </w:lvl>
  </w:abstractNum>
  <w:abstractNum w:abstractNumId="17">
    <w:nsid w:val="4CE23F7C"/>
    <w:multiLevelType w:val="multilevel"/>
    <w:tmpl w:val="4CE23F7C"/>
    <w:lvl w:ilvl="0" w:tentative="0">
      <w:start w:val="1"/>
      <w:numFmt w:val="decimal"/>
      <w:lvlText w:val="(%1)"/>
      <w:lvlJc w:val="left"/>
      <w:pPr>
        <w:tabs>
          <w:tab w:val="left" w:pos="1200"/>
        </w:tabs>
        <w:ind w:left="1200" w:hanging="360"/>
      </w:pPr>
      <w:rPr>
        <w:rFonts w:hint="default"/>
      </w:rPr>
    </w:lvl>
    <w:lvl w:ilvl="1" w:tentative="0">
      <w:start w:val="1"/>
      <w:numFmt w:val="decimal"/>
      <w:lvlText w:val="%2．"/>
      <w:lvlJc w:val="left"/>
      <w:pPr>
        <w:tabs>
          <w:tab w:val="left" w:pos="1620"/>
        </w:tabs>
        <w:ind w:left="1620" w:hanging="360"/>
      </w:pPr>
      <w:rPr>
        <w:rFonts w:hint="default" w:ascii="宋体" w:hAnsi="宋体" w:eastAsia="宋体"/>
      </w:rPr>
    </w:lvl>
    <w:lvl w:ilvl="2" w:tentative="0">
      <w:start w:val="1"/>
      <w:numFmt w:val="lowerRoman"/>
      <w:lvlText w:val="%3."/>
      <w:lvlJc w:val="right"/>
      <w:pPr>
        <w:tabs>
          <w:tab w:val="left" w:pos="2100"/>
        </w:tabs>
        <w:ind w:left="2100" w:hanging="420"/>
      </w:pPr>
      <w:rPr>
        <w:rFonts w:hint="eastAsia"/>
      </w:rPr>
    </w:lvl>
    <w:lvl w:ilvl="3" w:tentative="0">
      <w:start w:val="1"/>
      <w:numFmt w:val="decimal"/>
      <w:lvlText w:val="%4."/>
      <w:lvlJc w:val="left"/>
      <w:pPr>
        <w:tabs>
          <w:tab w:val="left" w:pos="2520"/>
        </w:tabs>
        <w:ind w:left="2520" w:hanging="420"/>
      </w:pPr>
      <w:rPr>
        <w:rFonts w:hint="eastAsia"/>
      </w:rPr>
    </w:lvl>
    <w:lvl w:ilvl="4" w:tentative="0">
      <w:start w:val="1"/>
      <w:numFmt w:val="lowerLetter"/>
      <w:lvlText w:val="%5)"/>
      <w:lvlJc w:val="left"/>
      <w:pPr>
        <w:tabs>
          <w:tab w:val="left" w:pos="2940"/>
        </w:tabs>
        <w:ind w:left="2940" w:hanging="420"/>
      </w:pPr>
      <w:rPr>
        <w:rFonts w:hint="eastAsia"/>
      </w:rPr>
    </w:lvl>
    <w:lvl w:ilvl="5" w:tentative="0">
      <w:start w:val="1"/>
      <w:numFmt w:val="lowerRoman"/>
      <w:lvlText w:val="%6."/>
      <w:lvlJc w:val="right"/>
      <w:pPr>
        <w:tabs>
          <w:tab w:val="left" w:pos="3360"/>
        </w:tabs>
        <w:ind w:left="3360" w:hanging="420"/>
      </w:pPr>
      <w:rPr>
        <w:rFonts w:hint="eastAsia"/>
      </w:rPr>
    </w:lvl>
    <w:lvl w:ilvl="6" w:tentative="0">
      <w:start w:val="1"/>
      <w:numFmt w:val="decimal"/>
      <w:lvlText w:val="%7."/>
      <w:lvlJc w:val="left"/>
      <w:pPr>
        <w:tabs>
          <w:tab w:val="left" w:pos="3780"/>
        </w:tabs>
        <w:ind w:left="3780" w:hanging="420"/>
      </w:pPr>
      <w:rPr>
        <w:rFonts w:hint="eastAsia"/>
      </w:rPr>
    </w:lvl>
    <w:lvl w:ilvl="7" w:tentative="0">
      <w:start w:val="1"/>
      <w:numFmt w:val="lowerLetter"/>
      <w:lvlText w:val="%8)"/>
      <w:lvlJc w:val="left"/>
      <w:pPr>
        <w:tabs>
          <w:tab w:val="left" w:pos="4200"/>
        </w:tabs>
        <w:ind w:left="4200" w:hanging="420"/>
      </w:pPr>
      <w:rPr>
        <w:rFonts w:hint="eastAsia"/>
      </w:rPr>
    </w:lvl>
    <w:lvl w:ilvl="8" w:tentative="0">
      <w:start w:val="1"/>
      <w:numFmt w:val="lowerRoman"/>
      <w:lvlText w:val="%9."/>
      <w:lvlJc w:val="right"/>
      <w:pPr>
        <w:tabs>
          <w:tab w:val="left" w:pos="4620"/>
        </w:tabs>
        <w:ind w:left="4620" w:hanging="420"/>
      </w:pPr>
      <w:rPr>
        <w:rFonts w:hint="eastAsia"/>
      </w:rPr>
    </w:lvl>
  </w:abstractNum>
  <w:abstractNum w:abstractNumId="18">
    <w:nsid w:val="590DFEAE"/>
    <w:multiLevelType w:val="singleLevel"/>
    <w:tmpl w:val="590DFEAE"/>
    <w:lvl w:ilvl="0" w:tentative="0">
      <w:start w:val="1"/>
      <w:numFmt w:val="decimal"/>
      <w:suff w:val="nothing"/>
      <w:lvlText w:val="%1．"/>
      <w:lvlJc w:val="left"/>
      <w:pPr>
        <w:ind w:left="0" w:firstLine="400"/>
      </w:pPr>
      <w:rPr>
        <w:rFonts w:hint="default" w:ascii="宋体" w:hAnsi="宋体" w:eastAsia="宋体" w:cs="宋体"/>
        <w:sz w:val="21"/>
        <w:szCs w:val="21"/>
      </w:rPr>
    </w:lvl>
  </w:abstractNum>
  <w:abstractNum w:abstractNumId="19">
    <w:nsid w:val="63784A10"/>
    <w:multiLevelType w:val="multilevel"/>
    <w:tmpl w:val="63784A10"/>
    <w:lvl w:ilvl="0" w:tentative="0">
      <w:start w:val="1"/>
      <w:numFmt w:val="chineseCountingThousand"/>
      <w:suff w:val="nothing"/>
      <w:lvlText w:val="%1、"/>
      <w:lvlJc w:val="left"/>
      <w:pPr>
        <w:ind w:left="420" w:hanging="420"/>
      </w:pPr>
      <w:rPr>
        <w:rFonts w:hint="eastAsia"/>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6E19083E"/>
    <w:multiLevelType w:val="multilevel"/>
    <w:tmpl w:val="6E19083E"/>
    <w:lvl w:ilvl="0" w:tentative="0">
      <w:start w:val="1"/>
      <w:numFmt w:val="decimal"/>
      <w:lvlText w:val="%1."/>
      <w:lvlJc w:val="left"/>
      <w:pPr>
        <w:ind w:left="420" w:hanging="420"/>
      </w:pPr>
      <w:rPr>
        <w:rFonts w:hint="default"/>
        <w:sz w:val="21"/>
        <w:szCs w:val="21"/>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73EBE5CE"/>
    <w:multiLevelType w:val="singleLevel"/>
    <w:tmpl w:val="73EBE5CE"/>
    <w:lvl w:ilvl="0" w:tentative="0">
      <w:start w:val="1"/>
      <w:numFmt w:val="chineseCounting"/>
      <w:suff w:val="nothing"/>
      <w:lvlText w:val="（%1）"/>
      <w:lvlJc w:val="left"/>
      <w:rPr>
        <w:rFonts w:hint="eastAsia"/>
      </w:rPr>
    </w:lvl>
  </w:abstractNum>
  <w:num w:numId="1">
    <w:abstractNumId w:val="6"/>
  </w:num>
  <w:num w:numId="2">
    <w:abstractNumId w:val="19"/>
  </w:num>
  <w:num w:numId="3">
    <w:abstractNumId w:val="4"/>
  </w:num>
  <w:num w:numId="4">
    <w:abstractNumId w:val="16"/>
  </w:num>
  <w:num w:numId="5">
    <w:abstractNumId w:val="2"/>
  </w:num>
  <w:num w:numId="6">
    <w:abstractNumId w:val="7"/>
  </w:num>
  <w:num w:numId="7">
    <w:abstractNumId w:val="10"/>
  </w:num>
  <w:num w:numId="8">
    <w:abstractNumId w:val="18"/>
  </w:num>
  <w:num w:numId="9">
    <w:abstractNumId w:val="11"/>
  </w:num>
  <w:num w:numId="10">
    <w:abstractNumId w:val="3"/>
  </w:num>
  <w:num w:numId="11">
    <w:abstractNumId w:val="0"/>
  </w:num>
  <w:num w:numId="12">
    <w:abstractNumId w:val="8"/>
  </w:num>
  <w:num w:numId="13">
    <w:abstractNumId w:val="12"/>
  </w:num>
  <w:num w:numId="14">
    <w:abstractNumId w:val="5"/>
  </w:num>
  <w:num w:numId="15">
    <w:abstractNumId w:val="1"/>
  </w:num>
  <w:num w:numId="16">
    <w:abstractNumId w:val="15"/>
  </w:num>
  <w:num w:numId="17">
    <w:abstractNumId w:val="9"/>
  </w:num>
  <w:num w:numId="18">
    <w:abstractNumId w:val="21"/>
  </w:num>
  <w:num w:numId="19">
    <w:abstractNumId w:val="14"/>
  </w:num>
  <w:num w:numId="20">
    <w:abstractNumId w:val="20"/>
  </w:num>
  <w:num w:numId="21">
    <w:abstractNumId w:val="13"/>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Y3YzY5MzAyNjVjZjgyYmZhNzY3NjFiOWFkNThiZmIifQ=="/>
  </w:docVars>
  <w:rsids>
    <w:rsidRoot w:val="00172A27"/>
    <w:rsid w:val="00001575"/>
    <w:rsid w:val="00002015"/>
    <w:rsid w:val="000020F5"/>
    <w:rsid w:val="0000298A"/>
    <w:rsid w:val="00004AC4"/>
    <w:rsid w:val="00011A82"/>
    <w:rsid w:val="0001268B"/>
    <w:rsid w:val="0001551F"/>
    <w:rsid w:val="000163AB"/>
    <w:rsid w:val="0002391A"/>
    <w:rsid w:val="00025A4F"/>
    <w:rsid w:val="00026DD2"/>
    <w:rsid w:val="00027036"/>
    <w:rsid w:val="0003035B"/>
    <w:rsid w:val="00031E03"/>
    <w:rsid w:val="0003619D"/>
    <w:rsid w:val="00037EF8"/>
    <w:rsid w:val="000420C6"/>
    <w:rsid w:val="00042484"/>
    <w:rsid w:val="00042B6B"/>
    <w:rsid w:val="000431C9"/>
    <w:rsid w:val="00045E6F"/>
    <w:rsid w:val="00050534"/>
    <w:rsid w:val="00053978"/>
    <w:rsid w:val="000565F1"/>
    <w:rsid w:val="0005758A"/>
    <w:rsid w:val="00063DDD"/>
    <w:rsid w:val="0006472A"/>
    <w:rsid w:val="000648C8"/>
    <w:rsid w:val="00064E21"/>
    <w:rsid w:val="00065D12"/>
    <w:rsid w:val="00072D57"/>
    <w:rsid w:val="000747C1"/>
    <w:rsid w:val="000749D9"/>
    <w:rsid w:val="00075391"/>
    <w:rsid w:val="000765F3"/>
    <w:rsid w:val="00082CDE"/>
    <w:rsid w:val="00083BE6"/>
    <w:rsid w:val="00084AE8"/>
    <w:rsid w:val="00086BDC"/>
    <w:rsid w:val="00087B6C"/>
    <w:rsid w:val="00093652"/>
    <w:rsid w:val="00096436"/>
    <w:rsid w:val="0009761C"/>
    <w:rsid w:val="000A1C3F"/>
    <w:rsid w:val="000A53F4"/>
    <w:rsid w:val="000A6EA7"/>
    <w:rsid w:val="000A6FFF"/>
    <w:rsid w:val="000B040C"/>
    <w:rsid w:val="000B125D"/>
    <w:rsid w:val="000B3F59"/>
    <w:rsid w:val="000B4B0B"/>
    <w:rsid w:val="000B74EA"/>
    <w:rsid w:val="000C0210"/>
    <w:rsid w:val="000C34F6"/>
    <w:rsid w:val="000C36D9"/>
    <w:rsid w:val="000C3C5C"/>
    <w:rsid w:val="000C4F0F"/>
    <w:rsid w:val="000C5ABD"/>
    <w:rsid w:val="000D6670"/>
    <w:rsid w:val="000E1199"/>
    <w:rsid w:val="000E2947"/>
    <w:rsid w:val="000E2971"/>
    <w:rsid w:val="000E4C42"/>
    <w:rsid w:val="000E7F74"/>
    <w:rsid w:val="000F0B15"/>
    <w:rsid w:val="000F1249"/>
    <w:rsid w:val="000F190A"/>
    <w:rsid w:val="000F423D"/>
    <w:rsid w:val="000F4BE9"/>
    <w:rsid w:val="000F5CD4"/>
    <w:rsid w:val="0010235B"/>
    <w:rsid w:val="001025A3"/>
    <w:rsid w:val="00105511"/>
    <w:rsid w:val="00106CB3"/>
    <w:rsid w:val="00107E2D"/>
    <w:rsid w:val="00110D31"/>
    <w:rsid w:val="00111B57"/>
    <w:rsid w:val="00112326"/>
    <w:rsid w:val="0011556A"/>
    <w:rsid w:val="00116EDF"/>
    <w:rsid w:val="001200BB"/>
    <w:rsid w:val="00120F2D"/>
    <w:rsid w:val="00121739"/>
    <w:rsid w:val="001230A5"/>
    <w:rsid w:val="00123BEA"/>
    <w:rsid w:val="0012423F"/>
    <w:rsid w:val="001246FA"/>
    <w:rsid w:val="001304CF"/>
    <w:rsid w:val="00130E77"/>
    <w:rsid w:val="001322EE"/>
    <w:rsid w:val="001342F1"/>
    <w:rsid w:val="00135715"/>
    <w:rsid w:val="00140AD2"/>
    <w:rsid w:val="00142A87"/>
    <w:rsid w:val="00142ED9"/>
    <w:rsid w:val="00143DFC"/>
    <w:rsid w:val="00145AE8"/>
    <w:rsid w:val="00150A22"/>
    <w:rsid w:val="0015291E"/>
    <w:rsid w:val="00152A8B"/>
    <w:rsid w:val="00153377"/>
    <w:rsid w:val="00153535"/>
    <w:rsid w:val="001559E7"/>
    <w:rsid w:val="0015613F"/>
    <w:rsid w:val="0016171E"/>
    <w:rsid w:val="00171258"/>
    <w:rsid w:val="00172A27"/>
    <w:rsid w:val="001747DE"/>
    <w:rsid w:val="00175ECB"/>
    <w:rsid w:val="001775AE"/>
    <w:rsid w:val="001821A2"/>
    <w:rsid w:val="00182BE9"/>
    <w:rsid w:val="001863E0"/>
    <w:rsid w:val="00192DB4"/>
    <w:rsid w:val="00192F15"/>
    <w:rsid w:val="0019385A"/>
    <w:rsid w:val="001938B3"/>
    <w:rsid w:val="00196B4B"/>
    <w:rsid w:val="001976BF"/>
    <w:rsid w:val="00197932"/>
    <w:rsid w:val="00197AF2"/>
    <w:rsid w:val="001A0DDF"/>
    <w:rsid w:val="001A1273"/>
    <w:rsid w:val="001A1B4E"/>
    <w:rsid w:val="001A2DB1"/>
    <w:rsid w:val="001A5CD1"/>
    <w:rsid w:val="001A5D61"/>
    <w:rsid w:val="001A645B"/>
    <w:rsid w:val="001A7271"/>
    <w:rsid w:val="001A769F"/>
    <w:rsid w:val="001B066C"/>
    <w:rsid w:val="001B0A70"/>
    <w:rsid w:val="001B7077"/>
    <w:rsid w:val="001B74DB"/>
    <w:rsid w:val="001B7AA9"/>
    <w:rsid w:val="001C071E"/>
    <w:rsid w:val="001C3D61"/>
    <w:rsid w:val="001C43C7"/>
    <w:rsid w:val="001C6BE3"/>
    <w:rsid w:val="001C706F"/>
    <w:rsid w:val="001D1026"/>
    <w:rsid w:val="001D33E6"/>
    <w:rsid w:val="001D3E3B"/>
    <w:rsid w:val="001E48AC"/>
    <w:rsid w:val="001E5C33"/>
    <w:rsid w:val="001E7FCF"/>
    <w:rsid w:val="001F06FA"/>
    <w:rsid w:val="001F2370"/>
    <w:rsid w:val="001F3F8C"/>
    <w:rsid w:val="001F659A"/>
    <w:rsid w:val="001F6BDA"/>
    <w:rsid w:val="0020244C"/>
    <w:rsid w:val="002027A7"/>
    <w:rsid w:val="00203A34"/>
    <w:rsid w:val="00203F7F"/>
    <w:rsid w:val="002056C6"/>
    <w:rsid w:val="00211BE4"/>
    <w:rsid w:val="00215FE5"/>
    <w:rsid w:val="00220312"/>
    <w:rsid w:val="00220C4E"/>
    <w:rsid w:val="00220DEC"/>
    <w:rsid w:val="00225BB5"/>
    <w:rsid w:val="00225E58"/>
    <w:rsid w:val="00225EAF"/>
    <w:rsid w:val="00231216"/>
    <w:rsid w:val="00231F92"/>
    <w:rsid w:val="0023378C"/>
    <w:rsid w:val="00235E45"/>
    <w:rsid w:val="002379C7"/>
    <w:rsid w:val="00240B9C"/>
    <w:rsid w:val="00242936"/>
    <w:rsid w:val="0024390D"/>
    <w:rsid w:val="00251790"/>
    <w:rsid w:val="00251839"/>
    <w:rsid w:val="00251A7E"/>
    <w:rsid w:val="002530D3"/>
    <w:rsid w:val="00253352"/>
    <w:rsid w:val="00253DDC"/>
    <w:rsid w:val="002557FA"/>
    <w:rsid w:val="00256379"/>
    <w:rsid w:val="00262DAA"/>
    <w:rsid w:val="0026399A"/>
    <w:rsid w:val="00264A95"/>
    <w:rsid w:val="002674A4"/>
    <w:rsid w:val="00270E13"/>
    <w:rsid w:val="00271000"/>
    <w:rsid w:val="00274FF8"/>
    <w:rsid w:val="00280C1D"/>
    <w:rsid w:val="00281BBA"/>
    <w:rsid w:val="00283853"/>
    <w:rsid w:val="00283A1B"/>
    <w:rsid w:val="0028785D"/>
    <w:rsid w:val="0029025D"/>
    <w:rsid w:val="00291144"/>
    <w:rsid w:val="002920CA"/>
    <w:rsid w:val="00292756"/>
    <w:rsid w:val="00294228"/>
    <w:rsid w:val="002951F2"/>
    <w:rsid w:val="00296C2D"/>
    <w:rsid w:val="002A0C34"/>
    <w:rsid w:val="002A0EB2"/>
    <w:rsid w:val="002A1D82"/>
    <w:rsid w:val="002A1FE5"/>
    <w:rsid w:val="002A29ED"/>
    <w:rsid w:val="002A2B3D"/>
    <w:rsid w:val="002A50F6"/>
    <w:rsid w:val="002A778B"/>
    <w:rsid w:val="002B0574"/>
    <w:rsid w:val="002B0D6C"/>
    <w:rsid w:val="002B2701"/>
    <w:rsid w:val="002B2992"/>
    <w:rsid w:val="002B4DF8"/>
    <w:rsid w:val="002B5B00"/>
    <w:rsid w:val="002B6EEB"/>
    <w:rsid w:val="002C2CC8"/>
    <w:rsid w:val="002C4D08"/>
    <w:rsid w:val="002C7CC8"/>
    <w:rsid w:val="002D08D3"/>
    <w:rsid w:val="002D315A"/>
    <w:rsid w:val="002D3DFF"/>
    <w:rsid w:val="002D4006"/>
    <w:rsid w:val="002D4EBD"/>
    <w:rsid w:val="002D5B83"/>
    <w:rsid w:val="002D6145"/>
    <w:rsid w:val="002D724C"/>
    <w:rsid w:val="002D7CA4"/>
    <w:rsid w:val="002E0263"/>
    <w:rsid w:val="002E5F86"/>
    <w:rsid w:val="002E5FC8"/>
    <w:rsid w:val="002E61D3"/>
    <w:rsid w:val="002E66A9"/>
    <w:rsid w:val="002F0591"/>
    <w:rsid w:val="002F283E"/>
    <w:rsid w:val="002F352E"/>
    <w:rsid w:val="002F4A33"/>
    <w:rsid w:val="002F4E97"/>
    <w:rsid w:val="002F5E67"/>
    <w:rsid w:val="002F7111"/>
    <w:rsid w:val="003040A7"/>
    <w:rsid w:val="003102B9"/>
    <w:rsid w:val="003109AB"/>
    <w:rsid w:val="00312A4C"/>
    <w:rsid w:val="0031356B"/>
    <w:rsid w:val="00314060"/>
    <w:rsid w:val="00314810"/>
    <w:rsid w:val="00322D67"/>
    <w:rsid w:val="00325325"/>
    <w:rsid w:val="003271F9"/>
    <w:rsid w:val="00327C22"/>
    <w:rsid w:val="00331D5E"/>
    <w:rsid w:val="003326FA"/>
    <w:rsid w:val="00332AF3"/>
    <w:rsid w:val="00335975"/>
    <w:rsid w:val="0033696E"/>
    <w:rsid w:val="003369F2"/>
    <w:rsid w:val="00336F07"/>
    <w:rsid w:val="003378B7"/>
    <w:rsid w:val="00342E19"/>
    <w:rsid w:val="00353BC1"/>
    <w:rsid w:val="00355F34"/>
    <w:rsid w:val="00360E20"/>
    <w:rsid w:val="00361074"/>
    <w:rsid w:val="0036549C"/>
    <w:rsid w:val="00366797"/>
    <w:rsid w:val="003672F7"/>
    <w:rsid w:val="0036742B"/>
    <w:rsid w:val="003818F2"/>
    <w:rsid w:val="00382261"/>
    <w:rsid w:val="00383905"/>
    <w:rsid w:val="00384761"/>
    <w:rsid w:val="0038684E"/>
    <w:rsid w:val="003918F8"/>
    <w:rsid w:val="00392847"/>
    <w:rsid w:val="00392A80"/>
    <w:rsid w:val="00393D24"/>
    <w:rsid w:val="003940DD"/>
    <w:rsid w:val="00394537"/>
    <w:rsid w:val="00395A64"/>
    <w:rsid w:val="00395C9C"/>
    <w:rsid w:val="00396F62"/>
    <w:rsid w:val="003A0E3F"/>
    <w:rsid w:val="003A3DB1"/>
    <w:rsid w:val="003B0A20"/>
    <w:rsid w:val="003B2D68"/>
    <w:rsid w:val="003B400D"/>
    <w:rsid w:val="003B4506"/>
    <w:rsid w:val="003B48C0"/>
    <w:rsid w:val="003B4A20"/>
    <w:rsid w:val="003B5D20"/>
    <w:rsid w:val="003B5F6C"/>
    <w:rsid w:val="003B6D12"/>
    <w:rsid w:val="003B76C7"/>
    <w:rsid w:val="003C1806"/>
    <w:rsid w:val="003C419C"/>
    <w:rsid w:val="003C55BE"/>
    <w:rsid w:val="003D15B6"/>
    <w:rsid w:val="003D27BD"/>
    <w:rsid w:val="003D2DE8"/>
    <w:rsid w:val="003D3C42"/>
    <w:rsid w:val="003D460D"/>
    <w:rsid w:val="003D669F"/>
    <w:rsid w:val="003D68BE"/>
    <w:rsid w:val="003E01E6"/>
    <w:rsid w:val="003E07B6"/>
    <w:rsid w:val="003E0CCA"/>
    <w:rsid w:val="003E273C"/>
    <w:rsid w:val="003F38D5"/>
    <w:rsid w:val="003F475D"/>
    <w:rsid w:val="003F5029"/>
    <w:rsid w:val="003F5030"/>
    <w:rsid w:val="003F71EC"/>
    <w:rsid w:val="003F7B6C"/>
    <w:rsid w:val="0040104D"/>
    <w:rsid w:val="00403AB2"/>
    <w:rsid w:val="004122F2"/>
    <w:rsid w:val="004126CD"/>
    <w:rsid w:val="00412749"/>
    <w:rsid w:val="004135D0"/>
    <w:rsid w:val="00420AFB"/>
    <w:rsid w:val="004211A3"/>
    <w:rsid w:val="004229EE"/>
    <w:rsid w:val="00423364"/>
    <w:rsid w:val="00425F66"/>
    <w:rsid w:val="00431BF0"/>
    <w:rsid w:val="00431DBE"/>
    <w:rsid w:val="004339F3"/>
    <w:rsid w:val="00433B9F"/>
    <w:rsid w:val="004360C0"/>
    <w:rsid w:val="00437963"/>
    <w:rsid w:val="00437C88"/>
    <w:rsid w:val="00453557"/>
    <w:rsid w:val="00455556"/>
    <w:rsid w:val="00456ED5"/>
    <w:rsid w:val="0045760A"/>
    <w:rsid w:val="004610D7"/>
    <w:rsid w:val="004613B9"/>
    <w:rsid w:val="00464FC0"/>
    <w:rsid w:val="00467559"/>
    <w:rsid w:val="00467C41"/>
    <w:rsid w:val="0047081D"/>
    <w:rsid w:val="00471356"/>
    <w:rsid w:val="00473854"/>
    <w:rsid w:val="004738F6"/>
    <w:rsid w:val="004765F8"/>
    <w:rsid w:val="00476745"/>
    <w:rsid w:val="00476899"/>
    <w:rsid w:val="00484BE0"/>
    <w:rsid w:val="00491492"/>
    <w:rsid w:val="00492B35"/>
    <w:rsid w:val="00493336"/>
    <w:rsid w:val="00494623"/>
    <w:rsid w:val="004947D6"/>
    <w:rsid w:val="0049673B"/>
    <w:rsid w:val="00496883"/>
    <w:rsid w:val="00497014"/>
    <w:rsid w:val="00497F21"/>
    <w:rsid w:val="004A2BFC"/>
    <w:rsid w:val="004A36A8"/>
    <w:rsid w:val="004B02EC"/>
    <w:rsid w:val="004B2004"/>
    <w:rsid w:val="004B4136"/>
    <w:rsid w:val="004B41F3"/>
    <w:rsid w:val="004B57DA"/>
    <w:rsid w:val="004B7182"/>
    <w:rsid w:val="004C17C3"/>
    <w:rsid w:val="004C4B00"/>
    <w:rsid w:val="004C7651"/>
    <w:rsid w:val="004D1532"/>
    <w:rsid w:val="004D2165"/>
    <w:rsid w:val="004D2A3E"/>
    <w:rsid w:val="004D324F"/>
    <w:rsid w:val="004D491B"/>
    <w:rsid w:val="004D49EB"/>
    <w:rsid w:val="004D6D34"/>
    <w:rsid w:val="004E2580"/>
    <w:rsid w:val="004E3790"/>
    <w:rsid w:val="004F1479"/>
    <w:rsid w:val="00501334"/>
    <w:rsid w:val="00501F2E"/>
    <w:rsid w:val="005038D1"/>
    <w:rsid w:val="005046BA"/>
    <w:rsid w:val="00507361"/>
    <w:rsid w:val="00510554"/>
    <w:rsid w:val="00516292"/>
    <w:rsid w:val="005207F1"/>
    <w:rsid w:val="00521996"/>
    <w:rsid w:val="00522280"/>
    <w:rsid w:val="00522BC5"/>
    <w:rsid w:val="00524E63"/>
    <w:rsid w:val="005316BD"/>
    <w:rsid w:val="00532964"/>
    <w:rsid w:val="005336E5"/>
    <w:rsid w:val="00533B92"/>
    <w:rsid w:val="00534F6E"/>
    <w:rsid w:val="00535EEC"/>
    <w:rsid w:val="005370D2"/>
    <w:rsid w:val="00537A94"/>
    <w:rsid w:val="005412E9"/>
    <w:rsid w:val="00542DD1"/>
    <w:rsid w:val="005451EB"/>
    <w:rsid w:val="005456E9"/>
    <w:rsid w:val="005462F7"/>
    <w:rsid w:val="005512F5"/>
    <w:rsid w:val="00551E4C"/>
    <w:rsid w:val="00551FCE"/>
    <w:rsid w:val="005521A5"/>
    <w:rsid w:val="005537EE"/>
    <w:rsid w:val="00555B34"/>
    <w:rsid w:val="00562E65"/>
    <w:rsid w:val="00565168"/>
    <w:rsid w:val="005656FE"/>
    <w:rsid w:val="005678E8"/>
    <w:rsid w:val="00575F2C"/>
    <w:rsid w:val="00577172"/>
    <w:rsid w:val="0058282A"/>
    <w:rsid w:val="00583B83"/>
    <w:rsid w:val="0058579F"/>
    <w:rsid w:val="00585A83"/>
    <w:rsid w:val="00586BEF"/>
    <w:rsid w:val="00586CE0"/>
    <w:rsid w:val="005918ED"/>
    <w:rsid w:val="00591BC0"/>
    <w:rsid w:val="00591FF0"/>
    <w:rsid w:val="00593C7A"/>
    <w:rsid w:val="00594BE9"/>
    <w:rsid w:val="005958A3"/>
    <w:rsid w:val="005963C5"/>
    <w:rsid w:val="00596757"/>
    <w:rsid w:val="005971F2"/>
    <w:rsid w:val="005A0A16"/>
    <w:rsid w:val="005A3E75"/>
    <w:rsid w:val="005A749A"/>
    <w:rsid w:val="005B1D70"/>
    <w:rsid w:val="005B3711"/>
    <w:rsid w:val="005B68A5"/>
    <w:rsid w:val="005C064C"/>
    <w:rsid w:val="005C3A40"/>
    <w:rsid w:val="005C6A9D"/>
    <w:rsid w:val="005D0B0F"/>
    <w:rsid w:val="005D20E7"/>
    <w:rsid w:val="005D2C62"/>
    <w:rsid w:val="005D4A57"/>
    <w:rsid w:val="005D4E01"/>
    <w:rsid w:val="005D51FD"/>
    <w:rsid w:val="005D72B7"/>
    <w:rsid w:val="005D796C"/>
    <w:rsid w:val="005E2511"/>
    <w:rsid w:val="005E2C04"/>
    <w:rsid w:val="005E33E1"/>
    <w:rsid w:val="005E4015"/>
    <w:rsid w:val="005E532A"/>
    <w:rsid w:val="005E6ADF"/>
    <w:rsid w:val="005E70A2"/>
    <w:rsid w:val="005E748F"/>
    <w:rsid w:val="005E7A21"/>
    <w:rsid w:val="005F00ED"/>
    <w:rsid w:val="005F4F7A"/>
    <w:rsid w:val="005F6D53"/>
    <w:rsid w:val="005F7E9F"/>
    <w:rsid w:val="00602785"/>
    <w:rsid w:val="00603203"/>
    <w:rsid w:val="00603670"/>
    <w:rsid w:val="006037D5"/>
    <w:rsid w:val="006042CE"/>
    <w:rsid w:val="00610ABD"/>
    <w:rsid w:val="00611C74"/>
    <w:rsid w:val="00616532"/>
    <w:rsid w:val="00616AE3"/>
    <w:rsid w:val="00620F2C"/>
    <w:rsid w:val="0062190F"/>
    <w:rsid w:val="00621FC4"/>
    <w:rsid w:val="006225E9"/>
    <w:rsid w:val="00625BC4"/>
    <w:rsid w:val="00627F1C"/>
    <w:rsid w:val="00631641"/>
    <w:rsid w:val="00632D27"/>
    <w:rsid w:val="006333E3"/>
    <w:rsid w:val="00633B04"/>
    <w:rsid w:val="00635963"/>
    <w:rsid w:val="00640A36"/>
    <w:rsid w:val="0064715C"/>
    <w:rsid w:val="0065223B"/>
    <w:rsid w:val="00653613"/>
    <w:rsid w:val="00655177"/>
    <w:rsid w:val="00656124"/>
    <w:rsid w:val="00656896"/>
    <w:rsid w:val="0066018A"/>
    <w:rsid w:val="006617A4"/>
    <w:rsid w:val="00662408"/>
    <w:rsid w:val="006627AF"/>
    <w:rsid w:val="00663AB3"/>
    <w:rsid w:val="00663BA4"/>
    <w:rsid w:val="0066724C"/>
    <w:rsid w:val="00673379"/>
    <w:rsid w:val="0067437D"/>
    <w:rsid w:val="006779F7"/>
    <w:rsid w:val="00680244"/>
    <w:rsid w:val="00681118"/>
    <w:rsid w:val="006817FD"/>
    <w:rsid w:val="00684B65"/>
    <w:rsid w:val="00686967"/>
    <w:rsid w:val="006923B3"/>
    <w:rsid w:val="00693772"/>
    <w:rsid w:val="006948F2"/>
    <w:rsid w:val="006A5669"/>
    <w:rsid w:val="006A61C8"/>
    <w:rsid w:val="006A7286"/>
    <w:rsid w:val="006B07B5"/>
    <w:rsid w:val="006B1417"/>
    <w:rsid w:val="006B1BFB"/>
    <w:rsid w:val="006B20C7"/>
    <w:rsid w:val="006B5AEE"/>
    <w:rsid w:val="006B6F46"/>
    <w:rsid w:val="006B764E"/>
    <w:rsid w:val="006C1977"/>
    <w:rsid w:val="006C21DE"/>
    <w:rsid w:val="006C32CD"/>
    <w:rsid w:val="006C502F"/>
    <w:rsid w:val="006C61D6"/>
    <w:rsid w:val="006C74B2"/>
    <w:rsid w:val="006D213E"/>
    <w:rsid w:val="006D5FC6"/>
    <w:rsid w:val="006D6D99"/>
    <w:rsid w:val="006D7E04"/>
    <w:rsid w:val="006E49EA"/>
    <w:rsid w:val="00700C51"/>
    <w:rsid w:val="0070313B"/>
    <w:rsid w:val="00703552"/>
    <w:rsid w:val="00704006"/>
    <w:rsid w:val="00704031"/>
    <w:rsid w:val="00704043"/>
    <w:rsid w:val="00704721"/>
    <w:rsid w:val="00704C21"/>
    <w:rsid w:val="007056A1"/>
    <w:rsid w:val="007059E9"/>
    <w:rsid w:val="0071097B"/>
    <w:rsid w:val="00712762"/>
    <w:rsid w:val="007128C2"/>
    <w:rsid w:val="00713BF5"/>
    <w:rsid w:val="00714912"/>
    <w:rsid w:val="00715D44"/>
    <w:rsid w:val="00717FA5"/>
    <w:rsid w:val="00720646"/>
    <w:rsid w:val="007214B0"/>
    <w:rsid w:val="00721994"/>
    <w:rsid w:val="0072351E"/>
    <w:rsid w:val="00724E13"/>
    <w:rsid w:val="00726EDF"/>
    <w:rsid w:val="00732D61"/>
    <w:rsid w:val="0073379E"/>
    <w:rsid w:val="007342B9"/>
    <w:rsid w:val="00737515"/>
    <w:rsid w:val="00737E94"/>
    <w:rsid w:val="00741354"/>
    <w:rsid w:val="00742DA4"/>
    <w:rsid w:val="007440B0"/>
    <w:rsid w:val="007446AB"/>
    <w:rsid w:val="007470DA"/>
    <w:rsid w:val="007508D1"/>
    <w:rsid w:val="00750EF9"/>
    <w:rsid w:val="007511D9"/>
    <w:rsid w:val="0075190E"/>
    <w:rsid w:val="0075235C"/>
    <w:rsid w:val="00752A2A"/>
    <w:rsid w:val="00753A86"/>
    <w:rsid w:val="00753BEF"/>
    <w:rsid w:val="00756575"/>
    <w:rsid w:val="00757586"/>
    <w:rsid w:val="00761C9A"/>
    <w:rsid w:val="00762179"/>
    <w:rsid w:val="00762D01"/>
    <w:rsid w:val="00763B34"/>
    <w:rsid w:val="00766BD6"/>
    <w:rsid w:val="007701F7"/>
    <w:rsid w:val="007709C4"/>
    <w:rsid w:val="0077166C"/>
    <w:rsid w:val="0077194A"/>
    <w:rsid w:val="00772ED2"/>
    <w:rsid w:val="00772FCF"/>
    <w:rsid w:val="007747A4"/>
    <w:rsid w:val="007775AA"/>
    <w:rsid w:val="00781170"/>
    <w:rsid w:val="00781957"/>
    <w:rsid w:val="00783B9B"/>
    <w:rsid w:val="0078547A"/>
    <w:rsid w:val="00786D28"/>
    <w:rsid w:val="00787D25"/>
    <w:rsid w:val="00793437"/>
    <w:rsid w:val="0079465B"/>
    <w:rsid w:val="00795A2F"/>
    <w:rsid w:val="007979A5"/>
    <w:rsid w:val="007A04E9"/>
    <w:rsid w:val="007A3317"/>
    <w:rsid w:val="007B4DF4"/>
    <w:rsid w:val="007B5567"/>
    <w:rsid w:val="007B5732"/>
    <w:rsid w:val="007B645B"/>
    <w:rsid w:val="007B6F94"/>
    <w:rsid w:val="007C3D49"/>
    <w:rsid w:val="007C5792"/>
    <w:rsid w:val="007D677A"/>
    <w:rsid w:val="007D7980"/>
    <w:rsid w:val="007E12AF"/>
    <w:rsid w:val="007E26FA"/>
    <w:rsid w:val="007E3EDE"/>
    <w:rsid w:val="007E733A"/>
    <w:rsid w:val="007F19BA"/>
    <w:rsid w:val="007F26F4"/>
    <w:rsid w:val="007F33AC"/>
    <w:rsid w:val="007F35AB"/>
    <w:rsid w:val="007F6B25"/>
    <w:rsid w:val="007F6B65"/>
    <w:rsid w:val="007F6FD6"/>
    <w:rsid w:val="007F7604"/>
    <w:rsid w:val="0080065E"/>
    <w:rsid w:val="008034FC"/>
    <w:rsid w:val="00803518"/>
    <w:rsid w:val="0080602F"/>
    <w:rsid w:val="008067EE"/>
    <w:rsid w:val="00807D09"/>
    <w:rsid w:val="008116C0"/>
    <w:rsid w:val="00811E08"/>
    <w:rsid w:val="00812470"/>
    <w:rsid w:val="008124C1"/>
    <w:rsid w:val="00814714"/>
    <w:rsid w:val="00817DD8"/>
    <w:rsid w:val="00821A59"/>
    <w:rsid w:val="0082229E"/>
    <w:rsid w:val="00822940"/>
    <w:rsid w:val="00823C58"/>
    <w:rsid w:val="00825FF0"/>
    <w:rsid w:val="00830919"/>
    <w:rsid w:val="00831C16"/>
    <w:rsid w:val="00833845"/>
    <w:rsid w:val="00833F12"/>
    <w:rsid w:val="00837C42"/>
    <w:rsid w:val="008400B8"/>
    <w:rsid w:val="00842CF9"/>
    <w:rsid w:val="00845365"/>
    <w:rsid w:val="008457C7"/>
    <w:rsid w:val="0084654C"/>
    <w:rsid w:val="00847407"/>
    <w:rsid w:val="008474B3"/>
    <w:rsid w:val="0085371F"/>
    <w:rsid w:val="008537C7"/>
    <w:rsid w:val="00853CD4"/>
    <w:rsid w:val="008556E4"/>
    <w:rsid w:val="00856F2F"/>
    <w:rsid w:val="008579DC"/>
    <w:rsid w:val="0087021E"/>
    <w:rsid w:val="0087051C"/>
    <w:rsid w:val="008745C3"/>
    <w:rsid w:val="00875023"/>
    <w:rsid w:val="00880B3C"/>
    <w:rsid w:val="00881257"/>
    <w:rsid w:val="00882269"/>
    <w:rsid w:val="00882818"/>
    <w:rsid w:val="00882E5F"/>
    <w:rsid w:val="00885602"/>
    <w:rsid w:val="00886007"/>
    <w:rsid w:val="00895782"/>
    <w:rsid w:val="00897172"/>
    <w:rsid w:val="008A0026"/>
    <w:rsid w:val="008A04C9"/>
    <w:rsid w:val="008A5110"/>
    <w:rsid w:val="008A64BA"/>
    <w:rsid w:val="008A7093"/>
    <w:rsid w:val="008A75A4"/>
    <w:rsid w:val="008B2E54"/>
    <w:rsid w:val="008B4DAC"/>
    <w:rsid w:val="008B7BAC"/>
    <w:rsid w:val="008B7C71"/>
    <w:rsid w:val="008B7E88"/>
    <w:rsid w:val="008C19D2"/>
    <w:rsid w:val="008C2AB1"/>
    <w:rsid w:val="008C3917"/>
    <w:rsid w:val="008C5D09"/>
    <w:rsid w:val="008C71FA"/>
    <w:rsid w:val="008C7245"/>
    <w:rsid w:val="008D077F"/>
    <w:rsid w:val="008D0A5A"/>
    <w:rsid w:val="008D1A5C"/>
    <w:rsid w:val="008D2498"/>
    <w:rsid w:val="008D3E65"/>
    <w:rsid w:val="008D3EC0"/>
    <w:rsid w:val="008D3F33"/>
    <w:rsid w:val="008D522B"/>
    <w:rsid w:val="008E3CD8"/>
    <w:rsid w:val="008E46E6"/>
    <w:rsid w:val="008E49E5"/>
    <w:rsid w:val="008E51CB"/>
    <w:rsid w:val="008E6EDC"/>
    <w:rsid w:val="008E6F13"/>
    <w:rsid w:val="008E7415"/>
    <w:rsid w:val="008F2D22"/>
    <w:rsid w:val="008F3BD8"/>
    <w:rsid w:val="008F3E0F"/>
    <w:rsid w:val="008F3F79"/>
    <w:rsid w:val="008F480D"/>
    <w:rsid w:val="008F4909"/>
    <w:rsid w:val="008F512B"/>
    <w:rsid w:val="008F65FE"/>
    <w:rsid w:val="00901B6A"/>
    <w:rsid w:val="00903F1D"/>
    <w:rsid w:val="0090453C"/>
    <w:rsid w:val="00904D13"/>
    <w:rsid w:val="00906CA0"/>
    <w:rsid w:val="009078D4"/>
    <w:rsid w:val="009150C7"/>
    <w:rsid w:val="009150CB"/>
    <w:rsid w:val="00915753"/>
    <w:rsid w:val="0091577C"/>
    <w:rsid w:val="00916511"/>
    <w:rsid w:val="009175B6"/>
    <w:rsid w:val="00922711"/>
    <w:rsid w:val="009227C3"/>
    <w:rsid w:val="0092421F"/>
    <w:rsid w:val="00924768"/>
    <w:rsid w:val="00932E40"/>
    <w:rsid w:val="00937F4D"/>
    <w:rsid w:val="009408EE"/>
    <w:rsid w:val="00940CEB"/>
    <w:rsid w:val="009429F9"/>
    <w:rsid w:val="00943D8D"/>
    <w:rsid w:val="00945388"/>
    <w:rsid w:val="00945FC8"/>
    <w:rsid w:val="0094675A"/>
    <w:rsid w:val="009500CB"/>
    <w:rsid w:val="00950D89"/>
    <w:rsid w:val="009524B9"/>
    <w:rsid w:val="00954DA4"/>
    <w:rsid w:val="00961DA8"/>
    <w:rsid w:val="00966193"/>
    <w:rsid w:val="009666D4"/>
    <w:rsid w:val="009667F6"/>
    <w:rsid w:val="00966E16"/>
    <w:rsid w:val="00971D7B"/>
    <w:rsid w:val="00973FB1"/>
    <w:rsid w:val="00977403"/>
    <w:rsid w:val="00981FCF"/>
    <w:rsid w:val="00982732"/>
    <w:rsid w:val="009877F1"/>
    <w:rsid w:val="00990253"/>
    <w:rsid w:val="00990B0F"/>
    <w:rsid w:val="00991F41"/>
    <w:rsid w:val="00993352"/>
    <w:rsid w:val="009956C5"/>
    <w:rsid w:val="00997A02"/>
    <w:rsid w:val="009A1A5F"/>
    <w:rsid w:val="009A21C0"/>
    <w:rsid w:val="009A4BF3"/>
    <w:rsid w:val="009B0AAE"/>
    <w:rsid w:val="009B29E4"/>
    <w:rsid w:val="009B2D19"/>
    <w:rsid w:val="009B4D41"/>
    <w:rsid w:val="009B53C7"/>
    <w:rsid w:val="009B7D69"/>
    <w:rsid w:val="009C2257"/>
    <w:rsid w:val="009C2904"/>
    <w:rsid w:val="009C2D78"/>
    <w:rsid w:val="009C3FA5"/>
    <w:rsid w:val="009C51EA"/>
    <w:rsid w:val="009C78DB"/>
    <w:rsid w:val="009D0859"/>
    <w:rsid w:val="009D31DD"/>
    <w:rsid w:val="009D4746"/>
    <w:rsid w:val="009D4FC9"/>
    <w:rsid w:val="009E114C"/>
    <w:rsid w:val="009E2486"/>
    <w:rsid w:val="009E5075"/>
    <w:rsid w:val="009E5DDF"/>
    <w:rsid w:val="009E5F7B"/>
    <w:rsid w:val="009F0430"/>
    <w:rsid w:val="009F22AA"/>
    <w:rsid w:val="009F2EDB"/>
    <w:rsid w:val="00A01D8F"/>
    <w:rsid w:val="00A042E3"/>
    <w:rsid w:val="00A0472A"/>
    <w:rsid w:val="00A0505D"/>
    <w:rsid w:val="00A07001"/>
    <w:rsid w:val="00A100C9"/>
    <w:rsid w:val="00A130AF"/>
    <w:rsid w:val="00A13934"/>
    <w:rsid w:val="00A13E26"/>
    <w:rsid w:val="00A13E3E"/>
    <w:rsid w:val="00A16824"/>
    <w:rsid w:val="00A16C1A"/>
    <w:rsid w:val="00A202CE"/>
    <w:rsid w:val="00A220F9"/>
    <w:rsid w:val="00A258AD"/>
    <w:rsid w:val="00A27327"/>
    <w:rsid w:val="00A30C64"/>
    <w:rsid w:val="00A30F05"/>
    <w:rsid w:val="00A3377F"/>
    <w:rsid w:val="00A35A63"/>
    <w:rsid w:val="00A35F63"/>
    <w:rsid w:val="00A444BF"/>
    <w:rsid w:val="00A45013"/>
    <w:rsid w:val="00A45A6D"/>
    <w:rsid w:val="00A464C4"/>
    <w:rsid w:val="00A47BDB"/>
    <w:rsid w:val="00A54859"/>
    <w:rsid w:val="00A659A0"/>
    <w:rsid w:val="00A66E18"/>
    <w:rsid w:val="00A726B0"/>
    <w:rsid w:val="00A75AF1"/>
    <w:rsid w:val="00A82740"/>
    <w:rsid w:val="00A86D9B"/>
    <w:rsid w:val="00A87BA8"/>
    <w:rsid w:val="00A965B7"/>
    <w:rsid w:val="00A97A18"/>
    <w:rsid w:val="00AA05A2"/>
    <w:rsid w:val="00AA21E4"/>
    <w:rsid w:val="00AA2719"/>
    <w:rsid w:val="00AA4A01"/>
    <w:rsid w:val="00AA5DF6"/>
    <w:rsid w:val="00AA6955"/>
    <w:rsid w:val="00AA7ED0"/>
    <w:rsid w:val="00AB0155"/>
    <w:rsid w:val="00AB0AA3"/>
    <w:rsid w:val="00AB3CC0"/>
    <w:rsid w:val="00AB56C3"/>
    <w:rsid w:val="00AB5D1C"/>
    <w:rsid w:val="00AB6105"/>
    <w:rsid w:val="00AB7BF7"/>
    <w:rsid w:val="00AC013D"/>
    <w:rsid w:val="00AC06F4"/>
    <w:rsid w:val="00AC2AF9"/>
    <w:rsid w:val="00AD08E8"/>
    <w:rsid w:val="00AD3C05"/>
    <w:rsid w:val="00AD4B51"/>
    <w:rsid w:val="00AD6219"/>
    <w:rsid w:val="00AE270A"/>
    <w:rsid w:val="00AE2F48"/>
    <w:rsid w:val="00AE3ACD"/>
    <w:rsid w:val="00AF1D6C"/>
    <w:rsid w:val="00AF4372"/>
    <w:rsid w:val="00AF554C"/>
    <w:rsid w:val="00AF6CE7"/>
    <w:rsid w:val="00B001EF"/>
    <w:rsid w:val="00B0099A"/>
    <w:rsid w:val="00B02E03"/>
    <w:rsid w:val="00B03308"/>
    <w:rsid w:val="00B0473A"/>
    <w:rsid w:val="00B04D6C"/>
    <w:rsid w:val="00B06AE0"/>
    <w:rsid w:val="00B10D30"/>
    <w:rsid w:val="00B12112"/>
    <w:rsid w:val="00B141DC"/>
    <w:rsid w:val="00B16927"/>
    <w:rsid w:val="00B20305"/>
    <w:rsid w:val="00B2176B"/>
    <w:rsid w:val="00B25260"/>
    <w:rsid w:val="00B279BC"/>
    <w:rsid w:val="00B32B99"/>
    <w:rsid w:val="00B3302E"/>
    <w:rsid w:val="00B35791"/>
    <w:rsid w:val="00B36540"/>
    <w:rsid w:val="00B36C1D"/>
    <w:rsid w:val="00B408E8"/>
    <w:rsid w:val="00B43C18"/>
    <w:rsid w:val="00B45907"/>
    <w:rsid w:val="00B4687C"/>
    <w:rsid w:val="00B51124"/>
    <w:rsid w:val="00B525A8"/>
    <w:rsid w:val="00B5325D"/>
    <w:rsid w:val="00B535B6"/>
    <w:rsid w:val="00B5406D"/>
    <w:rsid w:val="00B57812"/>
    <w:rsid w:val="00B617FE"/>
    <w:rsid w:val="00B6725F"/>
    <w:rsid w:val="00B8446A"/>
    <w:rsid w:val="00B847DD"/>
    <w:rsid w:val="00B85FC9"/>
    <w:rsid w:val="00B86879"/>
    <w:rsid w:val="00B87A7E"/>
    <w:rsid w:val="00B93EFD"/>
    <w:rsid w:val="00B94232"/>
    <w:rsid w:val="00B9732A"/>
    <w:rsid w:val="00B97E78"/>
    <w:rsid w:val="00BA1245"/>
    <w:rsid w:val="00BA3877"/>
    <w:rsid w:val="00BA5022"/>
    <w:rsid w:val="00BA578C"/>
    <w:rsid w:val="00BB45E3"/>
    <w:rsid w:val="00BB4D08"/>
    <w:rsid w:val="00BB566D"/>
    <w:rsid w:val="00BB568F"/>
    <w:rsid w:val="00BB5881"/>
    <w:rsid w:val="00BB6105"/>
    <w:rsid w:val="00BB67EB"/>
    <w:rsid w:val="00BC0CC2"/>
    <w:rsid w:val="00BC17AC"/>
    <w:rsid w:val="00BC1A85"/>
    <w:rsid w:val="00BC1BB3"/>
    <w:rsid w:val="00BC2BB1"/>
    <w:rsid w:val="00BC4505"/>
    <w:rsid w:val="00BC697C"/>
    <w:rsid w:val="00BD23DA"/>
    <w:rsid w:val="00BD2C02"/>
    <w:rsid w:val="00BD3301"/>
    <w:rsid w:val="00BD441B"/>
    <w:rsid w:val="00BD4CD9"/>
    <w:rsid w:val="00BD7D5C"/>
    <w:rsid w:val="00BE0B0B"/>
    <w:rsid w:val="00BE1F48"/>
    <w:rsid w:val="00BE551B"/>
    <w:rsid w:val="00BF04FE"/>
    <w:rsid w:val="00BF0853"/>
    <w:rsid w:val="00BF3801"/>
    <w:rsid w:val="00BF568B"/>
    <w:rsid w:val="00BF62FF"/>
    <w:rsid w:val="00BF66FD"/>
    <w:rsid w:val="00BF7E28"/>
    <w:rsid w:val="00C00098"/>
    <w:rsid w:val="00C00F04"/>
    <w:rsid w:val="00C01BE6"/>
    <w:rsid w:val="00C02598"/>
    <w:rsid w:val="00C0320A"/>
    <w:rsid w:val="00C0560D"/>
    <w:rsid w:val="00C05846"/>
    <w:rsid w:val="00C05FC2"/>
    <w:rsid w:val="00C11F45"/>
    <w:rsid w:val="00C1424C"/>
    <w:rsid w:val="00C15D16"/>
    <w:rsid w:val="00C2026A"/>
    <w:rsid w:val="00C213D3"/>
    <w:rsid w:val="00C21B82"/>
    <w:rsid w:val="00C25F90"/>
    <w:rsid w:val="00C278CD"/>
    <w:rsid w:val="00C31252"/>
    <w:rsid w:val="00C343E7"/>
    <w:rsid w:val="00C34F24"/>
    <w:rsid w:val="00C35707"/>
    <w:rsid w:val="00C368FE"/>
    <w:rsid w:val="00C3710C"/>
    <w:rsid w:val="00C4048F"/>
    <w:rsid w:val="00C40805"/>
    <w:rsid w:val="00C4194F"/>
    <w:rsid w:val="00C432B9"/>
    <w:rsid w:val="00C455DD"/>
    <w:rsid w:val="00C476C2"/>
    <w:rsid w:val="00C541C5"/>
    <w:rsid w:val="00C56A1C"/>
    <w:rsid w:val="00C57887"/>
    <w:rsid w:val="00C57C0E"/>
    <w:rsid w:val="00C65789"/>
    <w:rsid w:val="00C71532"/>
    <w:rsid w:val="00C71BEB"/>
    <w:rsid w:val="00C7237C"/>
    <w:rsid w:val="00C734A3"/>
    <w:rsid w:val="00C73ACB"/>
    <w:rsid w:val="00C750A4"/>
    <w:rsid w:val="00C77307"/>
    <w:rsid w:val="00C776A4"/>
    <w:rsid w:val="00C83E6E"/>
    <w:rsid w:val="00C879E4"/>
    <w:rsid w:val="00C90DA1"/>
    <w:rsid w:val="00C93175"/>
    <w:rsid w:val="00C95241"/>
    <w:rsid w:val="00C96754"/>
    <w:rsid w:val="00C97F20"/>
    <w:rsid w:val="00CA090A"/>
    <w:rsid w:val="00CA0CCB"/>
    <w:rsid w:val="00CA0FD7"/>
    <w:rsid w:val="00CA16E6"/>
    <w:rsid w:val="00CA4B30"/>
    <w:rsid w:val="00CB6E6C"/>
    <w:rsid w:val="00CC0C1F"/>
    <w:rsid w:val="00CC144A"/>
    <w:rsid w:val="00CC17D4"/>
    <w:rsid w:val="00CC360F"/>
    <w:rsid w:val="00CD0F63"/>
    <w:rsid w:val="00CD143C"/>
    <w:rsid w:val="00CD1BFD"/>
    <w:rsid w:val="00CD3E4C"/>
    <w:rsid w:val="00CD57F2"/>
    <w:rsid w:val="00CE31D1"/>
    <w:rsid w:val="00CE40AF"/>
    <w:rsid w:val="00CE71FC"/>
    <w:rsid w:val="00CF1563"/>
    <w:rsid w:val="00CF2666"/>
    <w:rsid w:val="00CF33E9"/>
    <w:rsid w:val="00CF4CB1"/>
    <w:rsid w:val="00CF5659"/>
    <w:rsid w:val="00CF59AA"/>
    <w:rsid w:val="00CF63FE"/>
    <w:rsid w:val="00CF6FBA"/>
    <w:rsid w:val="00CF740A"/>
    <w:rsid w:val="00D002F2"/>
    <w:rsid w:val="00D01471"/>
    <w:rsid w:val="00D015A2"/>
    <w:rsid w:val="00D01C96"/>
    <w:rsid w:val="00D072C2"/>
    <w:rsid w:val="00D07411"/>
    <w:rsid w:val="00D10E67"/>
    <w:rsid w:val="00D1464D"/>
    <w:rsid w:val="00D16BC8"/>
    <w:rsid w:val="00D17205"/>
    <w:rsid w:val="00D2020D"/>
    <w:rsid w:val="00D221F4"/>
    <w:rsid w:val="00D24487"/>
    <w:rsid w:val="00D30631"/>
    <w:rsid w:val="00D30F45"/>
    <w:rsid w:val="00D32910"/>
    <w:rsid w:val="00D34AF1"/>
    <w:rsid w:val="00D35554"/>
    <w:rsid w:val="00D37457"/>
    <w:rsid w:val="00D3756F"/>
    <w:rsid w:val="00D37961"/>
    <w:rsid w:val="00D41ED3"/>
    <w:rsid w:val="00D4308A"/>
    <w:rsid w:val="00D467C0"/>
    <w:rsid w:val="00D46C62"/>
    <w:rsid w:val="00D471DE"/>
    <w:rsid w:val="00D52852"/>
    <w:rsid w:val="00D533FC"/>
    <w:rsid w:val="00D56FAE"/>
    <w:rsid w:val="00D61271"/>
    <w:rsid w:val="00D638E3"/>
    <w:rsid w:val="00D7179D"/>
    <w:rsid w:val="00D71805"/>
    <w:rsid w:val="00D72607"/>
    <w:rsid w:val="00D75A05"/>
    <w:rsid w:val="00D76EA0"/>
    <w:rsid w:val="00D802A7"/>
    <w:rsid w:val="00D81927"/>
    <w:rsid w:val="00D81F05"/>
    <w:rsid w:val="00D8243A"/>
    <w:rsid w:val="00D8277B"/>
    <w:rsid w:val="00D82EF0"/>
    <w:rsid w:val="00D834B2"/>
    <w:rsid w:val="00D91FD6"/>
    <w:rsid w:val="00D9480E"/>
    <w:rsid w:val="00D9501D"/>
    <w:rsid w:val="00D953AB"/>
    <w:rsid w:val="00D9541F"/>
    <w:rsid w:val="00D95437"/>
    <w:rsid w:val="00D95FC8"/>
    <w:rsid w:val="00D96CBE"/>
    <w:rsid w:val="00D975EF"/>
    <w:rsid w:val="00DA5395"/>
    <w:rsid w:val="00DA5447"/>
    <w:rsid w:val="00DA677A"/>
    <w:rsid w:val="00DB0B46"/>
    <w:rsid w:val="00DB5622"/>
    <w:rsid w:val="00DB5EF9"/>
    <w:rsid w:val="00DB7920"/>
    <w:rsid w:val="00DC210E"/>
    <w:rsid w:val="00DC75B0"/>
    <w:rsid w:val="00DD0ADC"/>
    <w:rsid w:val="00DD1F0C"/>
    <w:rsid w:val="00DD24EB"/>
    <w:rsid w:val="00DD2C2A"/>
    <w:rsid w:val="00DD3557"/>
    <w:rsid w:val="00DD4221"/>
    <w:rsid w:val="00DE0BAD"/>
    <w:rsid w:val="00DE4DB0"/>
    <w:rsid w:val="00DE53C9"/>
    <w:rsid w:val="00DE5AA0"/>
    <w:rsid w:val="00DE758B"/>
    <w:rsid w:val="00DF33C2"/>
    <w:rsid w:val="00DF6672"/>
    <w:rsid w:val="00DF706C"/>
    <w:rsid w:val="00E00F1C"/>
    <w:rsid w:val="00E01F9F"/>
    <w:rsid w:val="00E05F4A"/>
    <w:rsid w:val="00E06F98"/>
    <w:rsid w:val="00E07AB9"/>
    <w:rsid w:val="00E127FA"/>
    <w:rsid w:val="00E14234"/>
    <w:rsid w:val="00E224EE"/>
    <w:rsid w:val="00E2431E"/>
    <w:rsid w:val="00E255DD"/>
    <w:rsid w:val="00E300EB"/>
    <w:rsid w:val="00E30ED5"/>
    <w:rsid w:val="00E31B8A"/>
    <w:rsid w:val="00E33E2A"/>
    <w:rsid w:val="00E3421A"/>
    <w:rsid w:val="00E34EB3"/>
    <w:rsid w:val="00E379DA"/>
    <w:rsid w:val="00E406E3"/>
    <w:rsid w:val="00E40769"/>
    <w:rsid w:val="00E40E7D"/>
    <w:rsid w:val="00E44F9A"/>
    <w:rsid w:val="00E4552F"/>
    <w:rsid w:val="00E456ED"/>
    <w:rsid w:val="00E46F4E"/>
    <w:rsid w:val="00E527AA"/>
    <w:rsid w:val="00E52B0C"/>
    <w:rsid w:val="00E53646"/>
    <w:rsid w:val="00E543DA"/>
    <w:rsid w:val="00E548C7"/>
    <w:rsid w:val="00E5656D"/>
    <w:rsid w:val="00E572FC"/>
    <w:rsid w:val="00E63355"/>
    <w:rsid w:val="00E66F6B"/>
    <w:rsid w:val="00E67320"/>
    <w:rsid w:val="00E70313"/>
    <w:rsid w:val="00E70A80"/>
    <w:rsid w:val="00E737BB"/>
    <w:rsid w:val="00E81F84"/>
    <w:rsid w:val="00E82C2C"/>
    <w:rsid w:val="00E8475B"/>
    <w:rsid w:val="00E84F37"/>
    <w:rsid w:val="00E90AAC"/>
    <w:rsid w:val="00E91255"/>
    <w:rsid w:val="00E9203C"/>
    <w:rsid w:val="00E94445"/>
    <w:rsid w:val="00E96562"/>
    <w:rsid w:val="00EA08B8"/>
    <w:rsid w:val="00EA1D68"/>
    <w:rsid w:val="00EA69E1"/>
    <w:rsid w:val="00EA6C46"/>
    <w:rsid w:val="00EB0F51"/>
    <w:rsid w:val="00EB3C3C"/>
    <w:rsid w:val="00EB3E5D"/>
    <w:rsid w:val="00EB6BB0"/>
    <w:rsid w:val="00EC6A4D"/>
    <w:rsid w:val="00EC6B71"/>
    <w:rsid w:val="00ED0357"/>
    <w:rsid w:val="00ED24E6"/>
    <w:rsid w:val="00ED260C"/>
    <w:rsid w:val="00ED362A"/>
    <w:rsid w:val="00ED5181"/>
    <w:rsid w:val="00ED718C"/>
    <w:rsid w:val="00EE154B"/>
    <w:rsid w:val="00EE203B"/>
    <w:rsid w:val="00EE22B8"/>
    <w:rsid w:val="00EE23D0"/>
    <w:rsid w:val="00EE333B"/>
    <w:rsid w:val="00EE582B"/>
    <w:rsid w:val="00EE6332"/>
    <w:rsid w:val="00EE6D68"/>
    <w:rsid w:val="00EE7439"/>
    <w:rsid w:val="00EF093B"/>
    <w:rsid w:val="00EF0966"/>
    <w:rsid w:val="00EF1B95"/>
    <w:rsid w:val="00EF3265"/>
    <w:rsid w:val="00EF34E8"/>
    <w:rsid w:val="00EF5F21"/>
    <w:rsid w:val="00F03B8D"/>
    <w:rsid w:val="00F04B90"/>
    <w:rsid w:val="00F124EF"/>
    <w:rsid w:val="00F12E3C"/>
    <w:rsid w:val="00F14926"/>
    <w:rsid w:val="00F14A8B"/>
    <w:rsid w:val="00F15985"/>
    <w:rsid w:val="00F1651A"/>
    <w:rsid w:val="00F16A55"/>
    <w:rsid w:val="00F20B12"/>
    <w:rsid w:val="00F20BBF"/>
    <w:rsid w:val="00F21DD8"/>
    <w:rsid w:val="00F2484C"/>
    <w:rsid w:val="00F264F6"/>
    <w:rsid w:val="00F309A5"/>
    <w:rsid w:val="00F31DBA"/>
    <w:rsid w:val="00F31E19"/>
    <w:rsid w:val="00F327D2"/>
    <w:rsid w:val="00F3488B"/>
    <w:rsid w:val="00F411AD"/>
    <w:rsid w:val="00F45183"/>
    <w:rsid w:val="00F461FE"/>
    <w:rsid w:val="00F4747C"/>
    <w:rsid w:val="00F5165D"/>
    <w:rsid w:val="00F523A2"/>
    <w:rsid w:val="00F53FE6"/>
    <w:rsid w:val="00F565AC"/>
    <w:rsid w:val="00F567CD"/>
    <w:rsid w:val="00F60BF8"/>
    <w:rsid w:val="00F61BF6"/>
    <w:rsid w:val="00F61DA9"/>
    <w:rsid w:val="00F62AC7"/>
    <w:rsid w:val="00F634E5"/>
    <w:rsid w:val="00F67ABD"/>
    <w:rsid w:val="00F705B7"/>
    <w:rsid w:val="00F71BEE"/>
    <w:rsid w:val="00F71CB5"/>
    <w:rsid w:val="00F743B8"/>
    <w:rsid w:val="00F74919"/>
    <w:rsid w:val="00F76D5D"/>
    <w:rsid w:val="00F8153C"/>
    <w:rsid w:val="00F81D39"/>
    <w:rsid w:val="00F83627"/>
    <w:rsid w:val="00F84356"/>
    <w:rsid w:val="00F93A6A"/>
    <w:rsid w:val="00F950E8"/>
    <w:rsid w:val="00FA18E9"/>
    <w:rsid w:val="00FA298F"/>
    <w:rsid w:val="00FA5D03"/>
    <w:rsid w:val="00FA6232"/>
    <w:rsid w:val="00FB12F9"/>
    <w:rsid w:val="00FB2582"/>
    <w:rsid w:val="00FB58C3"/>
    <w:rsid w:val="00FC04A0"/>
    <w:rsid w:val="00FC116F"/>
    <w:rsid w:val="00FC16EE"/>
    <w:rsid w:val="00FC353C"/>
    <w:rsid w:val="00FC3C36"/>
    <w:rsid w:val="00FC6969"/>
    <w:rsid w:val="00FD12C6"/>
    <w:rsid w:val="00FD28E2"/>
    <w:rsid w:val="00FD2EB8"/>
    <w:rsid w:val="00FD300A"/>
    <w:rsid w:val="00FD56B9"/>
    <w:rsid w:val="00FE0869"/>
    <w:rsid w:val="00FE1170"/>
    <w:rsid w:val="00FE1C63"/>
    <w:rsid w:val="00FE3A2F"/>
    <w:rsid w:val="00FE422C"/>
    <w:rsid w:val="00FE61D2"/>
    <w:rsid w:val="00FF04E2"/>
    <w:rsid w:val="00FF0ED7"/>
    <w:rsid w:val="00FF424F"/>
    <w:rsid w:val="00FF46E4"/>
    <w:rsid w:val="016966EF"/>
    <w:rsid w:val="016A6C79"/>
    <w:rsid w:val="01702465"/>
    <w:rsid w:val="02181129"/>
    <w:rsid w:val="02CE4282"/>
    <w:rsid w:val="02E42FCA"/>
    <w:rsid w:val="033112BB"/>
    <w:rsid w:val="03316E9F"/>
    <w:rsid w:val="04375C44"/>
    <w:rsid w:val="052B2EF5"/>
    <w:rsid w:val="05ED15B8"/>
    <w:rsid w:val="05FB2573"/>
    <w:rsid w:val="060A4CCD"/>
    <w:rsid w:val="062251E4"/>
    <w:rsid w:val="06327957"/>
    <w:rsid w:val="067C1BC2"/>
    <w:rsid w:val="06A03941"/>
    <w:rsid w:val="06B56F6B"/>
    <w:rsid w:val="06BA455D"/>
    <w:rsid w:val="06FD3346"/>
    <w:rsid w:val="07560F7E"/>
    <w:rsid w:val="07FA1E3B"/>
    <w:rsid w:val="08380D9F"/>
    <w:rsid w:val="08C136B6"/>
    <w:rsid w:val="08E32A0F"/>
    <w:rsid w:val="090D12BC"/>
    <w:rsid w:val="0936476E"/>
    <w:rsid w:val="09476ADF"/>
    <w:rsid w:val="098413F8"/>
    <w:rsid w:val="09BC2FDC"/>
    <w:rsid w:val="09CF5276"/>
    <w:rsid w:val="09D75DE9"/>
    <w:rsid w:val="09ED2957"/>
    <w:rsid w:val="09F22026"/>
    <w:rsid w:val="0A117003"/>
    <w:rsid w:val="0A47106E"/>
    <w:rsid w:val="0A6F7AD4"/>
    <w:rsid w:val="0AD27DEA"/>
    <w:rsid w:val="0AF9203D"/>
    <w:rsid w:val="0B2602D7"/>
    <w:rsid w:val="0B430904"/>
    <w:rsid w:val="0B515A26"/>
    <w:rsid w:val="0B571438"/>
    <w:rsid w:val="0B742F24"/>
    <w:rsid w:val="0C5602B0"/>
    <w:rsid w:val="0C72525B"/>
    <w:rsid w:val="0C7D3B27"/>
    <w:rsid w:val="0C96145B"/>
    <w:rsid w:val="0CBC3BE7"/>
    <w:rsid w:val="0CBE46E5"/>
    <w:rsid w:val="0D040750"/>
    <w:rsid w:val="0D5D1325"/>
    <w:rsid w:val="0D8A1656"/>
    <w:rsid w:val="0DE83E06"/>
    <w:rsid w:val="0E317E14"/>
    <w:rsid w:val="0E46090A"/>
    <w:rsid w:val="0E6D18B9"/>
    <w:rsid w:val="0EB2188B"/>
    <w:rsid w:val="0ED75C3A"/>
    <w:rsid w:val="0EDD0C64"/>
    <w:rsid w:val="0F201CB9"/>
    <w:rsid w:val="10174DC2"/>
    <w:rsid w:val="10864BAF"/>
    <w:rsid w:val="10923864"/>
    <w:rsid w:val="10983171"/>
    <w:rsid w:val="10B77AEB"/>
    <w:rsid w:val="10CA7EC9"/>
    <w:rsid w:val="10ED1E00"/>
    <w:rsid w:val="10F548A0"/>
    <w:rsid w:val="11075A69"/>
    <w:rsid w:val="1110351D"/>
    <w:rsid w:val="112B19A0"/>
    <w:rsid w:val="114233DA"/>
    <w:rsid w:val="11493F48"/>
    <w:rsid w:val="11551A52"/>
    <w:rsid w:val="115A3E79"/>
    <w:rsid w:val="11B40F84"/>
    <w:rsid w:val="11B60016"/>
    <w:rsid w:val="11EA7CDE"/>
    <w:rsid w:val="12644413"/>
    <w:rsid w:val="126802A3"/>
    <w:rsid w:val="127D190F"/>
    <w:rsid w:val="12AF2DD9"/>
    <w:rsid w:val="12B02B5B"/>
    <w:rsid w:val="12EA7C02"/>
    <w:rsid w:val="12FB03D7"/>
    <w:rsid w:val="13BE7229"/>
    <w:rsid w:val="13F34567"/>
    <w:rsid w:val="14347E1A"/>
    <w:rsid w:val="144249E3"/>
    <w:rsid w:val="146C6F48"/>
    <w:rsid w:val="14C916D8"/>
    <w:rsid w:val="14EF039A"/>
    <w:rsid w:val="14F03EE3"/>
    <w:rsid w:val="15836A73"/>
    <w:rsid w:val="159C2AA3"/>
    <w:rsid w:val="15A13F9D"/>
    <w:rsid w:val="15A9411A"/>
    <w:rsid w:val="15CF03BA"/>
    <w:rsid w:val="15F32D11"/>
    <w:rsid w:val="16310E1E"/>
    <w:rsid w:val="169B6010"/>
    <w:rsid w:val="16AD27BB"/>
    <w:rsid w:val="16C15797"/>
    <w:rsid w:val="171470CF"/>
    <w:rsid w:val="17276DB1"/>
    <w:rsid w:val="175956CC"/>
    <w:rsid w:val="1800477F"/>
    <w:rsid w:val="18017181"/>
    <w:rsid w:val="181A5423"/>
    <w:rsid w:val="1834418E"/>
    <w:rsid w:val="183C1E47"/>
    <w:rsid w:val="18894896"/>
    <w:rsid w:val="188B01B5"/>
    <w:rsid w:val="188B647F"/>
    <w:rsid w:val="18A13EA5"/>
    <w:rsid w:val="19074C20"/>
    <w:rsid w:val="19256F3A"/>
    <w:rsid w:val="192C29EE"/>
    <w:rsid w:val="19925F08"/>
    <w:rsid w:val="199D0371"/>
    <w:rsid w:val="19EC2827"/>
    <w:rsid w:val="1A0A1E61"/>
    <w:rsid w:val="1A3758F9"/>
    <w:rsid w:val="1A396D97"/>
    <w:rsid w:val="1AAF13A6"/>
    <w:rsid w:val="1AF8069A"/>
    <w:rsid w:val="1B1A5A9B"/>
    <w:rsid w:val="1B1F150E"/>
    <w:rsid w:val="1BE16AA3"/>
    <w:rsid w:val="1BE2748B"/>
    <w:rsid w:val="1BE740D4"/>
    <w:rsid w:val="1C13053F"/>
    <w:rsid w:val="1C18719A"/>
    <w:rsid w:val="1C3A66DC"/>
    <w:rsid w:val="1C6B65D4"/>
    <w:rsid w:val="1C8F124D"/>
    <w:rsid w:val="1D1055B3"/>
    <w:rsid w:val="1D4E78C1"/>
    <w:rsid w:val="1D58705A"/>
    <w:rsid w:val="1E0625F1"/>
    <w:rsid w:val="1E3B0316"/>
    <w:rsid w:val="1E670328"/>
    <w:rsid w:val="1EAE3EEF"/>
    <w:rsid w:val="1EB24774"/>
    <w:rsid w:val="1ED136BD"/>
    <w:rsid w:val="1ED47F4C"/>
    <w:rsid w:val="1F0A3B6F"/>
    <w:rsid w:val="1F143A1A"/>
    <w:rsid w:val="1F48227E"/>
    <w:rsid w:val="1F790D8E"/>
    <w:rsid w:val="1F92627F"/>
    <w:rsid w:val="1F977357"/>
    <w:rsid w:val="1FE118EA"/>
    <w:rsid w:val="200902A2"/>
    <w:rsid w:val="2018233B"/>
    <w:rsid w:val="202C4BA0"/>
    <w:rsid w:val="2031368A"/>
    <w:rsid w:val="204D1ECB"/>
    <w:rsid w:val="205F63BF"/>
    <w:rsid w:val="20664287"/>
    <w:rsid w:val="206E0E34"/>
    <w:rsid w:val="20F37AF2"/>
    <w:rsid w:val="21037791"/>
    <w:rsid w:val="21D175BF"/>
    <w:rsid w:val="22025911"/>
    <w:rsid w:val="224B2353"/>
    <w:rsid w:val="226D7AEF"/>
    <w:rsid w:val="228E14B2"/>
    <w:rsid w:val="22F000F4"/>
    <w:rsid w:val="232C463A"/>
    <w:rsid w:val="2343188A"/>
    <w:rsid w:val="23753379"/>
    <w:rsid w:val="23BD489B"/>
    <w:rsid w:val="240C5608"/>
    <w:rsid w:val="242E5DB2"/>
    <w:rsid w:val="24B453FA"/>
    <w:rsid w:val="24BE3ED8"/>
    <w:rsid w:val="24DC02C5"/>
    <w:rsid w:val="251A6680"/>
    <w:rsid w:val="251D5715"/>
    <w:rsid w:val="259D1B90"/>
    <w:rsid w:val="25BF29AE"/>
    <w:rsid w:val="25C76443"/>
    <w:rsid w:val="25F767DC"/>
    <w:rsid w:val="26496A09"/>
    <w:rsid w:val="26525F4D"/>
    <w:rsid w:val="267F67D1"/>
    <w:rsid w:val="26866652"/>
    <w:rsid w:val="26A21E48"/>
    <w:rsid w:val="26A91D83"/>
    <w:rsid w:val="26E1050A"/>
    <w:rsid w:val="27151420"/>
    <w:rsid w:val="27614470"/>
    <w:rsid w:val="27760C10"/>
    <w:rsid w:val="28154713"/>
    <w:rsid w:val="284726EB"/>
    <w:rsid w:val="28C419ED"/>
    <w:rsid w:val="28DF3FCB"/>
    <w:rsid w:val="29D04C89"/>
    <w:rsid w:val="2A170906"/>
    <w:rsid w:val="2A7810F6"/>
    <w:rsid w:val="2A8F0D6E"/>
    <w:rsid w:val="2ABC2F92"/>
    <w:rsid w:val="2AF249C8"/>
    <w:rsid w:val="2B192609"/>
    <w:rsid w:val="2B434CEA"/>
    <w:rsid w:val="2BD85A0F"/>
    <w:rsid w:val="2BDE0EA6"/>
    <w:rsid w:val="2BE94FAA"/>
    <w:rsid w:val="2C0E18E2"/>
    <w:rsid w:val="2C1A3224"/>
    <w:rsid w:val="2C297D77"/>
    <w:rsid w:val="2CB953F3"/>
    <w:rsid w:val="2CC94C4A"/>
    <w:rsid w:val="2CDE5811"/>
    <w:rsid w:val="2D4743CC"/>
    <w:rsid w:val="2D9A1762"/>
    <w:rsid w:val="2DC67C95"/>
    <w:rsid w:val="2DE67895"/>
    <w:rsid w:val="2E13683F"/>
    <w:rsid w:val="2E4F7ABC"/>
    <w:rsid w:val="2E7C2EEB"/>
    <w:rsid w:val="2F8B41C5"/>
    <w:rsid w:val="2FAF1ED5"/>
    <w:rsid w:val="2FB8401E"/>
    <w:rsid w:val="2FD110DF"/>
    <w:rsid w:val="2FD95850"/>
    <w:rsid w:val="3009348A"/>
    <w:rsid w:val="302B3CBF"/>
    <w:rsid w:val="302E54F0"/>
    <w:rsid w:val="30A86A7E"/>
    <w:rsid w:val="31496CA7"/>
    <w:rsid w:val="316E6392"/>
    <w:rsid w:val="32696F31"/>
    <w:rsid w:val="32A565BD"/>
    <w:rsid w:val="32A91D1A"/>
    <w:rsid w:val="32D37A29"/>
    <w:rsid w:val="331160E3"/>
    <w:rsid w:val="336F2764"/>
    <w:rsid w:val="33E1128E"/>
    <w:rsid w:val="343C3F54"/>
    <w:rsid w:val="344C3B08"/>
    <w:rsid w:val="348E34F1"/>
    <w:rsid w:val="34A37145"/>
    <w:rsid w:val="34D67866"/>
    <w:rsid w:val="34E70363"/>
    <w:rsid w:val="35B41300"/>
    <w:rsid w:val="3609309B"/>
    <w:rsid w:val="36126706"/>
    <w:rsid w:val="372E75BF"/>
    <w:rsid w:val="379F77B6"/>
    <w:rsid w:val="390458AE"/>
    <w:rsid w:val="392803B0"/>
    <w:rsid w:val="39425EA4"/>
    <w:rsid w:val="39A45FA5"/>
    <w:rsid w:val="39CE5C35"/>
    <w:rsid w:val="39FA04A7"/>
    <w:rsid w:val="3A23021F"/>
    <w:rsid w:val="3AC337DD"/>
    <w:rsid w:val="3B490A10"/>
    <w:rsid w:val="3B864C9E"/>
    <w:rsid w:val="3B9260FC"/>
    <w:rsid w:val="3C1B4F26"/>
    <w:rsid w:val="3C4A1D69"/>
    <w:rsid w:val="3C964B49"/>
    <w:rsid w:val="3D18595F"/>
    <w:rsid w:val="3D817CF7"/>
    <w:rsid w:val="3DB54D85"/>
    <w:rsid w:val="3E7616F0"/>
    <w:rsid w:val="3ED849D5"/>
    <w:rsid w:val="3EE37DED"/>
    <w:rsid w:val="3F025588"/>
    <w:rsid w:val="3F5B3E28"/>
    <w:rsid w:val="3FAE3F57"/>
    <w:rsid w:val="40552625"/>
    <w:rsid w:val="40E165C9"/>
    <w:rsid w:val="40E67721"/>
    <w:rsid w:val="413435BC"/>
    <w:rsid w:val="41701D64"/>
    <w:rsid w:val="41AC5CCE"/>
    <w:rsid w:val="41CC7D33"/>
    <w:rsid w:val="41DA1B40"/>
    <w:rsid w:val="41F14923"/>
    <w:rsid w:val="41FC16B9"/>
    <w:rsid w:val="42B85710"/>
    <w:rsid w:val="42F4328A"/>
    <w:rsid w:val="435C3439"/>
    <w:rsid w:val="43773A88"/>
    <w:rsid w:val="43784CFA"/>
    <w:rsid w:val="438D1DAF"/>
    <w:rsid w:val="439D3B2B"/>
    <w:rsid w:val="43A00300"/>
    <w:rsid w:val="44796D3B"/>
    <w:rsid w:val="44861074"/>
    <w:rsid w:val="44A2656B"/>
    <w:rsid w:val="44B32765"/>
    <w:rsid w:val="450D6168"/>
    <w:rsid w:val="451F3201"/>
    <w:rsid w:val="452A026D"/>
    <w:rsid w:val="453E5011"/>
    <w:rsid w:val="456816EF"/>
    <w:rsid w:val="459E2DC7"/>
    <w:rsid w:val="45A5284F"/>
    <w:rsid w:val="45E345BD"/>
    <w:rsid w:val="45FB2764"/>
    <w:rsid w:val="464E468D"/>
    <w:rsid w:val="46A3378F"/>
    <w:rsid w:val="46BA6A35"/>
    <w:rsid w:val="46C3379F"/>
    <w:rsid w:val="46EB5A91"/>
    <w:rsid w:val="4755115C"/>
    <w:rsid w:val="47562682"/>
    <w:rsid w:val="476A0C71"/>
    <w:rsid w:val="476D6AAD"/>
    <w:rsid w:val="476E7816"/>
    <w:rsid w:val="47972728"/>
    <w:rsid w:val="47DB5B06"/>
    <w:rsid w:val="480E696D"/>
    <w:rsid w:val="483A21D4"/>
    <w:rsid w:val="48B546B5"/>
    <w:rsid w:val="48BB1A0F"/>
    <w:rsid w:val="49163AAD"/>
    <w:rsid w:val="49466876"/>
    <w:rsid w:val="49A10C72"/>
    <w:rsid w:val="49C50B06"/>
    <w:rsid w:val="49ED12FF"/>
    <w:rsid w:val="49ED181F"/>
    <w:rsid w:val="4A71531C"/>
    <w:rsid w:val="4AFD2237"/>
    <w:rsid w:val="4B1F447C"/>
    <w:rsid w:val="4BD04C50"/>
    <w:rsid w:val="4BF41FBC"/>
    <w:rsid w:val="4BFD59E8"/>
    <w:rsid w:val="4C052E47"/>
    <w:rsid w:val="4C7D3E20"/>
    <w:rsid w:val="4CB9011E"/>
    <w:rsid w:val="4CBC5A8D"/>
    <w:rsid w:val="4CC3066D"/>
    <w:rsid w:val="4CDA0323"/>
    <w:rsid w:val="4D2E217E"/>
    <w:rsid w:val="4D925376"/>
    <w:rsid w:val="4DA17D7B"/>
    <w:rsid w:val="4DA27B88"/>
    <w:rsid w:val="4E160689"/>
    <w:rsid w:val="4E1A4C63"/>
    <w:rsid w:val="4E4F1264"/>
    <w:rsid w:val="4E4F167F"/>
    <w:rsid w:val="4E537616"/>
    <w:rsid w:val="4E5C33D0"/>
    <w:rsid w:val="4E6D6B7D"/>
    <w:rsid w:val="4E7E472B"/>
    <w:rsid w:val="4EAF015A"/>
    <w:rsid w:val="4ED35765"/>
    <w:rsid w:val="4EF8468A"/>
    <w:rsid w:val="4F3B3178"/>
    <w:rsid w:val="4F407689"/>
    <w:rsid w:val="4F971FE8"/>
    <w:rsid w:val="4FA72089"/>
    <w:rsid w:val="4FD83BD6"/>
    <w:rsid w:val="4FE305E6"/>
    <w:rsid w:val="50836E8D"/>
    <w:rsid w:val="5115591C"/>
    <w:rsid w:val="511C07E9"/>
    <w:rsid w:val="51705837"/>
    <w:rsid w:val="519F1952"/>
    <w:rsid w:val="51A644B6"/>
    <w:rsid w:val="51F04F66"/>
    <w:rsid w:val="51F10EA6"/>
    <w:rsid w:val="51F16B7B"/>
    <w:rsid w:val="526D5EF3"/>
    <w:rsid w:val="52B04FC1"/>
    <w:rsid w:val="53737AE7"/>
    <w:rsid w:val="537D3C2D"/>
    <w:rsid w:val="537F3BB6"/>
    <w:rsid w:val="53C42785"/>
    <w:rsid w:val="5430250C"/>
    <w:rsid w:val="54A82839"/>
    <w:rsid w:val="54D1276A"/>
    <w:rsid w:val="54F22F39"/>
    <w:rsid w:val="551F39A7"/>
    <w:rsid w:val="551F739C"/>
    <w:rsid w:val="554E6FE3"/>
    <w:rsid w:val="556F72BE"/>
    <w:rsid w:val="558B26A7"/>
    <w:rsid w:val="55A84294"/>
    <w:rsid w:val="55C8387E"/>
    <w:rsid w:val="55CB2018"/>
    <w:rsid w:val="55CF0985"/>
    <w:rsid w:val="56766AE4"/>
    <w:rsid w:val="567D42D7"/>
    <w:rsid w:val="56AF61EA"/>
    <w:rsid w:val="56CB7685"/>
    <w:rsid w:val="56FD215F"/>
    <w:rsid w:val="5714693E"/>
    <w:rsid w:val="57290E23"/>
    <w:rsid w:val="57320A55"/>
    <w:rsid w:val="574D1632"/>
    <w:rsid w:val="5789229C"/>
    <w:rsid w:val="57AF3F9F"/>
    <w:rsid w:val="57B845C7"/>
    <w:rsid w:val="57E86FEA"/>
    <w:rsid w:val="58055C31"/>
    <w:rsid w:val="58161CC5"/>
    <w:rsid w:val="581C5F45"/>
    <w:rsid w:val="58302FAC"/>
    <w:rsid w:val="583F0C9A"/>
    <w:rsid w:val="585C1D2F"/>
    <w:rsid w:val="5897303C"/>
    <w:rsid w:val="595819D9"/>
    <w:rsid w:val="598E2946"/>
    <w:rsid w:val="59ED6E7E"/>
    <w:rsid w:val="59F36CDF"/>
    <w:rsid w:val="5A410F44"/>
    <w:rsid w:val="5A494331"/>
    <w:rsid w:val="5ADE53AE"/>
    <w:rsid w:val="5AED3F95"/>
    <w:rsid w:val="5B041299"/>
    <w:rsid w:val="5B0B5FE1"/>
    <w:rsid w:val="5B3577D0"/>
    <w:rsid w:val="5B5222F3"/>
    <w:rsid w:val="5BDC0201"/>
    <w:rsid w:val="5C271306"/>
    <w:rsid w:val="5C386DDC"/>
    <w:rsid w:val="5C390560"/>
    <w:rsid w:val="5C82229F"/>
    <w:rsid w:val="5CBE3743"/>
    <w:rsid w:val="5CD86660"/>
    <w:rsid w:val="5D160AEB"/>
    <w:rsid w:val="5D3A70EE"/>
    <w:rsid w:val="5D716AB2"/>
    <w:rsid w:val="5DB645C1"/>
    <w:rsid w:val="5DC9323D"/>
    <w:rsid w:val="5DD154CB"/>
    <w:rsid w:val="5E4C0B1A"/>
    <w:rsid w:val="5E6C042B"/>
    <w:rsid w:val="5E7C233A"/>
    <w:rsid w:val="5E7E1860"/>
    <w:rsid w:val="5E905572"/>
    <w:rsid w:val="5EBF1885"/>
    <w:rsid w:val="5F0026B1"/>
    <w:rsid w:val="5F1A2F16"/>
    <w:rsid w:val="5F685CA0"/>
    <w:rsid w:val="5F9E1458"/>
    <w:rsid w:val="5FE82928"/>
    <w:rsid w:val="60CF21A4"/>
    <w:rsid w:val="610374C0"/>
    <w:rsid w:val="611665D5"/>
    <w:rsid w:val="61251AAF"/>
    <w:rsid w:val="617F6D8C"/>
    <w:rsid w:val="61D90439"/>
    <w:rsid w:val="61DF2A10"/>
    <w:rsid w:val="62045801"/>
    <w:rsid w:val="627A29E2"/>
    <w:rsid w:val="62B631CD"/>
    <w:rsid w:val="62C21041"/>
    <w:rsid w:val="62CB2154"/>
    <w:rsid w:val="633C28F4"/>
    <w:rsid w:val="637C4BF3"/>
    <w:rsid w:val="638330D1"/>
    <w:rsid w:val="649164CF"/>
    <w:rsid w:val="65174EBB"/>
    <w:rsid w:val="658D448B"/>
    <w:rsid w:val="659869BD"/>
    <w:rsid w:val="65AF4A62"/>
    <w:rsid w:val="66617477"/>
    <w:rsid w:val="66872E2E"/>
    <w:rsid w:val="66C71A37"/>
    <w:rsid w:val="67593913"/>
    <w:rsid w:val="679005ED"/>
    <w:rsid w:val="679F6A27"/>
    <w:rsid w:val="67B1082B"/>
    <w:rsid w:val="68005FED"/>
    <w:rsid w:val="68290824"/>
    <w:rsid w:val="689F578C"/>
    <w:rsid w:val="68B40B56"/>
    <w:rsid w:val="68E32AC1"/>
    <w:rsid w:val="69715434"/>
    <w:rsid w:val="697C6F00"/>
    <w:rsid w:val="69F00E5C"/>
    <w:rsid w:val="69F31A87"/>
    <w:rsid w:val="6A144440"/>
    <w:rsid w:val="6A1E3F06"/>
    <w:rsid w:val="6AF9099E"/>
    <w:rsid w:val="6B0B793D"/>
    <w:rsid w:val="6B206CF4"/>
    <w:rsid w:val="6BAF79B1"/>
    <w:rsid w:val="6BE50451"/>
    <w:rsid w:val="6BEB1554"/>
    <w:rsid w:val="6C420E48"/>
    <w:rsid w:val="6C536ED6"/>
    <w:rsid w:val="6CB63946"/>
    <w:rsid w:val="6CCB3AEB"/>
    <w:rsid w:val="6D46194F"/>
    <w:rsid w:val="6D8B51C3"/>
    <w:rsid w:val="6DA106DD"/>
    <w:rsid w:val="6DA8219D"/>
    <w:rsid w:val="6DC607CE"/>
    <w:rsid w:val="6E0F6C86"/>
    <w:rsid w:val="6E5A17A0"/>
    <w:rsid w:val="6E6F3C8C"/>
    <w:rsid w:val="6E9C7AFE"/>
    <w:rsid w:val="6EB94846"/>
    <w:rsid w:val="6ECC7CC8"/>
    <w:rsid w:val="6EE467D5"/>
    <w:rsid w:val="6EF24EBF"/>
    <w:rsid w:val="6F066B9B"/>
    <w:rsid w:val="6FD809F9"/>
    <w:rsid w:val="703F6E9D"/>
    <w:rsid w:val="70661545"/>
    <w:rsid w:val="70F74EAF"/>
    <w:rsid w:val="710768CA"/>
    <w:rsid w:val="71B7463E"/>
    <w:rsid w:val="71D76E63"/>
    <w:rsid w:val="722A023A"/>
    <w:rsid w:val="72CE3338"/>
    <w:rsid w:val="72EE3A33"/>
    <w:rsid w:val="73A94346"/>
    <w:rsid w:val="73C53042"/>
    <w:rsid w:val="73C62871"/>
    <w:rsid w:val="73FF22EE"/>
    <w:rsid w:val="745D7266"/>
    <w:rsid w:val="74A25F6B"/>
    <w:rsid w:val="75232317"/>
    <w:rsid w:val="75657B4A"/>
    <w:rsid w:val="758B0E6A"/>
    <w:rsid w:val="759C71EE"/>
    <w:rsid w:val="75B16BC8"/>
    <w:rsid w:val="75B66909"/>
    <w:rsid w:val="75EB0D6F"/>
    <w:rsid w:val="760A6ABF"/>
    <w:rsid w:val="762E3521"/>
    <w:rsid w:val="76770854"/>
    <w:rsid w:val="76916271"/>
    <w:rsid w:val="7777006E"/>
    <w:rsid w:val="77EB11DD"/>
    <w:rsid w:val="78113ED6"/>
    <w:rsid w:val="78724754"/>
    <w:rsid w:val="79001A14"/>
    <w:rsid w:val="79AE2ADA"/>
    <w:rsid w:val="7A3B3167"/>
    <w:rsid w:val="7A697344"/>
    <w:rsid w:val="7A6E74FD"/>
    <w:rsid w:val="7A7E5845"/>
    <w:rsid w:val="7A9674E6"/>
    <w:rsid w:val="7B6F7701"/>
    <w:rsid w:val="7C475C7F"/>
    <w:rsid w:val="7C491C89"/>
    <w:rsid w:val="7C6B3819"/>
    <w:rsid w:val="7C9469C9"/>
    <w:rsid w:val="7CED21F4"/>
    <w:rsid w:val="7CEF62FD"/>
    <w:rsid w:val="7D0761B8"/>
    <w:rsid w:val="7D31799A"/>
    <w:rsid w:val="7D4C471A"/>
    <w:rsid w:val="7D78565E"/>
    <w:rsid w:val="7DBF3442"/>
    <w:rsid w:val="7DC23320"/>
    <w:rsid w:val="7DFD6003"/>
    <w:rsid w:val="7E550395"/>
    <w:rsid w:val="7EAB113D"/>
    <w:rsid w:val="7EAD711E"/>
    <w:rsid w:val="7F6000C3"/>
    <w:rsid w:val="7F926A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qFormat="1" w:uiPriority="99" w:name="footnote text"/>
    <w:lsdException w:qFormat="1" w:uiPriority="99" w:semiHidden="0"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0"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qFormat="1"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after="160" w:line="278" w:lineRule="auto"/>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link w:val="57"/>
    <w:qFormat/>
    <w:uiPriority w:val="9"/>
    <w:pPr>
      <w:keepNext/>
      <w:keepLines/>
      <w:spacing w:before="340" w:after="330" w:line="576" w:lineRule="auto"/>
      <w:outlineLvl w:val="0"/>
    </w:pPr>
    <w:rPr>
      <w:rFonts w:ascii="Times New Roman" w:hAnsi="Times New Roman" w:eastAsia="宋体" w:cs="Times New Roman"/>
      <w:b/>
      <w:bCs/>
      <w:kern w:val="44"/>
      <w:sz w:val="44"/>
      <w:szCs w:val="44"/>
    </w:rPr>
  </w:style>
  <w:style w:type="paragraph" w:styleId="6">
    <w:name w:val="heading 2"/>
    <w:basedOn w:val="1"/>
    <w:next w:val="1"/>
    <w:link w:val="87"/>
    <w:qFormat/>
    <w:uiPriority w:val="0"/>
    <w:pPr>
      <w:keepNext/>
      <w:keepLines/>
      <w:spacing w:before="260" w:after="260" w:line="416" w:lineRule="auto"/>
      <w:outlineLvl w:val="1"/>
    </w:pPr>
    <w:rPr>
      <w:rFonts w:ascii="Arial" w:hAnsi="Arial" w:eastAsia="黑体" w:cs="Times New Roman"/>
      <w:b/>
      <w:bCs/>
      <w:sz w:val="32"/>
      <w:szCs w:val="32"/>
    </w:rPr>
  </w:style>
  <w:style w:type="paragraph" w:styleId="7">
    <w:name w:val="heading 3"/>
    <w:basedOn w:val="1"/>
    <w:next w:val="1"/>
    <w:link w:val="63"/>
    <w:semiHidden/>
    <w:unhideWhenUsed/>
    <w:qFormat/>
    <w:uiPriority w:val="9"/>
    <w:pPr>
      <w:keepNext/>
      <w:keepLines/>
      <w:spacing w:before="260" w:after="260" w:line="413" w:lineRule="auto"/>
      <w:outlineLvl w:val="2"/>
    </w:pPr>
    <w:rPr>
      <w:b/>
      <w:sz w:val="32"/>
    </w:rPr>
  </w:style>
  <w:style w:type="character" w:default="1" w:styleId="26">
    <w:name w:val="Default Paragraph Font"/>
    <w:semiHidden/>
    <w:unhideWhenUsed/>
    <w:qFormat/>
    <w:uiPriority w:val="1"/>
  </w:style>
  <w:style w:type="table" w:default="1" w:styleId="2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link w:val="49"/>
    <w:semiHidden/>
    <w:unhideWhenUsed/>
    <w:qFormat/>
    <w:uiPriority w:val="99"/>
    <w:pPr>
      <w:autoSpaceDE w:val="0"/>
      <w:autoSpaceDN w:val="0"/>
      <w:adjustRightInd w:val="0"/>
      <w:ind w:firstLine="420" w:firstLineChars="200"/>
      <w:jc w:val="left"/>
    </w:pPr>
    <w:rPr>
      <w:rFonts w:hint="eastAsia" w:ascii="宋体" w:hAnsi="Times New Roman" w:eastAsia="宋体" w:cs="Times New Roman"/>
      <w:kern w:val="0"/>
      <w:sz w:val="24"/>
      <w:szCs w:val="24"/>
    </w:rPr>
  </w:style>
  <w:style w:type="paragraph" w:styleId="3">
    <w:name w:val="Body Text Indent"/>
    <w:basedOn w:val="1"/>
    <w:next w:val="4"/>
    <w:link w:val="90"/>
    <w:semiHidden/>
    <w:unhideWhenUsed/>
    <w:qFormat/>
    <w:uiPriority w:val="99"/>
    <w:pPr>
      <w:spacing w:after="120"/>
      <w:ind w:left="420" w:leftChars="200"/>
    </w:pPr>
  </w:style>
  <w:style w:type="paragraph" w:styleId="4">
    <w:name w:val="envelope return"/>
    <w:basedOn w:val="1"/>
    <w:qFormat/>
    <w:uiPriority w:val="0"/>
    <w:pPr>
      <w:snapToGrid w:val="0"/>
    </w:pPr>
    <w:rPr>
      <w:rFonts w:ascii="Arial" w:hAnsi="Arial"/>
    </w:rPr>
  </w:style>
  <w:style w:type="paragraph" w:styleId="8">
    <w:name w:val="Normal Indent"/>
    <w:basedOn w:val="1"/>
    <w:unhideWhenUsed/>
    <w:qFormat/>
    <w:uiPriority w:val="0"/>
    <w:pPr>
      <w:spacing w:line="60" w:lineRule="auto"/>
      <w:ind w:firstLine="420" w:firstLineChars="200"/>
    </w:pPr>
    <w:rPr>
      <w:rFonts w:ascii="Times New Roman" w:hAnsi="Times New Roman" w:eastAsia="宋体" w:cs="Times New Roman"/>
      <w:szCs w:val="24"/>
    </w:rPr>
  </w:style>
  <w:style w:type="paragraph" w:styleId="9">
    <w:name w:val="toa heading"/>
    <w:basedOn w:val="1"/>
    <w:next w:val="1"/>
    <w:unhideWhenUsed/>
    <w:qFormat/>
    <w:uiPriority w:val="0"/>
    <w:pPr>
      <w:autoSpaceDE w:val="0"/>
      <w:autoSpaceDN w:val="0"/>
      <w:adjustRightInd w:val="0"/>
      <w:spacing w:before="120"/>
      <w:jc w:val="left"/>
    </w:pPr>
    <w:rPr>
      <w:rFonts w:asciiTheme="majorHAnsi" w:hAnsiTheme="majorHAnsi" w:eastAsiaTheme="majorEastAsia" w:cstheme="majorBidi"/>
      <w:kern w:val="0"/>
      <w:sz w:val="24"/>
      <w:szCs w:val="24"/>
    </w:rPr>
  </w:style>
  <w:style w:type="paragraph" w:styleId="10">
    <w:name w:val="annotation text"/>
    <w:basedOn w:val="1"/>
    <w:link w:val="88"/>
    <w:unhideWhenUsed/>
    <w:qFormat/>
    <w:uiPriority w:val="99"/>
    <w:pPr>
      <w:jc w:val="left"/>
    </w:pPr>
    <w:rPr>
      <w:rFonts w:ascii="Times New Roman" w:hAnsi="Times New Roman" w:eastAsia="宋体" w:cs="Times New Roman"/>
      <w:szCs w:val="24"/>
    </w:rPr>
  </w:style>
  <w:style w:type="paragraph" w:styleId="11">
    <w:name w:val="Body Text"/>
    <w:basedOn w:val="1"/>
    <w:next w:val="1"/>
    <w:link w:val="93"/>
    <w:semiHidden/>
    <w:unhideWhenUsed/>
    <w:qFormat/>
    <w:uiPriority w:val="99"/>
    <w:pPr>
      <w:spacing w:after="120"/>
    </w:pPr>
  </w:style>
  <w:style w:type="paragraph" w:styleId="12">
    <w:name w:val="Plain Text"/>
    <w:basedOn w:val="1"/>
    <w:link w:val="62"/>
    <w:qFormat/>
    <w:uiPriority w:val="0"/>
    <w:rPr>
      <w:rFonts w:ascii="宋体" w:hAnsi="Courier New" w:eastAsia="宋体" w:cs="Times New Roman"/>
      <w:kern w:val="0"/>
      <w:sz w:val="20"/>
      <w:szCs w:val="21"/>
    </w:rPr>
  </w:style>
  <w:style w:type="paragraph" w:styleId="13">
    <w:name w:val="Balloon Text"/>
    <w:basedOn w:val="1"/>
    <w:link w:val="34"/>
    <w:semiHidden/>
    <w:unhideWhenUsed/>
    <w:qFormat/>
    <w:uiPriority w:val="99"/>
    <w:rPr>
      <w:sz w:val="18"/>
      <w:szCs w:val="18"/>
    </w:rPr>
  </w:style>
  <w:style w:type="paragraph" w:styleId="14">
    <w:name w:val="footer"/>
    <w:basedOn w:val="1"/>
    <w:link w:val="58"/>
    <w:unhideWhenUsed/>
    <w:qFormat/>
    <w:uiPriority w:val="0"/>
    <w:pPr>
      <w:tabs>
        <w:tab w:val="center" w:pos="4153"/>
        <w:tab w:val="right" w:pos="8306"/>
      </w:tabs>
      <w:snapToGrid w:val="0"/>
      <w:jc w:val="left"/>
    </w:pPr>
    <w:rPr>
      <w:sz w:val="18"/>
      <w:szCs w:val="18"/>
    </w:rPr>
  </w:style>
  <w:style w:type="paragraph" w:styleId="15">
    <w:name w:val="header"/>
    <w:basedOn w:val="1"/>
    <w:link w:val="103"/>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semiHidden/>
    <w:unhideWhenUsed/>
    <w:qFormat/>
    <w:uiPriority w:val="39"/>
    <w:pPr>
      <w:spacing w:line="400" w:lineRule="exact"/>
      <w:jc w:val="center"/>
    </w:pPr>
    <w:rPr>
      <w:rFonts w:hint="eastAsia" w:ascii="宋体" w:hAnsi="宋体" w:eastAsia="宋体" w:cs="Times New Roman"/>
      <w:b/>
      <w:bCs/>
    </w:rPr>
  </w:style>
  <w:style w:type="paragraph" w:styleId="17">
    <w:name w:val="footnote text"/>
    <w:basedOn w:val="1"/>
    <w:link w:val="75"/>
    <w:semiHidden/>
    <w:unhideWhenUsed/>
    <w:qFormat/>
    <w:uiPriority w:val="99"/>
    <w:pPr>
      <w:snapToGrid w:val="0"/>
      <w:jc w:val="left"/>
    </w:pPr>
    <w:rPr>
      <w:sz w:val="18"/>
    </w:rPr>
  </w:style>
  <w:style w:type="paragraph" w:styleId="18">
    <w:name w:val="Body Text Indent 3"/>
    <w:basedOn w:val="1"/>
    <w:link w:val="95"/>
    <w:semiHidden/>
    <w:unhideWhenUsed/>
    <w:qFormat/>
    <w:uiPriority w:val="99"/>
    <w:pPr>
      <w:spacing w:after="120"/>
      <w:ind w:left="420" w:leftChars="200"/>
    </w:pPr>
    <w:rPr>
      <w:rFonts w:hint="eastAsia" w:ascii="等线" w:hAnsi="等线" w:eastAsia="等线" w:cs="Times New Roman"/>
      <w:sz w:val="16"/>
      <w:szCs w:val="16"/>
    </w:rPr>
  </w:style>
  <w:style w:type="paragraph" w:styleId="19">
    <w:name w:val="toc 2"/>
    <w:basedOn w:val="1"/>
    <w:next w:val="1"/>
    <w:semiHidden/>
    <w:unhideWhenUsed/>
    <w:qFormat/>
    <w:uiPriority w:val="39"/>
    <w:pPr>
      <w:tabs>
        <w:tab w:val="left" w:pos="1080"/>
        <w:tab w:val="right" w:leader="dot" w:pos="9540"/>
        <w:tab w:val="right" w:leader="dot" w:pos="9628"/>
      </w:tabs>
      <w:ind w:left="150" w:leftChars="150" w:right="-34" w:rightChars="-34"/>
      <w:jc w:val="left"/>
    </w:pPr>
    <w:rPr>
      <w:rFonts w:ascii="Times New Roman" w:hAnsi="Times New Roman" w:eastAsia="宋体" w:cs="Times New Roman"/>
      <w:smallCaps/>
      <w:sz w:val="20"/>
    </w:rPr>
  </w:style>
  <w:style w:type="paragraph" w:styleId="20">
    <w:name w:val="Normal (Web)"/>
    <w:basedOn w:val="1"/>
    <w:link w:val="89"/>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21">
    <w:name w:val="Title"/>
    <w:basedOn w:val="1"/>
    <w:next w:val="1"/>
    <w:link w:val="74"/>
    <w:qFormat/>
    <w:uiPriority w:val="0"/>
    <w:pPr>
      <w:spacing w:before="240" w:after="60"/>
      <w:jc w:val="center"/>
      <w:outlineLvl w:val="0"/>
    </w:pPr>
    <w:rPr>
      <w:rFonts w:eastAsia="宋体" w:asciiTheme="majorHAnsi" w:hAnsiTheme="majorHAnsi" w:cstheme="majorBidi"/>
      <w:b/>
      <w:bCs/>
      <w:sz w:val="32"/>
      <w:szCs w:val="32"/>
    </w:rPr>
  </w:style>
  <w:style w:type="paragraph" w:styleId="22">
    <w:name w:val="annotation subject"/>
    <w:basedOn w:val="10"/>
    <w:next w:val="10"/>
    <w:link w:val="35"/>
    <w:semiHidden/>
    <w:unhideWhenUsed/>
    <w:qFormat/>
    <w:uiPriority w:val="99"/>
    <w:rPr>
      <w:b/>
      <w:bCs/>
    </w:rPr>
  </w:style>
  <w:style w:type="paragraph" w:styleId="23">
    <w:name w:val="Body Text First Indent"/>
    <w:basedOn w:val="11"/>
    <w:link w:val="96"/>
    <w:unhideWhenUsed/>
    <w:qFormat/>
    <w:uiPriority w:val="99"/>
    <w:pPr>
      <w:ind w:firstLine="420" w:firstLineChars="100"/>
    </w:pPr>
    <w:rPr>
      <w:rFonts w:ascii="Calibri" w:hAnsi="Calibri" w:eastAsia="宋体" w:cs="Times New Roman"/>
    </w:rPr>
  </w:style>
  <w:style w:type="table" w:styleId="25">
    <w:name w:val="Table Grid"/>
    <w:basedOn w:val="2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tcBorders>
        <w:top w:val="single" w:color="auto" w:sz="4" w:space="0"/>
        <w:left w:val="single" w:color="auto" w:sz="4" w:space="0"/>
        <w:bottom w:val="single" w:color="auto" w:sz="4" w:space="0"/>
        <w:right w:val="single" w:color="auto" w:sz="4" w:space="0"/>
      </w:tcBorders>
    </w:tcPr>
  </w:style>
  <w:style w:type="character" w:styleId="27">
    <w:name w:val="Strong"/>
    <w:basedOn w:val="26"/>
    <w:qFormat/>
    <w:uiPriority w:val="22"/>
    <w:rPr>
      <w:b/>
      <w:bCs/>
    </w:rPr>
  </w:style>
  <w:style w:type="character" w:styleId="28">
    <w:name w:val="Hyperlink"/>
    <w:basedOn w:val="26"/>
    <w:unhideWhenUsed/>
    <w:qFormat/>
    <w:uiPriority w:val="99"/>
    <w:rPr>
      <w:color w:val="0000FF" w:themeColor="hyperlink"/>
      <w:u w:val="single"/>
      <w14:textFill>
        <w14:solidFill>
          <w14:schemeClr w14:val="hlink"/>
        </w14:solidFill>
      </w14:textFill>
    </w:rPr>
  </w:style>
  <w:style w:type="character" w:styleId="29">
    <w:name w:val="annotation reference"/>
    <w:basedOn w:val="26"/>
    <w:unhideWhenUsed/>
    <w:qFormat/>
    <w:uiPriority w:val="99"/>
    <w:rPr>
      <w:sz w:val="21"/>
      <w:szCs w:val="21"/>
    </w:rPr>
  </w:style>
  <w:style w:type="character" w:customStyle="1" w:styleId="30">
    <w:name w:val="页眉 字符"/>
    <w:basedOn w:val="26"/>
    <w:qFormat/>
    <w:uiPriority w:val="99"/>
    <w:rPr>
      <w:sz w:val="18"/>
      <w:szCs w:val="18"/>
    </w:rPr>
  </w:style>
  <w:style w:type="character" w:customStyle="1" w:styleId="31">
    <w:name w:val="页脚 字符"/>
    <w:basedOn w:val="26"/>
    <w:qFormat/>
    <w:uiPriority w:val="99"/>
    <w:rPr>
      <w:sz w:val="18"/>
      <w:szCs w:val="18"/>
    </w:rPr>
  </w:style>
  <w:style w:type="paragraph" w:styleId="32">
    <w:name w:val="List Paragraph"/>
    <w:basedOn w:val="1"/>
    <w:link w:val="40"/>
    <w:qFormat/>
    <w:uiPriority w:val="34"/>
    <w:pPr>
      <w:ind w:firstLine="420" w:firstLineChars="200"/>
    </w:pPr>
  </w:style>
  <w:style w:type="character" w:customStyle="1" w:styleId="33">
    <w:name w:val="批注文字 字符"/>
    <w:basedOn w:val="26"/>
    <w:qFormat/>
    <w:uiPriority w:val="99"/>
  </w:style>
  <w:style w:type="character" w:customStyle="1" w:styleId="34">
    <w:name w:val="批注框文本 字符"/>
    <w:basedOn w:val="26"/>
    <w:link w:val="13"/>
    <w:semiHidden/>
    <w:qFormat/>
    <w:uiPriority w:val="99"/>
    <w:rPr>
      <w:sz w:val="18"/>
      <w:szCs w:val="18"/>
    </w:rPr>
  </w:style>
  <w:style w:type="character" w:customStyle="1" w:styleId="35">
    <w:name w:val="批注主题 字符"/>
    <w:basedOn w:val="33"/>
    <w:link w:val="22"/>
    <w:semiHidden/>
    <w:qFormat/>
    <w:uiPriority w:val="99"/>
    <w:rPr>
      <w:b/>
      <w:bCs/>
    </w:rPr>
  </w:style>
  <w:style w:type="character" w:customStyle="1" w:styleId="36">
    <w:name w:val="标题 Char"/>
    <w:basedOn w:val="26"/>
    <w:qFormat/>
    <w:uiPriority w:val="0"/>
    <w:rPr>
      <w:rFonts w:eastAsia="宋体" w:asciiTheme="majorHAnsi" w:hAnsiTheme="majorHAnsi" w:cstheme="majorBidi"/>
      <w:b/>
      <w:bCs/>
      <w:sz w:val="32"/>
      <w:szCs w:val="32"/>
    </w:rPr>
  </w:style>
  <w:style w:type="character" w:customStyle="1" w:styleId="37">
    <w:name w:val="标题 2 字符"/>
    <w:basedOn w:val="26"/>
    <w:qFormat/>
    <w:uiPriority w:val="0"/>
    <w:rPr>
      <w:rFonts w:ascii="Arial" w:hAnsi="Arial" w:eastAsia="黑体" w:cs="Times New Roman"/>
      <w:b/>
      <w:bCs/>
      <w:sz w:val="32"/>
      <w:szCs w:val="32"/>
    </w:rPr>
  </w:style>
  <w:style w:type="character" w:customStyle="1" w:styleId="38">
    <w:name w:val="纯文本 字符"/>
    <w:basedOn w:val="26"/>
    <w:qFormat/>
    <w:uiPriority w:val="0"/>
    <w:rPr>
      <w:rFonts w:ascii="宋体" w:hAnsi="Courier New" w:eastAsia="宋体" w:cs="Times New Roman"/>
      <w:kern w:val="0"/>
      <w:sz w:val="20"/>
      <w:szCs w:val="21"/>
    </w:rPr>
  </w:style>
  <w:style w:type="paragraph" w:customStyle="1" w:styleId="39">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kern w:val="0"/>
      <w:sz w:val="24"/>
      <w:szCs w:val="20"/>
    </w:rPr>
  </w:style>
  <w:style w:type="character" w:customStyle="1" w:styleId="40">
    <w:name w:val="列表段落 字符4"/>
    <w:link w:val="32"/>
    <w:qFormat/>
    <w:uiPriority w:val="34"/>
  </w:style>
  <w:style w:type="paragraph" w:customStyle="1" w:styleId="41">
    <w:name w:val="样式4"/>
    <w:basedOn w:val="1"/>
    <w:qFormat/>
    <w:uiPriority w:val="0"/>
    <w:pPr>
      <w:numPr>
        <w:ilvl w:val="3"/>
        <w:numId w:val="1"/>
      </w:numPr>
      <w:tabs>
        <w:tab w:val="left" w:pos="425"/>
        <w:tab w:val="left" w:pos="1984"/>
        <w:tab w:val="clear" w:pos="851"/>
      </w:tabs>
    </w:pPr>
    <w:rPr>
      <w:rFonts w:ascii="Times New Roman" w:hAnsi="Times New Roman" w:eastAsia="宋体" w:cs="Times New Roman"/>
      <w:szCs w:val="24"/>
    </w:rPr>
  </w:style>
  <w:style w:type="paragraph" w:customStyle="1" w:styleId="42">
    <w:name w:val="列出段落1"/>
    <w:basedOn w:val="1"/>
    <w:link w:val="43"/>
    <w:qFormat/>
    <w:uiPriority w:val="99"/>
    <w:pPr>
      <w:ind w:firstLine="420" w:firstLineChars="200"/>
    </w:pPr>
    <w:rPr>
      <w:rFonts w:ascii="Times New Roman" w:hAnsi="Times New Roman" w:eastAsia="宋体" w:cs="Times New Roman"/>
      <w:szCs w:val="21"/>
    </w:rPr>
  </w:style>
  <w:style w:type="character" w:customStyle="1" w:styleId="43">
    <w:name w:val="List Paragraph Char"/>
    <w:link w:val="42"/>
    <w:qFormat/>
    <w:locked/>
    <w:uiPriority w:val="99"/>
    <w:rPr>
      <w:rFonts w:ascii="Times New Roman" w:hAnsi="Times New Roman" w:eastAsia="宋体" w:cs="Times New Roman"/>
      <w:szCs w:val="21"/>
    </w:rPr>
  </w:style>
  <w:style w:type="paragraph" w:customStyle="1" w:styleId="44">
    <w:name w:val="_Style 121"/>
    <w:basedOn w:val="1"/>
    <w:next w:val="32"/>
    <w:qFormat/>
    <w:uiPriority w:val="34"/>
    <w:pPr>
      <w:ind w:firstLine="420" w:firstLineChars="200"/>
    </w:pPr>
    <w:rPr>
      <w:rFonts w:ascii="Calibri" w:hAnsi="Calibri" w:eastAsia="宋体" w:cs="Times New Roman"/>
    </w:rPr>
  </w:style>
  <w:style w:type="paragraph" w:customStyle="1" w:styleId="45">
    <w:name w:val="start-font-1"/>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46">
    <w:name w:val="start-font-3"/>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7">
    <w:name w:val="纯文本 Char1"/>
    <w:qFormat/>
    <w:uiPriority w:val="0"/>
    <w:rPr>
      <w:rFonts w:ascii="宋体" w:hAnsi="Courier New" w:eastAsia="宋体" w:cs="Times New Roman"/>
      <w:kern w:val="0"/>
      <w:sz w:val="20"/>
      <w:szCs w:val="21"/>
    </w:rPr>
  </w:style>
  <w:style w:type="character" w:customStyle="1" w:styleId="48">
    <w:name w:val="正文文本缩进 字符"/>
    <w:basedOn w:val="26"/>
    <w:qFormat/>
    <w:uiPriority w:val="0"/>
    <w:rPr>
      <w:kern w:val="2"/>
      <w:sz w:val="21"/>
      <w:szCs w:val="24"/>
    </w:rPr>
  </w:style>
  <w:style w:type="character" w:customStyle="1" w:styleId="49">
    <w:name w:val="正文文本首行缩进 2 字符"/>
    <w:basedOn w:val="48"/>
    <w:link w:val="2"/>
    <w:qFormat/>
    <w:uiPriority w:val="0"/>
    <w:rPr>
      <w:kern w:val="2"/>
      <w:sz w:val="21"/>
      <w:szCs w:val="24"/>
    </w:rPr>
  </w:style>
  <w:style w:type="paragraph" w:customStyle="1" w:styleId="50">
    <w:name w:val="msolistparagraph"/>
    <w:basedOn w:val="1"/>
    <w:qFormat/>
    <w:uiPriority w:val="0"/>
    <w:pPr>
      <w:ind w:firstLine="420" w:firstLineChars="200"/>
    </w:pPr>
    <w:rPr>
      <w:rFonts w:ascii="Times New Roman" w:hAnsi="Times New Roman" w:eastAsia="宋体" w:cs="Times New Roman"/>
    </w:rPr>
  </w:style>
  <w:style w:type="character" w:customStyle="1" w:styleId="51">
    <w:name w:val="列出段落 Char"/>
    <w:basedOn w:val="26"/>
    <w:qFormat/>
    <w:uiPriority w:val="34"/>
    <w:rPr>
      <w:kern w:val="2"/>
      <w:sz w:val="21"/>
      <w:szCs w:val="22"/>
    </w:rPr>
  </w:style>
  <w:style w:type="character" w:customStyle="1" w:styleId="52">
    <w:name w:val="正文文本 字符"/>
    <w:basedOn w:val="26"/>
    <w:qFormat/>
    <w:uiPriority w:val="0"/>
    <w:rPr>
      <w:rFonts w:hint="default" w:ascii="Calibri" w:hAnsi="Calibri" w:eastAsia="宋体" w:cs="Times New Roman"/>
      <w:kern w:val="2"/>
      <w:sz w:val="21"/>
      <w:szCs w:val="22"/>
    </w:rPr>
  </w:style>
  <w:style w:type="character" w:customStyle="1" w:styleId="53">
    <w:name w:val="纯文本 Char"/>
    <w:basedOn w:val="26"/>
    <w:qFormat/>
    <w:uiPriority w:val="0"/>
    <w:rPr>
      <w:rFonts w:hint="eastAsia" w:ascii="宋体" w:hAnsi="Courier New" w:eastAsia="宋体" w:cs="宋体"/>
      <w:szCs w:val="21"/>
    </w:rPr>
  </w:style>
  <w:style w:type="paragraph" w:customStyle="1" w:styleId="54">
    <w:name w:val="_Style 116"/>
    <w:basedOn w:val="1"/>
    <w:next w:val="32"/>
    <w:qFormat/>
    <w:uiPriority w:val="99"/>
    <w:pPr>
      <w:ind w:firstLine="420" w:firstLineChars="200"/>
    </w:pPr>
    <w:rPr>
      <w:kern w:val="0"/>
      <w:sz w:val="20"/>
      <w:szCs w:val="20"/>
    </w:rPr>
  </w:style>
  <w:style w:type="character" w:customStyle="1" w:styleId="55">
    <w:name w:val="普通(网站) 字符"/>
    <w:basedOn w:val="26"/>
    <w:qFormat/>
    <w:uiPriority w:val="0"/>
    <w:rPr>
      <w:rFonts w:hint="eastAsia" w:ascii="宋体" w:hAnsi="宋体" w:eastAsia="宋体" w:cs="宋体"/>
      <w:sz w:val="24"/>
      <w:szCs w:val="24"/>
    </w:rPr>
  </w:style>
  <w:style w:type="character" w:customStyle="1" w:styleId="56">
    <w:name w:val="批注文字 Char"/>
    <w:basedOn w:val="26"/>
    <w:qFormat/>
    <w:uiPriority w:val="99"/>
    <w:rPr>
      <w:kern w:val="2"/>
      <w:sz w:val="21"/>
      <w:szCs w:val="24"/>
    </w:rPr>
  </w:style>
  <w:style w:type="character" w:customStyle="1" w:styleId="57">
    <w:name w:val="标题 1 字符"/>
    <w:basedOn w:val="26"/>
    <w:link w:val="5"/>
    <w:qFormat/>
    <w:uiPriority w:val="0"/>
    <w:rPr>
      <w:b/>
      <w:bCs/>
      <w:kern w:val="44"/>
      <w:sz w:val="44"/>
      <w:szCs w:val="44"/>
    </w:rPr>
  </w:style>
  <w:style w:type="character" w:customStyle="1" w:styleId="58">
    <w:name w:val="页脚 字符1"/>
    <w:basedOn w:val="26"/>
    <w:link w:val="14"/>
    <w:qFormat/>
    <w:uiPriority w:val="0"/>
    <w:rPr>
      <w:kern w:val="2"/>
      <w:sz w:val="18"/>
      <w:szCs w:val="18"/>
    </w:rPr>
  </w:style>
  <w:style w:type="character" w:customStyle="1" w:styleId="59">
    <w:name w:val="页眉 字符1"/>
    <w:basedOn w:val="26"/>
    <w:qFormat/>
    <w:uiPriority w:val="0"/>
    <w:rPr>
      <w:kern w:val="2"/>
      <w:sz w:val="18"/>
      <w:szCs w:val="18"/>
    </w:rPr>
  </w:style>
  <w:style w:type="character" w:customStyle="1" w:styleId="60">
    <w:name w:val="标题 2 字符1"/>
    <w:basedOn w:val="26"/>
    <w:qFormat/>
    <w:uiPriority w:val="0"/>
    <w:rPr>
      <w:rFonts w:hint="default" w:ascii="Cambria" w:hAnsi="Cambria" w:eastAsia="Cambria" w:cs="Cambria"/>
      <w:b/>
      <w:bCs/>
      <w:kern w:val="2"/>
      <w:sz w:val="32"/>
      <w:szCs w:val="32"/>
    </w:rPr>
  </w:style>
  <w:style w:type="character" w:customStyle="1" w:styleId="61">
    <w:name w:val="列出段落 Char1"/>
    <w:basedOn w:val="26"/>
    <w:qFormat/>
    <w:uiPriority w:val="99"/>
    <w:rPr>
      <w:rFonts w:hint="default" w:ascii="Calibri" w:hAnsi="Calibri" w:cs="Calibri"/>
      <w:kern w:val="2"/>
      <w:sz w:val="21"/>
      <w:szCs w:val="22"/>
    </w:rPr>
  </w:style>
  <w:style w:type="character" w:customStyle="1" w:styleId="62">
    <w:name w:val="纯文本 字符2"/>
    <w:basedOn w:val="26"/>
    <w:link w:val="12"/>
    <w:qFormat/>
    <w:uiPriority w:val="0"/>
    <w:rPr>
      <w:rFonts w:hint="eastAsia" w:ascii="宋体" w:hAnsi="Courier New" w:eastAsia="宋体" w:cs="宋体"/>
      <w:szCs w:val="21"/>
      <w:lang w:val="zh-CN"/>
    </w:rPr>
  </w:style>
  <w:style w:type="character" w:customStyle="1" w:styleId="63">
    <w:name w:val="标题 3 字符"/>
    <w:basedOn w:val="26"/>
    <w:link w:val="7"/>
    <w:qFormat/>
    <w:uiPriority w:val="0"/>
    <w:rPr>
      <w:b/>
      <w:bCs/>
      <w:kern w:val="2"/>
      <w:sz w:val="32"/>
      <w:szCs w:val="32"/>
    </w:rPr>
  </w:style>
  <w:style w:type="paragraph" w:customStyle="1" w:styleId="64">
    <w:name w:val="列表段落2"/>
    <w:basedOn w:val="1"/>
    <w:qFormat/>
    <w:uiPriority w:val="0"/>
    <w:pPr>
      <w:ind w:firstLine="420" w:firstLineChars="200"/>
    </w:pPr>
    <w:rPr>
      <w:rFonts w:ascii="Times New Roman" w:hAnsi="Times New Roman" w:eastAsia="宋体" w:cs="Times New Roman"/>
      <w:szCs w:val="24"/>
    </w:rPr>
  </w:style>
  <w:style w:type="character" w:customStyle="1" w:styleId="65">
    <w:name w:val="正文文本首行缩进 字符"/>
    <w:qFormat/>
    <w:uiPriority w:val="0"/>
    <w:rPr>
      <w:rFonts w:hint="default" w:ascii="Calibri" w:hAnsi="Calibri" w:eastAsia="宋体" w:cs="Times New Roman"/>
      <w:kern w:val="2"/>
      <w:sz w:val="21"/>
      <w:szCs w:val="22"/>
    </w:rPr>
  </w:style>
  <w:style w:type="paragraph" w:customStyle="1" w:styleId="66">
    <w:name w:val="p0"/>
    <w:basedOn w:val="1"/>
    <w:qFormat/>
    <w:uiPriority w:val="0"/>
    <w:pPr>
      <w:widowControl/>
    </w:pPr>
    <w:rPr>
      <w:rFonts w:ascii="Calibri" w:hAnsi="Calibri" w:eastAsia="宋体" w:cs="Times New Roman"/>
      <w:kern w:val="0"/>
      <w:szCs w:val="21"/>
    </w:rPr>
  </w:style>
  <w:style w:type="character" w:customStyle="1" w:styleId="67">
    <w:name w:val="font51"/>
    <w:basedOn w:val="26"/>
    <w:qFormat/>
    <w:uiPriority w:val="0"/>
    <w:rPr>
      <w:rFonts w:hint="eastAsia" w:ascii="宋体" w:hAnsi="宋体" w:eastAsia="宋体" w:cs="宋体"/>
      <w:color w:val="000000"/>
      <w:sz w:val="21"/>
      <w:szCs w:val="21"/>
      <w:u w:val="none"/>
    </w:rPr>
  </w:style>
  <w:style w:type="character" w:customStyle="1" w:styleId="68">
    <w:name w:val="列表段落 字符2"/>
    <w:basedOn w:val="26"/>
    <w:qFormat/>
    <w:uiPriority w:val="0"/>
  </w:style>
  <w:style w:type="character" w:customStyle="1" w:styleId="69">
    <w:name w:val="NormalCharacter"/>
    <w:basedOn w:val="26"/>
    <w:qFormat/>
    <w:uiPriority w:val="0"/>
  </w:style>
  <w:style w:type="character" w:customStyle="1" w:styleId="70">
    <w:name w:val="font31"/>
    <w:basedOn w:val="26"/>
    <w:qFormat/>
    <w:uiPriority w:val="0"/>
    <w:rPr>
      <w:rFonts w:hint="default" w:ascii="Times New Roman" w:hAnsi="Times New Roman" w:cs="Times New Roman"/>
      <w:color w:val="000000"/>
      <w:sz w:val="21"/>
      <w:szCs w:val="21"/>
      <w:u w:val="none"/>
    </w:rPr>
  </w:style>
  <w:style w:type="character" w:customStyle="1" w:styleId="71">
    <w:name w:val="font21"/>
    <w:basedOn w:val="26"/>
    <w:qFormat/>
    <w:uiPriority w:val="0"/>
    <w:rPr>
      <w:rFonts w:hint="eastAsia" w:ascii="宋体" w:hAnsi="宋体" w:eastAsia="宋体" w:cs="宋体"/>
      <w:color w:val="000000"/>
      <w:sz w:val="24"/>
      <w:szCs w:val="24"/>
      <w:u w:val="none"/>
    </w:rPr>
  </w:style>
  <w:style w:type="character" w:customStyle="1" w:styleId="72">
    <w:name w:val="font11"/>
    <w:basedOn w:val="26"/>
    <w:qFormat/>
    <w:uiPriority w:val="0"/>
    <w:rPr>
      <w:rFonts w:hint="eastAsia" w:ascii="宋体" w:hAnsi="宋体" w:eastAsia="宋体" w:cs="宋体"/>
      <w:color w:val="000000"/>
      <w:sz w:val="21"/>
      <w:szCs w:val="21"/>
      <w:u w:val="none"/>
    </w:rPr>
  </w:style>
  <w:style w:type="character" w:customStyle="1" w:styleId="73">
    <w:name w:val="纯文本 字符1"/>
    <w:basedOn w:val="26"/>
    <w:qFormat/>
    <w:uiPriority w:val="0"/>
    <w:rPr>
      <w:rFonts w:hint="eastAsia" w:ascii="宋体" w:hAnsi="Courier New" w:eastAsia="宋体" w:cs="宋体"/>
      <w:szCs w:val="21"/>
    </w:rPr>
  </w:style>
  <w:style w:type="character" w:customStyle="1" w:styleId="74">
    <w:name w:val="标题 字符"/>
    <w:basedOn w:val="26"/>
    <w:link w:val="21"/>
    <w:qFormat/>
    <w:uiPriority w:val="0"/>
    <w:rPr>
      <w:rFonts w:hint="default" w:ascii="Cambria" w:hAnsi="Cambria" w:eastAsia="Cambria" w:cs="Times New Roman"/>
      <w:b/>
      <w:bCs/>
      <w:kern w:val="2"/>
      <w:sz w:val="32"/>
      <w:szCs w:val="32"/>
    </w:rPr>
  </w:style>
  <w:style w:type="character" w:customStyle="1" w:styleId="75">
    <w:name w:val="脚注文本 字符"/>
    <w:basedOn w:val="26"/>
    <w:link w:val="17"/>
    <w:qFormat/>
    <w:uiPriority w:val="0"/>
    <w:rPr>
      <w:rFonts w:hint="eastAsia" w:ascii="宋体" w:hAnsi="宋体" w:eastAsia="宋体" w:cs="Times New Roman"/>
      <w:kern w:val="2"/>
      <w:sz w:val="24"/>
      <w:szCs w:val="18"/>
    </w:rPr>
  </w:style>
  <w:style w:type="character" w:customStyle="1" w:styleId="76">
    <w:name w:val="脚注文本 Char1"/>
    <w:basedOn w:val="26"/>
    <w:qFormat/>
    <w:uiPriority w:val="0"/>
    <w:rPr>
      <w:rFonts w:hint="default" w:ascii="Calibri" w:hAnsi="Calibri" w:eastAsia="宋体" w:cs="Times New Roman"/>
      <w:kern w:val="2"/>
      <w:sz w:val="18"/>
      <w:szCs w:val="18"/>
    </w:rPr>
  </w:style>
  <w:style w:type="character" w:customStyle="1" w:styleId="77">
    <w:name w:val="列表段落 字符1"/>
    <w:basedOn w:val="26"/>
    <w:qFormat/>
    <w:uiPriority w:val="0"/>
  </w:style>
  <w:style w:type="paragraph" w:customStyle="1" w:styleId="78">
    <w:name w:val="Table Paragraph"/>
    <w:basedOn w:val="1"/>
    <w:qFormat/>
    <w:uiPriority w:val="0"/>
    <w:rPr>
      <w:rFonts w:hint="eastAsia" w:ascii="宋体" w:hAnsi="宋体" w:eastAsia="宋体" w:cs="Times New Roman"/>
      <w:szCs w:val="24"/>
    </w:rPr>
  </w:style>
  <w:style w:type="character" w:customStyle="1" w:styleId="79">
    <w:name w:val="font41"/>
    <w:basedOn w:val="26"/>
    <w:qFormat/>
    <w:uiPriority w:val="0"/>
    <w:rPr>
      <w:rFonts w:hint="eastAsia" w:ascii="宋体" w:hAnsi="宋体" w:eastAsia="宋体" w:cs="宋体"/>
      <w:color w:val="FF0000"/>
      <w:sz w:val="24"/>
      <w:szCs w:val="24"/>
      <w:u w:val="none"/>
    </w:rPr>
  </w:style>
  <w:style w:type="character" w:customStyle="1" w:styleId="80">
    <w:name w:val="font91"/>
    <w:basedOn w:val="26"/>
    <w:qFormat/>
    <w:uiPriority w:val="0"/>
    <w:rPr>
      <w:rFonts w:hint="default" w:ascii="Times New Roman" w:hAnsi="Times New Roman" w:cs="Times New Roman"/>
      <w:color w:val="000000"/>
      <w:sz w:val="21"/>
      <w:szCs w:val="21"/>
      <w:u w:val="none"/>
    </w:rPr>
  </w:style>
  <w:style w:type="paragraph" w:customStyle="1" w:styleId="81">
    <w:name w:val="正文_0_0"/>
    <w:basedOn w:val="1"/>
    <w:qFormat/>
    <w:uiPriority w:val="0"/>
    <w:rPr>
      <w:rFonts w:ascii="Calibri" w:hAnsi="Calibri" w:eastAsia="宋体" w:cs="Times New Roman"/>
    </w:rPr>
  </w:style>
  <w:style w:type="character" w:customStyle="1" w:styleId="82">
    <w:name w:val="批注文字 字符1"/>
    <w:basedOn w:val="26"/>
    <w:qFormat/>
    <w:uiPriority w:val="0"/>
    <w:rPr>
      <w:szCs w:val="24"/>
    </w:rPr>
  </w:style>
  <w:style w:type="character" w:customStyle="1" w:styleId="83">
    <w:name w:val="列表段落 字符"/>
    <w:basedOn w:val="26"/>
    <w:qFormat/>
    <w:uiPriority w:val="0"/>
    <w:rPr>
      <w:rFonts w:hint="default" w:ascii="Calibri" w:hAnsi="Calibri" w:cs="Calibri"/>
      <w:kern w:val="2"/>
      <w:sz w:val="21"/>
      <w:szCs w:val="22"/>
    </w:rPr>
  </w:style>
  <w:style w:type="paragraph" w:customStyle="1" w:styleId="84">
    <w:name w:val="_Style 24"/>
    <w:basedOn w:val="1"/>
    <w:qFormat/>
    <w:uiPriority w:val="0"/>
    <w:pPr>
      <w:ind w:firstLine="420" w:firstLineChars="200"/>
    </w:pPr>
    <w:rPr>
      <w:rFonts w:ascii="Calibri" w:hAnsi="Calibri" w:eastAsia="宋体" w:cs="Times New Roman"/>
    </w:rPr>
  </w:style>
  <w:style w:type="character" w:customStyle="1" w:styleId="85">
    <w:name w:val="列表段落 字符3"/>
    <w:basedOn w:val="26"/>
    <w:qFormat/>
    <w:uiPriority w:val="0"/>
    <w:rPr>
      <w:rFonts w:hint="default" w:ascii="Calibri" w:hAnsi="Calibri" w:eastAsia="宋体" w:cs="Times New Roman"/>
      <w:kern w:val="2"/>
      <w:sz w:val="21"/>
      <w:szCs w:val="22"/>
    </w:rPr>
  </w:style>
  <w:style w:type="character" w:customStyle="1" w:styleId="86">
    <w:name w:val="列出段落 Char2"/>
    <w:basedOn w:val="26"/>
    <w:qFormat/>
    <w:uiPriority w:val="0"/>
    <w:rPr>
      <w:rFonts w:hint="default" w:ascii="Calibri" w:hAnsi="Calibri" w:eastAsia="宋体" w:cs="Times New Roman"/>
      <w:kern w:val="2"/>
      <w:sz w:val="21"/>
      <w:szCs w:val="22"/>
    </w:rPr>
  </w:style>
  <w:style w:type="character" w:customStyle="1" w:styleId="87">
    <w:name w:val="标题 2 字符2"/>
    <w:basedOn w:val="26"/>
    <w:link w:val="6"/>
    <w:qFormat/>
    <w:uiPriority w:val="0"/>
    <w:rPr>
      <w:rFonts w:hint="default" w:ascii="Arial" w:hAnsi="Arial" w:eastAsia="黑体" w:cs="Arial"/>
      <w:b/>
      <w:bCs/>
      <w:kern w:val="2"/>
      <w:sz w:val="32"/>
      <w:szCs w:val="32"/>
    </w:rPr>
  </w:style>
  <w:style w:type="character" w:customStyle="1" w:styleId="88">
    <w:name w:val="批注文字 字符2"/>
    <w:basedOn w:val="26"/>
    <w:link w:val="10"/>
    <w:qFormat/>
    <w:uiPriority w:val="99"/>
    <w:rPr>
      <w:kern w:val="2"/>
      <w:sz w:val="21"/>
      <w:szCs w:val="24"/>
    </w:rPr>
  </w:style>
  <w:style w:type="character" w:customStyle="1" w:styleId="89">
    <w:name w:val="普通(网站) 字符1"/>
    <w:basedOn w:val="26"/>
    <w:link w:val="20"/>
    <w:qFormat/>
    <w:uiPriority w:val="0"/>
    <w:rPr>
      <w:rFonts w:hint="eastAsia" w:ascii="宋体" w:hAnsi="宋体" w:eastAsia="宋体" w:cs="宋体"/>
      <w:sz w:val="24"/>
      <w:szCs w:val="24"/>
    </w:rPr>
  </w:style>
  <w:style w:type="character" w:customStyle="1" w:styleId="90">
    <w:name w:val="正文文本缩进 字符1"/>
    <w:basedOn w:val="26"/>
    <w:link w:val="3"/>
    <w:qFormat/>
    <w:uiPriority w:val="0"/>
    <w:rPr>
      <w:kern w:val="2"/>
      <w:sz w:val="21"/>
      <w:szCs w:val="22"/>
    </w:rPr>
  </w:style>
  <w:style w:type="paragraph" w:customStyle="1" w:styleId="91">
    <w:name w:val="正文文本首行缩进 21"/>
    <w:basedOn w:val="3"/>
    <w:qFormat/>
    <w:uiPriority w:val="0"/>
    <w:pPr>
      <w:ind w:firstLine="420" w:firstLineChars="200"/>
    </w:pPr>
    <w:rPr>
      <w:rFonts w:ascii="Times New Roman" w:hAnsi="Times New Roman" w:eastAsia="宋体" w:cs="Times New Roman"/>
      <w:kern w:val="0"/>
      <w:sz w:val="20"/>
      <w:szCs w:val="20"/>
    </w:rPr>
  </w:style>
  <w:style w:type="paragraph" w:customStyle="1" w:styleId="92">
    <w:name w:val="_Style 5"/>
    <w:basedOn w:val="1"/>
    <w:next w:val="1"/>
    <w:qFormat/>
    <w:uiPriority w:val="0"/>
    <w:pPr>
      <w:ind w:firstLine="420" w:firstLineChars="200"/>
    </w:pPr>
    <w:rPr>
      <w:rFonts w:ascii="Times New Roman" w:hAnsi="Times New Roman" w:eastAsia="宋体" w:cs="Times New Roman"/>
    </w:rPr>
  </w:style>
  <w:style w:type="character" w:customStyle="1" w:styleId="93">
    <w:name w:val="正文文本 字符1"/>
    <w:basedOn w:val="26"/>
    <w:link w:val="11"/>
    <w:qFormat/>
    <w:uiPriority w:val="0"/>
    <w:rPr>
      <w:rFonts w:hint="default" w:ascii="Calibri" w:hAnsi="Calibri" w:eastAsia="宋体" w:cs="Times New Roman"/>
      <w:kern w:val="2"/>
      <w:sz w:val="21"/>
      <w:szCs w:val="22"/>
    </w:rPr>
  </w:style>
  <w:style w:type="paragraph" w:customStyle="1" w:styleId="94">
    <w:name w:val="列表段落1"/>
    <w:basedOn w:val="1"/>
    <w:qFormat/>
    <w:uiPriority w:val="0"/>
    <w:pPr>
      <w:ind w:firstLine="420" w:firstLineChars="200"/>
    </w:pPr>
    <w:rPr>
      <w:rFonts w:hint="eastAsia" w:ascii="等线" w:hAnsi="等线" w:eastAsia="等线" w:cs="Times New Roman"/>
    </w:rPr>
  </w:style>
  <w:style w:type="character" w:customStyle="1" w:styleId="95">
    <w:name w:val="正文文本缩进 3 字符"/>
    <w:basedOn w:val="26"/>
    <w:link w:val="18"/>
    <w:qFormat/>
    <w:uiPriority w:val="0"/>
    <w:rPr>
      <w:rFonts w:hint="eastAsia" w:ascii="等线" w:hAnsi="等线" w:eastAsia="等线" w:cs="等线"/>
      <w:kern w:val="2"/>
      <w:sz w:val="16"/>
      <w:szCs w:val="16"/>
    </w:rPr>
  </w:style>
  <w:style w:type="character" w:customStyle="1" w:styleId="96">
    <w:name w:val="正文文本首行缩进 字符1"/>
    <w:link w:val="23"/>
    <w:qFormat/>
    <w:uiPriority w:val="99"/>
    <w:rPr>
      <w:rFonts w:hint="default" w:ascii="Calibri" w:hAnsi="Calibri" w:eastAsia="楷体_GB2312" w:cs="Calibri"/>
      <w:kern w:val="2"/>
      <w:sz w:val="32"/>
      <w:szCs w:val="22"/>
    </w:rPr>
  </w:style>
  <w:style w:type="character" w:customStyle="1" w:styleId="97">
    <w:name w:val="表格文字 Char"/>
    <w:basedOn w:val="26"/>
    <w:link w:val="98"/>
    <w:qFormat/>
    <w:uiPriority w:val="0"/>
    <w:rPr>
      <w:bCs/>
      <w:spacing w:val="10"/>
      <w:sz w:val="24"/>
    </w:rPr>
  </w:style>
  <w:style w:type="paragraph" w:customStyle="1" w:styleId="98">
    <w:name w:val="表格文字"/>
    <w:basedOn w:val="1"/>
    <w:link w:val="97"/>
    <w:qFormat/>
    <w:uiPriority w:val="0"/>
    <w:pPr>
      <w:spacing w:before="25" w:after="25"/>
      <w:jc w:val="left"/>
    </w:pPr>
    <w:rPr>
      <w:rFonts w:ascii="Times New Roman" w:hAnsi="Times New Roman" w:eastAsia="宋体" w:cs="Times New Roman"/>
      <w:bCs/>
      <w:spacing w:val="10"/>
      <w:kern w:val="0"/>
      <w:sz w:val="24"/>
      <w:szCs w:val="20"/>
    </w:rPr>
  </w:style>
  <w:style w:type="paragraph" w:customStyle="1" w:styleId="99">
    <w:name w:val="_Style 3"/>
    <w:basedOn w:val="1"/>
    <w:qFormat/>
    <w:uiPriority w:val="0"/>
    <w:rPr>
      <w:rFonts w:ascii="Times New Roman" w:hAnsi="Times New Roman" w:eastAsia="宋体" w:cs="Times New Roman"/>
    </w:rPr>
  </w:style>
  <w:style w:type="paragraph" w:customStyle="1" w:styleId="100">
    <w:name w:val="列表段落3"/>
    <w:basedOn w:val="1"/>
    <w:qFormat/>
    <w:uiPriority w:val="0"/>
    <w:pPr>
      <w:ind w:firstLine="420" w:firstLineChars="200"/>
    </w:pPr>
    <w:rPr>
      <w:rFonts w:ascii="Calibri" w:hAnsi="Calibri" w:eastAsia="宋体" w:cs="Times New Roman"/>
    </w:rPr>
  </w:style>
  <w:style w:type="character" w:customStyle="1" w:styleId="101">
    <w:name w:val="15"/>
    <w:basedOn w:val="26"/>
    <w:qFormat/>
    <w:uiPriority w:val="0"/>
    <w:rPr>
      <w:rFonts w:hint="default" w:ascii="Times New Roman" w:hAnsi="Times New Roman" w:cs="Times New Roman"/>
      <w:b/>
      <w:bCs/>
    </w:rPr>
  </w:style>
  <w:style w:type="character" w:customStyle="1" w:styleId="102">
    <w:name w:val="正文首行缩进 2 Char1"/>
    <w:basedOn w:val="26"/>
    <w:qFormat/>
    <w:uiPriority w:val="0"/>
  </w:style>
  <w:style w:type="character" w:customStyle="1" w:styleId="103">
    <w:name w:val="页眉 字符2"/>
    <w:basedOn w:val="26"/>
    <w:link w:val="15"/>
    <w:qFormat/>
    <w:uiPriority w:val="0"/>
    <w:rPr>
      <w:sz w:val="18"/>
      <w:szCs w:val="18"/>
    </w:rPr>
  </w:style>
  <w:style w:type="character" w:customStyle="1" w:styleId="104">
    <w:name w:val="页眉 Char1"/>
    <w:qFormat/>
    <w:uiPriority w:val="99"/>
    <w:rPr>
      <w:sz w:val="18"/>
      <w:szCs w:val="18"/>
      <w:lang w:val="zh-CN" w:eastAsia="zh-CN"/>
    </w:rPr>
  </w:style>
  <w:style w:type="character" w:customStyle="1" w:styleId="105">
    <w:name w:val="标题 2 Char"/>
    <w:basedOn w:val="26"/>
    <w:qFormat/>
    <w:uiPriority w:val="0"/>
    <w:rPr>
      <w:rFonts w:ascii="Arial" w:hAnsi="Arial" w:eastAsia="黑体" w:cs="Times New Roman"/>
      <w:b/>
      <w:bCs/>
      <w:sz w:val="32"/>
      <w:szCs w:val="32"/>
    </w:rPr>
  </w:style>
  <w:style w:type="paragraph" w:customStyle="1" w:styleId="106">
    <w:name w:val="正文1"/>
    <w:basedOn w:val="1"/>
    <w:qFormat/>
    <w:uiPriority w:val="0"/>
    <w:pPr>
      <w:widowControl/>
      <w:overflowPunct w:val="0"/>
      <w:autoSpaceDE w:val="0"/>
      <w:autoSpaceDN w:val="0"/>
      <w:adjustRightInd w:val="0"/>
      <w:textAlignment w:val="baseline"/>
    </w:pPr>
    <w:rPr>
      <w:rFonts w:ascii="宋体" w:hAnsi="Calibri" w:eastAsia="宋体" w:cs="Times New Roman"/>
      <w:kern w:val="0"/>
      <w:szCs w:val="20"/>
    </w:rPr>
  </w:style>
  <w:style w:type="paragraph" w:customStyle="1" w:styleId="107">
    <w:name w:val="样式 正文首行缩进 + 宋体 小四 首行缩进:  1 字符"/>
    <w:basedOn w:val="1"/>
    <w:next w:val="1"/>
    <w:qFormat/>
    <w:uiPriority w:val="0"/>
    <w:pPr>
      <w:spacing w:after="120" w:line="360" w:lineRule="auto"/>
      <w:ind w:firstLine="150" w:firstLineChars="150"/>
    </w:pPr>
    <w:rPr>
      <w:rFonts w:ascii="宋体" w:hAnsi="宋体" w:eastAsia="宋体" w:cs="Times New Roman"/>
      <w:sz w:val="24"/>
      <w:szCs w:val="20"/>
    </w:rPr>
  </w:style>
  <w:style w:type="paragraph" w:customStyle="1" w:styleId="108">
    <w:name w:val="AOHead3"/>
    <w:basedOn w:val="1"/>
    <w:next w:val="1"/>
    <w:qFormat/>
    <w:uiPriority w:val="0"/>
    <w:pPr>
      <w:spacing w:line="360" w:lineRule="auto"/>
      <w:ind w:left="1260" w:firstLine="480" w:firstLineChars="200"/>
      <w:outlineLvl w:val="2"/>
    </w:pPr>
    <w:rPr>
      <w:rFonts w:ascii="Times New Roman" w:hAnsi="Times New Roman" w:eastAsia="宋体"/>
      <w:color w:val="0000FF"/>
      <w:sz w:val="24"/>
      <w:szCs w:val="24"/>
    </w:rPr>
  </w:style>
  <w:style w:type="paragraph" w:customStyle="1" w:styleId="109">
    <w:name w:val="修订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0">
    <w:name w:val="修订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1">
    <w:name w:val="修订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2">
    <w:name w:val="修订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3">
    <w:name w:val="修订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4">
    <w:name w:val="修订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5">
    <w:name w:val="修订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6">
    <w:name w:val="修订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7">
    <w:name w:val="修订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8">
    <w:name w:val="修订1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19">
    <w:name w:val="修订1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0">
    <w:name w:val="修订12"/>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1">
    <w:name w:val="修订13"/>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character" w:customStyle="1" w:styleId="122">
    <w:name w:val="未处理的提及1"/>
    <w:basedOn w:val="26"/>
    <w:semiHidden/>
    <w:unhideWhenUsed/>
    <w:qFormat/>
    <w:uiPriority w:val="99"/>
    <w:rPr>
      <w:color w:val="605E5C"/>
      <w:shd w:val="clear" w:color="auto" w:fill="E1DFDD"/>
    </w:rPr>
  </w:style>
  <w:style w:type="paragraph" w:customStyle="1" w:styleId="123">
    <w:name w:val="修订14"/>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4">
    <w:name w:val="修订15"/>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5">
    <w:name w:val="修订16"/>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6">
    <w:name w:val="修订17"/>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7">
    <w:name w:val="修订18"/>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8">
    <w:name w:val="修订19"/>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29">
    <w:name w:val="修订20"/>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0">
    <w:name w:val="修订21"/>
    <w:hidden/>
    <w:unhideWhenUsed/>
    <w:qFormat/>
    <w:uiPriority w:val="99"/>
    <w:pPr>
      <w:spacing w:after="160" w:line="278" w:lineRule="auto"/>
    </w:pPr>
    <w:rPr>
      <w:rFonts w:asciiTheme="minorHAnsi" w:hAnsiTheme="minorHAnsi" w:eastAsiaTheme="minorEastAsia" w:cstheme="minorBidi"/>
      <w:kern w:val="2"/>
      <w:sz w:val="21"/>
      <w:szCs w:val="22"/>
      <w:lang w:val="en-US" w:eastAsia="zh-CN" w:bidi="ar-SA"/>
    </w:rPr>
  </w:style>
  <w:style w:type="paragraph" w:customStyle="1" w:styleId="131">
    <w:name w:val="修订22"/>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 w:type="paragraph" w:customStyle="1" w:styleId="132">
    <w:name w:val="Revision"/>
    <w:hidden/>
    <w:unhideWhenUsed/>
    <w:qFormat/>
    <w:uiPriority w:val="99"/>
    <w:pPr>
      <w:spacing w:after="0" w:line="240" w:lineRule="auto"/>
    </w:pPr>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571E73-627D-40D0-A3B5-C94E13BF6796}">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14</Pages>
  <Words>6588</Words>
  <Characters>6948</Characters>
  <Lines>1</Lines>
  <Paragraphs>1</Paragraphs>
  <TotalTime>4</TotalTime>
  <ScaleCrop>false</ScaleCrop>
  <LinksUpToDate>false</LinksUpToDate>
  <CharactersWithSpaces>6992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2025-02-25T08:04:00Z</dcterms:created>
  <dc:creator>云采链</dc:creator>
  <cp:lastModifiedBy>云采链</cp:lastModifiedBy>
  <cp:lastPrinted>2018-10-16T04:01:00Z</cp:lastPrinted>
  <dcterms:modified xsi:type="dcterms:W3CDTF">2025-05-16T02:59:27Z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6679652305254D248582983EA4C17425_13</vt:lpwstr>
  </property>
  <property fmtid="{D5CDD505-2E9C-101B-9397-08002B2CF9AE}" pid="4" name="KSOTemplateDocerSaveRecord">
    <vt:lpwstr>eyJoZGlkIjoiNjllMTQ1N2NiYWJhNmE3MmJmNjczYjE3MmE0Mzc5ZDEiLCJ1c2VySWQiOiIyNzgxOTkwNjUifQ==</vt:lpwstr>
  </property>
</Properties>
</file>