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3B525">
      <w:pPr>
        <w:snapToGrid w:val="0"/>
        <w:spacing w:beforeLines="50"/>
        <w:jc w:val="center"/>
        <w:rPr>
          <w:rFonts w:ascii="宋体" w:hAnsi="宋体" w:eastAsia="宋体" w:cs="宋体"/>
          <w:b/>
          <w:color w:val="000000" w:themeColor="text1"/>
          <w:sz w:val="84"/>
          <w:szCs w:val="84"/>
        </w:rPr>
      </w:pPr>
    </w:p>
    <w:p w14:paraId="4C188179">
      <w:pPr>
        <w:snapToGrid w:val="0"/>
        <w:spacing w:beforeLines="50"/>
        <w:jc w:val="center"/>
        <w:rPr>
          <w:rFonts w:ascii="宋体" w:hAnsi="宋体" w:eastAsia="宋体" w:cs="宋体"/>
          <w:b/>
          <w:color w:val="000000" w:themeColor="text1"/>
          <w:sz w:val="84"/>
          <w:szCs w:val="84"/>
        </w:rPr>
      </w:pPr>
    </w:p>
    <w:p w14:paraId="1A33697A">
      <w:pPr>
        <w:snapToGrid w:val="0"/>
        <w:spacing w:beforeLines="50"/>
        <w:jc w:val="center"/>
        <w:rPr>
          <w:rFonts w:ascii="宋体" w:hAnsi="宋体" w:eastAsia="宋体" w:cs="宋体"/>
          <w:b/>
          <w:bCs/>
          <w:color w:val="000000" w:themeColor="text1"/>
          <w:sz w:val="84"/>
          <w:szCs w:val="84"/>
        </w:rPr>
      </w:pPr>
      <w:r>
        <w:rPr>
          <w:rFonts w:hint="eastAsia" w:ascii="宋体" w:hAnsi="宋体" w:eastAsia="宋体" w:cs="宋体"/>
          <w:b/>
          <w:color w:val="000000" w:themeColor="text1"/>
          <w:sz w:val="84"/>
          <w:szCs w:val="84"/>
        </w:rPr>
        <w:t>竞价文件</w:t>
      </w:r>
    </w:p>
    <w:p w14:paraId="55E92B4A">
      <w:pPr>
        <w:spacing w:line="360" w:lineRule="auto"/>
        <w:jc w:val="center"/>
        <w:rPr>
          <w:rFonts w:ascii="宋体" w:hAnsi="宋体" w:eastAsia="宋体" w:cs="宋体"/>
          <w:b/>
          <w:bCs/>
          <w:color w:val="000000" w:themeColor="text1"/>
          <w:sz w:val="24"/>
          <w:szCs w:val="24"/>
        </w:rPr>
      </w:pPr>
    </w:p>
    <w:p w14:paraId="2195B8C3">
      <w:pPr>
        <w:spacing w:line="360" w:lineRule="auto"/>
        <w:rPr>
          <w:rFonts w:ascii="宋体" w:hAnsi="宋体" w:eastAsia="宋体" w:cs="宋体"/>
          <w:color w:val="000000" w:themeColor="text1"/>
          <w:sz w:val="30"/>
          <w:szCs w:val="30"/>
        </w:rPr>
      </w:pPr>
    </w:p>
    <w:p w14:paraId="3EC2D969">
      <w:pPr>
        <w:spacing w:line="360" w:lineRule="auto"/>
        <w:rPr>
          <w:rFonts w:ascii="宋体" w:hAnsi="宋体" w:eastAsia="宋体" w:cs="宋体"/>
          <w:color w:val="000000" w:themeColor="text1"/>
          <w:sz w:val="30"/>
          <w:szCs w:val="30"/>
        </w:rPr>
      </w:pPr>
    </w:p>
    <w:p w14:paraId="02B9636D">
      <w:pPr>
        <w:spacing w:line="360" w:lineRule="auto"/>
        <w:rPr>
          <w:rFonts w:ascii="宋体" w:hAnsi="宋体" w:eastAsia="宋体" w:cs="宋体"/>
          <w:color w:val="000000" w:themeColor="text1"/>
          <w:sz w:val="30"/>
          <w:szCs w:val="30"/>
        </w:rPr>
      </w:pPr>
    </w:p>
    <w:p w14:paraId="5BB6DD0A">
      <w:pPr>
        <w:spacing w:line="360" w:lineRule="auto"/>
        <w:rPr>
          <w:rFonts w:ascii="宋体" w:hAnsi="宋体" w:eastAsia="宋体" w:cs="宋体"/>
          <w:color w:val="000000" w:themeColor="text1"/>
          <w:sz w:val="30"/>
          <w:szCs w:val="30"/>
        </w:rPr>
      </w:pPr>
    </w:p>
    <w:p w14:paraId="5D938EA5">
      <w:pPr>
        <w:spacing w:line="360" w:lineRule="auto"/>
        <w:jc w:val="left"/>
        <w:rPr>
          <w:rFonts w:ascii="宋体" w:hAnsi="宋体" w:eastAsia="宋体" w:cs="宋体"/>
          <w:b/>
          <w:bCs/>
          <w:color w:val="000000" w:themeColor="text1"/>
          <w:sz w:val="28"/>
          <w:szCs w:val="32"/>
        </w:rPr>
      </w:pPr>
      <w:r>
        <w:rPr>
          <w:rFonts w:hint="eastAsia" w:ascii="宋体" w:hAnsi="宋体" w:eastAsia="宋体" w:cs="宋体"/>
          <w:b/>
          <w:bCs/>
          <w:color w:val="000000" w:themeColor="text1"/>
          <w:sz w:val="28"/>
          <w:szCs w:val="32"/>
        </w:rPr>
        <w:t>采购方式：线上竞价</w:t>
      </w:r>
    </w:p>
    <w:p w14:paraId="66767522">
      <w:pPr>
        <w:spacing w:line="360" w:lineRule="auto"/>
        <w:ind w:left="1405" w:hanging="1405" w:hangingChars="500"/>
        <w:jc w:val="left"/>
        <w:rPr>
          <w:rFonts w:ascii="宋体" w:hAnsi="宋体" w:eastAsia="宋体" w:cs="宋体"/>
          <w:b/>
          <w:bCs/>
          <w:color w:val="000000" w:themeColor="text1"/>
          <w:sz w:val="28"/>
          <w:szCs w:val="32"/>
        </w:rPr>
      </w:pPr>
      <w:r>
        <w:rPr>
          <w:rFonts w:hint="eastAsia" w:ascii="宋体" w:hAnsi="宋体" w:eastAsia="宋体" w:cs="宋体"/>
          <w:b/>
          <w:bCs/>
          <w:color w:val="000000" w:themeColor="text1"/>
          <w:sz w:val="28"/>
          <w:szCs w:val="32"/>
        </w:rPr>
        <w:t>项目名称：</w:t>
      </w:r>
      <w:r>
        <w:rPr>
          <w:rFonts w:hint="eastAsia" w:ascii="宋体" w:hAnsi="宋体" w:eastAsia="宋体" w:cs="宋体"/>
          <w:b/>
          <w:bCs/>
          <w:color w:val="000000" w:themeColor="text1"/>
          <w:sz w:val="28"/>
          <w:szCs w:val="32"/>
          <w:u w:val="single"/>
        </w:rPr>
        <w:t>广东省广裕集团肇庆祥达实业有限公司生产管理系统配套设备</w:t>
      </w:r>
    </w:p>
    <w:p w14:paraId="6BF2AA37">
      <w:pPr>
        <w:snapToGrid w:val="0"/>
        <w:spacing w:beforeLines="50" w:afterLines="50" w:line="360" w:lineRule="auto"/>
        <w:jc w:val="center"/>
        <w:rPr>
          <w:rFonts w:ascii="宋体" w:hAnsi="宋体" w:eastAsia="宋体" w:cs="宋体"/>
          <w:color w:val="000000" w:themeColor="text1"/>
          <w:sz w:val="30"/>
          <w:szCs w:val="30"/>
        </w:rPr>
      </w:pPr>
    </w:p>
    <w:p w14:paraId="66FD6B2A">
      <w:pPr>
        <w:autoSpaceDE w:val="0"/>
        <w:autoSpaceDN w:val="0"/>
        <w:adjustRightInd w:val="0"/>
        <w:snapToGrid w:val="0"/>
        <w:spacing w:beforeLines="50" w:afterLines="50" w:line="360" w:lineRule="auto"/>
        <w:jc w:val="center"/>
        <w:rPr>
          <w:rFonts w:ascii="宋体" w:hAnsi="宋体" w:eastAsia="宋体" w:cs="宋体"/>
          <w:color w:val="000000" w:themeColor="text1"/>
          <w:kern w:val="0"/>
          <w:sz w:val="30"/>
          <w:szCs w:val="30"/>
        </w:rPr>
      </w:pPr>
    </w:p>
    <w:p w14:paraId="538B0F80">
      <w:pPr>
        <w:autoSpaceDE w:val="0"/>
        <w:autoSpaceDN w:val="0"/>
        <w:adjustRightInd w:val="0"/>
        <w:snapToGrid w:val="0"/>
        <w:spacing w:beforeLines="50" w:afterLines="50" w:line="360" w:lineRule="auto"/>
        <w:jc w:val="left"/>
        <w:rPr>
          <w:rFonts w:ascii="宋体" w:hAnsi="宋体" w:eastAsia="宋体" w:cs="宋体"/>
          <w:color w:val="000000" w:themeColor="text1"/>
          <w:kern w:val="0"/>
          <w:sz w:val="30"/>
          <w:szCs w:val="30"/>
        </w:rPr>
      </w:pPr>
    </w:p>
    <w:p w14:paraId="0D585532">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rPr>
      </w:pPr>
      <w:r>
        <w:rPr>
          <w:rFonts w:hint="eastAsia" w:ascii="宋体" w:hAnsi="宋体" w:eastAsia="宋体" w:cs="宋体"/>
          <w:b/>
          <w:bCs/>
          <w:sz w:val="28"/>
          <w:szCs w:val="32"/>
        </w:rPr>
        <w:t>广东省广裕集团肇庆祥达实业有限公司</w:t>
      </w:r>
    </w:p>
    <w:p w14:paraId="3A3FA351">
      <w:pPr>
        <w:autoSpaceDE w:val="0"/>
        <w:autoSpaceDN w:val="0"/>
        <w:adjustRightInd w:val="0"/>
        <w:snapToGrid w:val="0"/>
        <w:spacing w:line="360" w:lineRule="auto"/>
        <w:ind w:left="420" w:firstLine="420"/>
        <w:jc w:val="center"/>
        <w:rPr>
          <w:rFonts w:ascii="宋体" w:hAnsi="宋体" w:eastAsia="宋体" w:cs="宋体"/>
          <w:b/>
          <w:sz w:val="28"/>
        </w:rPr>
      </w:pPr>
      <w:r>
        <w:rPr>
          <w:rFonts w:hint="eastAsia" w:ascii="宋体" w:hAnsi="宋体" w:eastAsia="宋体" w:cs="宋体"/>
          <w:b/>
          <w:sz w:val="28"/>
        </w:rPr>
        <w:t>采联国际招标采购集团有限公司</w:t>
      </w:r>
    </w:p>
    <w:p w14:paraId="1076AA58">
      <w:pPr>
        <w:autoSpaceDE w:val="0"/>
        <w:autoSpaceDN w:val="0"/>
        <w:adjustRightInd w:val="0"/>
        <w:snapToGrid w:val="0"/>
        <w:spacing w:line="360" w:lineRule="auto"/>
        <w:ind w:left="420" w:firstLine="420"/>
        <w:jc w:val="center"/>
        <w:rPr>
          <w:rFonts w:ascii="宋体" w:hAnsi="宋体" w:eastAsia="宋体" w:cs="宋体"/>
          <w:b/>
          <w:color w:val="000000" w:themeColor="text1"/>
          <w:sz w:val="28"/>
        </w:rPr>
      </w:pPr>
      <w:r>
        <w:rPr>
          <w:rFonts w:hint="eastAsia" w:ascii="宋体" w:hAnsi="宋体" w:eastAsia="宋体" w:cs="宋体"/>
          <w:b/>
          <w:color w:val="000000" w:themeColor="text1"/>
          <w:sz w:val="28"/>
        </w:rPr>
        <w:t>二〇二五</w:t>
      </w:r>
      <w:r>
        <w:rPr>
          <w:rFonts w:hint="eastAsia" w:ascii="宋体" w:hAnsi="宋体" w:eastAsia="宋体" w:cs="宋体"/>
          <w:b/>
          <w:sz w:val="28"/>
        </w:rPr>
        <w:t>年四月</w:t>
      </w:r>
    </w:p>
    <w:p w14:paraId="5FE55B80">
      <w:pPr>
        <w:widowControl/>
        <w:jc w:val="left"/>
        <w:rPr>
          <w:rFonts w:ascii="宋体" w:hAnsi="宋体" w:eastAsia="宋体" w:cs="宋体"/>
          <w:color w:val="000000" w:themeColor="text1"/>
          <w:sz w:val="28"/>
        </w:rPr>
      </w:pPr>
      <w:r>
        <w:rPr>
          <w:rFonts w:ascii="宋体" w:hAnsi="宋体" w:eastAsia="宋体" w:cs="宋体"/>
          <w:color w:val="000000" w:themeColor="text1"/>
          <w:sz w:val="28"/>
        </w:rPr>
        <w:br w:type="page"/>
      </w:r>
    </w:p>
    <w:p w14:paraId="6D8F2F5E">
      <w:pPr>
        <w:pStyle w:val="45"/>
        <w:spacing w:before="0" w:after="0"/>
        <w:rPr>
          <w:rFonts w:ascii="宋体" w:hAnsi="宋体" w:cs="宋体"/>
          <w:color w:val="000000" w:themeColor="text1"/>
        </w:rPr>
      </w:pPr>
      <w:r>
        <w:rPr>
          <w:rFonts w:hint="eastAsia" w:ascii="宋体" w:hAnsi="宋体" w:cs="宋体"/>
          <w:color w:val="000000" w:themeColor="text1"/>
        </w:rPr>
        <w:t>第一章 竞价须知</w:t>
      </w:r>
    </w:p>
    <w:p w14:paraId="18CFA353">
      <w:pPr>
        <w:pStyle w:val="60"/>
        <w:numPr>
          <w:ilvl w:val="0"/>
          <w:numId w:val="4"/>
        </w:numPr>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szCs w:val="21"/>
        </w:rPr>
        <w:t>本项目通过云采链线上采购一体化平台（www.choicelink.cn）进行竞价，参与竞价的供应商必须登录平台进行注册，注册成功后方可参与项目竞价。</w:t>
      </w:r>
    </w:p>
    <w:p w14:paraId="51DD99F7">
      <w:pPr>
        <w:pStyle w:val="60"/>
        <w:numPr>
          <w:ilvl w:val="0"/>
          <w:numId w:val="4"/>
        </w:numPr>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rPr>
        <w:t>语言要求</w:t>
      </w:r>
    </w:p>
    <w:p w14:paraId="24F47875">
      <w:pPr>
        <w:spacing w:line="360" w:lineRule="auto"/>
        <w:ind w:left="420" w:leftChars="200"/>
        <w:rPr>
          <w:rFonts w:ascii="宋体" w:hAnsi="宋体" w:eastAsia="宋体" w:cs="宋体"/>
          <w:color w:val="000000" w:themeColor="text1"/>
        </w:rPr>
      </w:pPr>
      <w:r>
        <w:rPr>
          <w:rFonts w:hint="eastAsia" w:ascii="宋体" w:hAnsi="宋体" w:eastAsia="宋体" w:cs="宋体"/>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F0EE60E">
      <w:pPr>
        <w:pStyle w:val="60"/>
        <w:numPr>
          <w:ilvl w:val="0"/>
          <w:numId w:val="4"/>
        </w:numPr>
        <w:spacing w:line="360" w:lineRule="auto"/>
        <w:ind w:firstLineChars="0"/>
        <w:rPr>
          <w:rFonts w:ascii="宋体" w:hAnsi="宋体" w:eastAsia="宋体" w:cs="宋体"/>
          <w:b/>
          <w:bCs/>
          <w:color w:val="000000" w:themeColor="text1"/>
        </w:rPr>
      </w:pPr>
      <w:r>
        <w:rPr>
          <w:rFonts w:hint="eastAsia" w:ascii="宋体" w:hAnsi="宋体" w:eastAsia="宋体" w:cs="宋体"/>
          <w:b/>
          <w:bCs/>
          <w:color w:val="000000" w:themeColor="text1"/>
          <w:szCs w:val="21"/>
        </w:rPr>
        <w:t>在云采链平台参与项目竞价后放弃成交资格超过三次（含三次）的供应商连同该供应商同一法人名下所有公司将被列入平台黑名单，永久不得参与平台的项目竞价。</w:t>
      </w:r>
    </w:p>
    <w:p w14:paraId="35C3DF25">
      <w:pPr>
        <w:pStyle w:val="60"/>
        <w:numPr>
          <w:ilvl w:val="0"/>
          <w:numId w:val="4"/>
        </w:numPr>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rPr>
        <w:t>竞价须知</w:t>
      </w:r>
    </w:p>
    <w:p w14:paraId="3AC42934">
      <w:pPr>
        <w:pStyle w:val="60"/>
        <w:numPr>
          <w:ilvl w:val="0"/>
          <w:numId w:val="5"/>
        </w:numPr>
        <w:spacing w:line="360" w:lineRule="auto"/>
        <w:ind w:left="420" w:hanging="420" w:firstLineChars="0"/>
        <w:rPr>
          <w:rFonts w:ascii="宋体" w:hAnsi="宋体" w:eastAsia="宋体" w:cs="宋体"/>
          <w:b/>
          <w:color w:val="000000" w:themeColor="text1"/>
        </w:rPr>
      </w:pPr>
      <w:r>
        <w:rPr>
          <w:rStyle w:val="52"/>
          <w:rFonts w:hint="eastAsia" w:ascii="宋体" w:hAnsi="宋体" w:eastAsia="宋体" w:cs="宋体"/>
          <w:bCs w:val="0"/>
          <w:color w:val="000000" w:themeColor="text1"/>
        </w:rPr>
        <w:t>竞价说明</w:t>
      </w:r>
    </w:p>
    <w:p w14:paraId="6DC5B73B">
      <w:pPr>
        <w:pStyle w:val="60"/>
        <w:numPr>
          <w:ilvl w:val="0"/>
          <w:numId w:val="6"/>
        </w:numPr>
        <w:tabs>
          <w:tab w:val="left" w:pos="851"/>
        </w:tabs>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参与竞价的供应商应承担所有与准备和参加竞价有关的费用，不论竞价的结果如何，采购人和代理机构均无义务和责任承担这些费用。</w:t>
      </w:r>
    </w:p>
    <w:p w14:paraId="1AEF8206">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w:t>
      </w:r>
      <w:r>
        <w:rPr>
          <w:rFonts w:hint="eastAsia" w:ascii="宋体" w:hAnsi="宋体" w:eastAsia="宋体" w:cs="宋体"/>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35B0CAAB">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w:t>
      </w:r>
      <w:r>
        <w:rPr>
          <w:rFonts w:hint="eastAsia" w:ascii="宋体" w:hAnsi="宋体" w:eastAsia="宋体" w:cs="宋体"/>
          <w:color w:val="000000" w:themeColor="text1"/>
          <w:szCs w:val="21"/>
          <w:lang w:val="zh-CN"/>
        </w:rPr>
        <w:t>供应商需对</w:t>
      </w:r>
      <w:r>
        <w:rPr>
          <w:rFonts w:hint="eastAsia" w:ascii="宋体" w:hAnsi="宋体" w:cs="宋体"/>
          <w:color w:val="000000" w:themeColor="text1"/>
        </w:rPr>
        <w:t>采购</w:t>
      </w:r>
      <w:r>
        <w:rPr>
          <w:rFonts w:hint="eastAsia" w:ascii="宋体" w:hAnsi="宋体" w:eastAsia="宋体" w:cs="宋体"/>
          <w:color w:val="000000" w:themeColor="text1"/>
          <w:szCs w:val="21"/>
          <w:lang w:val="zh-CN"/>
        </w:rPr>
        <w:t>需求书的所有条款进行整体响应，</w:t>
      </w:r>
      <w:r>
        <w:rPr>
          <w:rFonts w:hint="eastAsia" w:ascii="宋体" w:hAnsi="宋体" w:cs="宋体"/>
          <w:color w:val="000000" w:themeColor="text1"/>
        </w:rPr>
        <w:t>采购</w:t>
      </w:r>
      <w:r>
        <w:rPr>
          <w:rFonts w:hint="eastAsia" w:ascii="宋体" w:hAnsi="宋体" w:eastAsia="宋体" w:cs="宋体"/>
          <w:color w:val="000000" w:themeColor="text1"/>
          <w:szCs w:val="21"/>
          <w:lang w:val="zh-CN"/>
        </w:rPr>
        <w:t>需求书条款若有一条负偏离或不响应，</w:t>
      </w:r>
      <w:r>
        <w:rPr>
          <w:rFonts w:hint="eastAsia" w:ascii="宋体" w:hAnsi="宋体" w:eastAsia="宋体" w:cs="宋体"/>
          <w:bCs/>
          <w:color w:val="000000" w:themeColor="text1"/>
          <w:szCs w:val="21"/>
        </w:rPr>
        <w:t>不推荐为成交候选人</w:t>
      </w:r>
      <w:r>
        <w:rPr>
          <w:rFonts w:hint="eastAsia" w:ascii="宋体" w:hAnsi="宋体" w:eastAsia="宋体" w:cs="宋体"/>
          <w:color w:val="000000" w:themeColor="text1"/>
          <w:szCs w:val="21"/>
          <w:lang w:val="zh-CN"/>
        </w:rPr>
        <w:t>。</w:t>
      </w:r>
    </w:p>
    <w:p w14:paraId="5AAAFFC5">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szCs w:val="21"/>
        </w:rPr>
        <w:t>若成交供应商自身原因无法完成本项目，则采购人有权利保留追究责任。</w:t>
      </w:r>
    </w:p>
    <w:p w14:paraId="6DA76A31">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成交供应商因自身原因被取消成交资格，采购人可重新启动采购或按竞价公告规定顺延推选符合要求的供应商作为成交供应商。</w:t>
      </w:r>
    </w:p>
    <w:p w14:paraId="6E6CEFF1">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若本项目竞价采购失败，采购人将重新采购，届时采购人有权根据项目具体情况，决定重新采购项目的采购方式。</w:t>
      </w:r>
    </w:p>
    <w:p w14:paraId="4E273148">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成交供应商若无正当理由恶意放弃成交资格，采购人有权将拒绝其参加本项目重新组织的竞价采购活动。</w:t>
      </w:r>
    </w:p>
    <w:p w14:paraId="2339015E">
      <w:pPr>
        <w:pStyle w:val="60"/>
        <w:numPr>
          <w:ilvl w:val="0"/>
          <w:numId w:val="6"/>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如采购人或代理机构在审核或复核</w:t>
      </w:r>
      <w:r>
        <w:rPr>
          <w:rFonts w:hint="eastAsia" w:ascii="宋体" w:hAnsi="宋体" w:eastAsia="宋体" w:cs="宋体"/>
          <w:color w:val="000000" w:themeColor="text1"/>
          <w:szCs w:val="21"/>
        </w:rPr>
        <w:t>参与竞价的</w:t>
      </w:r>
      <w:r>
        <w:rPr>
          <w:rFonts w:hint="eastAsia" w:ascii="宋体" w:hAnsi="宋体" w:eastAsia="宋体" w:cs="宋体"/>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19399C9C">
      <w:pPr>
        <w:pStyle w:val="60"/>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参与竞价的供应商向我司咨询的有关项目事项，一切以竞价文件规定和竞价公告规定以及本公司的书面答复为准，其他一切形式均为个人意见，不代表本公司的意见。</w:t>
      </w:r>
    </w:p>
    <w:p w14:paraId="32EA3D7B">
      <w:pPr>
        <w:pStyle w:val="60"/>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szCs w:val="21"/>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14:paraId="636299F7">
      <w:pPr>
        <w:pStyle w:val="60"/>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kern w:val="0"/>
          <w:szCs w:val="21"/>
        </w:rPr>
        <w:t>采购人有权拒绝接受任何不合格的货物或服务，由此产生的费用及相关后果均由成交供应商自行承担。</w:t>
      </w:r>
    </w:p>
    <w:p w14:paraId="0176D660">
      <w:pPr>
        <w:pStyle w:val="60"/>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rPr>
        <w:t>供应商认为竞价结果损害其权益的，应按照云采链平台相关指引在规定的时间内向采购人或代理机构提交书面质疑，不提交的视为无异议，逾期提交将不予受理。</w:t>
      </w:r>
    </w:p>
    <w:p w14:paraId="277D0850">
      <w:pPr>
        <w:pStyle w:val="60"/>
        <w:numPr>
          <w:ilvl w:val="0"/>
          <w:numId w:val="6"/>
        </w:numPr>
        <w:spacing w:line="360" w:lineRule="auto"/>
        <w:ind w:left="840" w:hanging="420" w:firstLineChars="0"/>
        <w:rPr>
          <w:rFonts w:ascii="宋体" w:hAnsi="宋体" w:eastAsia="宋体" w:cs="宋体"/>
          <w:color w:val="000000" w:themeColor="text1"/>
        </w:rPr>
      </w:pPr>
      <w:r>
        <w:rPr>
          <w:rFonts w:hint="eastAsia" w:ascii="宋体" w:hAnsi="宋体" w:eastAsia="宋体" w:cs="宋体"/>
          <w:color w:val="000000" w:themeColor="text1"/>
          <w:szCs w:val="21"/>
        </w:rPr>
        <w:t>本竞价公告和竞价文件的解释权归“云采链</w:t>
      </w:r>
      <w:r>
        <w:rPr>
          <w:rFonts w:hint="eastAsia" w:ascii="宋体" w:hAnsi="宋体" w:eastAsia="宋体" w:cs="宋体"/>
          <w:color w:val="000000" w:themeColor="text1"/>
        </w:rPr>
        <w:t>线上采购一体化平台</w:t>
      </w:r>
      <w:r>
        <w:rPr>
          <w:rFonts w:hint="eastAsia" w:ascii="宋体" w:hAnsi="宋体" w:eastAsia="宋体" w:cs="宋体"/>
          <w:color w:val="000000" w:themeColor="text1"/>
          <w:szCs w:val="21"/>
        </w:rPr>
        <w:t>”所有。</w:t>
      </w:r>
    </w:p>
    <w:p w14:paraId="0060A647">
      <w:pPr>
        <w:pStyle w:val="60"/>
        <w:numPr>
          <w:ilvl w:val="0"/>
          <w:numId w:val="5"/>
        </w:numPr>
        <w:spacing w:line="360" w:lineRule="auto"/>
        <w:ind w:left="420" w:hanging="420" w:firstLineChars="0"/>
        <w:rPr>
          <w:rFonts w:ascii="宋体" w:hAnsi="宋体" w:eastAsia="宋体" w:cs="宋体"/>
          <w:color w:val="000000" w:themeColor="text1"/>
        </w:rPr>
      </w:pPr>
      <w:r>
        <w:rPr>
          <w:rFonts w:hint="eastAsia" w:ascii="宋体" w:hAnsi="宋体" w:eastAsia="宋体" w:cs="宋体"/>
          <w:b/>
          <w:color w:val="000000" w:themeColor="text1"/>
        </w:rPr>
        <w:t>竞价文件的澄清或修改</w:t>
      </w:r>
    </w:p>
    <w:p w14:paraId="2B03D42A">
      <w:pPr>
        <w:pStyle w:val="60"/>
        <w:numPr>
          <w:ilvl w:val="0"/>
          <w:numId w:val="7"/>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采购人或者采购代理机构可以对已发出的竞价文件进行必要的澄清或者修改。澄清或者修改的内容将在云采链平台上发布澄清（更正/变更）公告。</w:t>
      </w:r>
    </w:p>
    <w:p w14:paraId="1A166C4A">
      <w:pPr>
        <w:pStyle w:val="60"/>
        <w:numPr>
          <w:ilvl w:val="0"/>
          <w:numId w:val="7"/>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rPr>
        <w:t>如报名截止时间少于一个工作日的，</w:t>
      </w:r>
      <w:r>
        <w:rPr>
          <w:rFonts w:hint="eastAsia" w:ascii="宋体" w:hAnsi="宋体" w:eastAsia="宋体" w:cs="宋体"/>
          <w:color w:val="000000" w:themeColor="text1"/>
        </w:rPr>
        <w:t>采购人或者采购代理机构应当相应顺延报名的截止时间。</w:t>
      </w:r>
    </w:p>
    <w:p w14:paraId="475D173B">
      <w:pPr>
        <w:pStyle w:val="60"/>
        <w:numPr>
          <w:ilvl w:val="0"/>
          <w:numId w:val="7"/>
        </w:numPr>
        <w:spacing w:line="360" w:lineRule="auto"/>
        <w:ind w:left="732" w:hanging="312" w:firstLineChars="0"/>
        <w:rPr>
          <w:rFonts w:ascii="宋体" w:hAnsi="宋体" w:eastAsia="宋体" w:cs="宋体"/>
          <w:color w:val="000000" w:themeColor="text1"/>
        </w:rPr>
      </w:pPr>
      <w:r>
        <w:rPr>
          <w:rFonts w:hint="eastAsia" w:ascii="宋体" w:hAnsi="宋体" w:eastAsia="宋体" w:cs="宋体"/>
          <w:color w:val="000000" w:themeColor="text1"/>
        </w:rPr>
        <w:t>采购人或者采购代理机构发出的澄清或修改（更正/变更）的内容为竞价文件的组成部分，并对供应商具有约束力。</w:t>
      </w:r>
    </w:p>
    <w:p w14:paraId="2627C40D">
      <w:pPr>
        <w:pStyle w:val="60"/>
        <w:numPr>
          <w:ilvl w:val="0"/>
          <w:numId w:val="5"/>
        </w:numPr>
        <w:spacing w:line="360" w:lineRule="auto"/>
        <w:ind w:left="420" w:hanging="420" w:firstLineChars="0"/>
        <w:rPr>
          <w:rStyle w:val="52"/>
          <w:rFonts w:ascii="宋体" w:hAnsi="宋体" w:eastAsia="宋体" w:cs="宋体"/>
          <w:bCs w:val="0"/>
        </w:rPr>
      </w:pPr>
      <w:r>
        <w:rPr>
          <w:rStyle w:val="52"/>
          <w:rFonts w:hint="eastAsia" w:ascii="宋体" w:hAnsi="宋体" w:eastAsia="宋体" w:cs="宋体"/>
          <w:bCs w:val="0"/>
        </w:rPr>
        <w:t>报名要求</w:t>
      </w:r>
      <w:r>
        <w:rPr>
          <w:rStyle w:val="52"/>
          <w:rFonts w:hint="eastAsia" w:ascii="宋体" w:hAnsi="宋体" w:eastAsia="宋体" w:cs="宋体"/>
          <w:b w:val="0"/>
        </w:rPr>
        <w:t>（参与竞价的供应商资质要求: 报名时需要提供以下</w:t>
      </w:r>
      <w:r>
        <w:rPr>
          <w:rStyle w:val="52"/>
          <w:rFonts w:hint="eastAsia" w:ascii="宋体" w:hAnsi="宋体" w:eastAsia="宋体" w:cs="宋体"/>
          <w:bCs w:val="0"/>
          <w:u w:val="single"/>
        </w:rPr>
        <w:t>盖章</w:t>
      </w:r>
      <w:r>
        <w:rPr>
          <w:rStyle w:val="52"/>
          <w:rFonts w:hint="eastAsia" w:ascii="宋体" w:hAnsi="宋体" w:eastAsia="宋体" w:cs="宋体"/>
          <w:b w:val="0"/>
        </w:rPr>
        <w:t>资料，并对上传的报名文件资料承担责任）</w:t>
      </w:r>
    </w:p>
    <w:p w14:paraId="7905F309">
      <w:pPr>
        <w:pStyle w:val="60"/>
        <w:widowControl/>
        <w:numPr>
          <w:ilvl w:val="0"/>
          <w:numId w:val="8"/>
        </w:numPr>
        <w:spacing w:line="360" w:lineRule="auto"/>
        <w:ind w:left="732" w:hanging="312" w:firstLineChars="0"/>
        <w:jc w:val="left"/>
        <w:rPr>
          <w:rFonts w:ascii="宋体" w:hAnsi="宋体" w:eastAsia="宋体" w:cs="宋体"/>
          <w:color w:val="000000" w:themeColor="text1"/>
          <w:kern w:val="0"/>
          <w:szCs w:val="20"/>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B150958">
      <w:pPr>
        <w:pStyle w:val="60"/>
        <w:widowControl/>
        <w:numPr>
          <w:ilvl w:val="0"/>
          <w:numId w:val="8"/>
        </w:numPr>
        <w:spacing w:line="360" w:lineRule="auto"/>
        <w:ind w:left="732" w:hanging="312" w:firstLineChars="0"/>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报名</w:t>
      </w:r>
      <w:r>
        <w:rPr>
          <w:rFonts w:ascii="宋体" w:hAnsi="宋体" w:eastAsia="宋体" w:cs="宋体"/>
          <w:color w:val="000000" w:themeColor="text1"/>
          <w:kern w:val="0"/>
          <w:szCs w:val="20"/>
        </w:rPr>
        <w:t>供应商须是：具有良好的商业信誉和健全的财务会计制度；有依法缴纳税收和社会保障资金的良好记录；</w:t>
      </w:r>
      <w:r>
        <w:rPr>
          <w:rFonts w:hint="eastAsia" w:ascii="宋体" w:hAnsi="宋体" w:eastAsia="宋体" w:cs="宋体"/>
          <w:color w:val="000000" w:themeColor="text1"/>
          <w:kern w:val="0"/>
          <w:szCs w:val="20"/>
        </w:rPr>
        <w:t>具有</w:t>
      </w:r>
      <w:r>
        <w:rPr>
          <w:rFonts w:ascii="宋体" w:hAnsi="宋体" w:eastAsia="宋体" w:cs="宋体"/>
          <w:color w:val="000000" w:themeColor="text1"/>
          <w:kern w:val="0"/>
          <w:szCs w:val="20"/>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03FB9F1E">
      <w:pPr>
        <w:pStyle w:val="60"/>
        <w:widowControl/>
        <w:numPr>
          <w:ilvl w:val="0"/>
          <w:numId w:val="8"/>
        </w:numPr>
        <w:spacing w:line="360" w:lineRule="auto"/>
        <w:ind w:left="732" w:hanging="312" w:firstLineChars="0"/>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1"/>
        </w:rPr>
        <w:t>供应商完全响应本项目</w:t>
      </w:r>
      <w:r>
        <w:rPr>
          <w:rFonts w:hint="eastAsia" w:ascii="宋体" w:hAnsi="宋体" w:cs="宋体"/>
          <w:color w:val="000000" w:themeColor="text1"/>
        </w:rPr>
        <w:t>采购</w:t>
      </w:r>
      <w:r>
        <w:rPr>
          <w:rFonts w:hint="eastAsia" w:ascii="宋体" w:hAnsi="宋体" w:eastAsia="宋体" w:cs="宋体"/>
          <w:color w:val="000000" w:themeColor="text1"/>
          <w:kern w:val="0"/>
          <w:szCs w:val="21"/>
        </w:rPr>
        <w:t>需求的条款、内容及要求的，提供</w:t>
      </w:r>
      <w:r>
        <w:rPr>
          <w:rFonts w:hint="eastAsia" w:ascii="宋体" w:hAnsi="宋体" w:cs="宋体"/>
          <w:color w:val="000000" w:themeColor="text1"/>
        </w:rPr>
        <w:t>采购</w:t>
      </w:r>
      <w:r>
        <w:rPr>
          <w:rFonts w:hint="eastAsia" w:ascii="宋体" w:hAnsi="宋体" w:eastAsia="宋体" w:cs="宋体"/>
          <w:color w:val="000000" w:themeColor="text1"/>
          <w:kern w:val="0"/>
          <w:szCs w:val="21"/>
        </w:rPr>
        <w:t>需求书响应声明函，格式详见附件。</w:t>
      </w:r>
    </w:p>
    <w:p w14:paraId="3D885278">
      <w:pPr>
        <w:pStyle w:val="60"/>
        <w:widowControl/>
        <w:numPr>
          <w:ilvl w:val="0"/>
          <w:numId w:val="8"/>
        </w:numPr>
        <w:spacing w:line="360" w:lineRule="auto"/>
        <w:ind w:left="732" w:hanging="312" w:firstLineChars="0"/>
        <w:jc w:val="left"/>
        <w:rPr>
          <w:rFonts w:ascii="宋体" w:hAnsi="宋体" w:eastAsia="宋体" w:cs="宋体"/>
          <w:color w:val="000000" w:themeColor="text1"/>
          <w:kern w:val="0"/>
          <w:szCs w:val="20"/>
        </w:rPr>
      </w:pPr>
      <w:r>
        <w:rPr>
          <w:rFonts w:hint="eastAsia" w:ascii="宋体" w:hAnsi="宋体" w:eastAsia="宋体" w:cs="宋体"/>
          <w:color w:val="000000" w:themeColor="text1"/>
          <w:kern w:val="0"/>
          <w:szCs w:val="20"/>
        </w:rPr>
        <w:t>供应商未被列入“信用中国”网站(www.creditchina.gov.cn) 以下任何记录名单之一：①失信被执行人；②重大税收违法失信主体；③政府采购严重违法失信行为。同时，在中国政府采购网(www.ccgp.gov.cn)“政府采购严重违法失信行为信息记录”中查询没有处于禁止参加政府采购活动的记录名单。（提供报名期间的相关查询记录截图并加盖供应商公章，信用中国截图可前往信用中国网-信用服务①失信被执行人；②重大税收违法失信主体；③政府采购严重违法失信行为）以上四类查询分别截图加盖公章扫描为一个PDF文件上传（采购人、采购代理机构将于报价截止日当天在上述渠道复查供应商的信用记录，若供应商自查结果与采购人或采购代理机构复查结果不一致，将以复查结果为准）。</w:t>
      </w:r>
    </w:p>
    <w:p w14:paraId="08AEA5BC">
      <w:pPr>
        <w:pStyle w:val="60"/>
        <w:numPr>
          <w:ilvl w:val="0"/>
          <w:numId w:val="5"/>
        </w:numPr>
        <w:spacing w:line="360" w:lineRule="auto"/>
        <w:ind w:left="420" w:hanging="420" w:firstLineChars="0"/>
        <w:rPr>
          <w:rStyle w:val="52"/>
          <w:rFonts w:ascii="宋体" w:hAnsi="宋体" w:eastAsia="宋体" w:cs="宋体"/>
          <w:bCs w:val="0"/>
          <w:color w:val="000000" w:themeColor="text1"/>
        </w:rPr>
      </w:pPr>
      <w:r>
        <w:rPr>
          <w:rStyle w:val="52"/>
          <w:rFonts w:hint="eastAsia" w:ascii="宋体" w:hAnsi="宋体" w:eastAsia="宋体" w:cs="宋体"/>
          <w:bCs w:val="0"/>
          <w:color w:val="000000" w:themeColor="text1"/>
        </w:rPr>
        <w:t>报价要求</w:t>
      </w:r>
      <w:r>
        <w:rPr>
          <w:rStyle w:val="52"/>
          <w:rFonts w:hint="eastAsia" w:ascii="宋体" w:hAnsi="宋体" w:eastAsia="宋体" w:cs="宋体"/>
          <w:color w:val="000000" w:themeColor="text1"/>
          <w:szCs w:val="21"/>
        </w:rPr>
        <w:t>（</w:t>
      </w:r>
      <w:r>
        <w:rPr>
          <w:rStyle w:val="52"/>
          <w:rFonts w:hint="eastAsia" w:ascii="宋体" w:hAnsi="宋体" w:eastAsia="宋体" w:cs="宋体"/>
          <w:b w:val="0"/>
          <w:color w:val="000000" w:themeColor="text1"/>
          <w:szCs w:val="21"/>
        </w:rPr>
        <w:t>报价时需要提供以下</w:t>
      </w:r>
      <w:r>
        <w:rPr>
          <w:rStyle w:val="52"/>
          <w:rFonts w:hint="eastAsia" w:ascii="宋体" w:hAnsi="宋体" w:eastAsia="宋体" w:cs="宋体"/>
          <w:color w:val="000000" w:themeColor="text1"/>
          <w:szCs w:val="21"/>
          <w:u w:val="double"/>
        </w:rPr>
        <w:t>盖章</w:t>
      </w:r>
      <w:r>
        <w:rPr>
          <w:rStyle w:val="52"/>
          <w:rFonts w:hint="eastAsia" w:ascii="宋体" w:hAnsi="宋体" w:eastAsia="宋体" w:cs="宋体"/>
          <w:b w:val="0"/>
          <w:color w:val="000000" w:themeColor="text1"/>
          <w:szCs w:val="21"/>
        </w:rPr>
        <w:t>资料，</w:t>
      </w:r>
      <w:r>
        <w:rPr>
          <w:rFonts w:hint="eastAsia" w:ascii="宋体" w:hAnsi="宋体" w:eastAsia="宋体" w:cs="宋体"/>
          <w:color w:val="000000" w:themeColor="text1"/>
          <w:szCs w:val="21"/>
        </w:rPr>
        <w:t>并对上传的竞价文件资料承担责任</w:t>
      </w:r>
      <w:r>
        <w:rPr>
          <w:rStyle w:val="52"/>
          <w:rFonts w:hint="eastAsia" w:ascii="宋体" w:hAnsi="宋体" w:eastAsia="宋体" w:cs="宋体"/>
          <w:color w:val="000000" w:themeColor="text1"/>
          <w:szCs w:val="21"/>
        </w:rPr>
        <w:t>）</w:t>
      </w:r>
    </w:p>
    <w:p w14:paraId="6012EA3E">
      <w:pPr>
        <w:pStyle w:val="60"/>
        <w:numPr>
          <w:ilvl w:val="0"/>
          <w:numId w:val="9"/>
        </w:numPr>
        <w:spacing w:line="360" w:lineRule="auto"/>
        <w:ind w:left="732" w:hanging="312" w:firstLineChars="0"/>
        <w:rPr>
          <w:rFonts w:ascii="宋体" w:hAnsi="宋体" w:eastAsia="宋体" w:cs="宋体"/>
          <w:szCs w:val="21"/>
        </w:rPr>
      </w:pPr>
      <w:r>
        <w:rPr>
          <w:rFonts w:hint="eastAsia" w:ascii="宋体" w:hAnsi="宋体" w:eastAsia="宋体" w:cs="宋体"/>
          <w:color w:val="000000" w:themeColor="text1"/>
          <w:szCs w:val="21"/>
        </w:rPr>
        <w:t>通过报名供应商应根据本公告要求，在规定的竞价时间内对采购项目进行报价，同时按本公告要求完整、真实、准确地填写并上传相应报价附件</w:t>
      </w:r>
      <w:r>
        <w:rPr>
          <w:rFonts w:hint="eastAsia" w:ascii="宋体" w:hAnsi="宋体" w:eastAsia="宋体" w:cs="宋体"/>
          <w:b/>
          <w:bCs/>
          <w:color w:val="000000" w:themeColor="text1"/>
          <w:szCs w:val="21"/>
        </w:rPr>
        <w:t>（</w:t>
      </w:r>
      <w:r>
        <w:rPr>
          <w:rFonts w:hint="eastAsia" w:ascii="宋体" w:hAnsi="宋体" w:eastAsia="宋体" w:cs="宋体"/>
          <w:b/>
          <w:szCs w:val="21"/>
        </w:rPr>
        <w:t>上传</w:t>
      </w:r>
      <w:r>
        <w:rPr>
          <w:rFonts w:hint="eastAsia" w:ascii="宋体" w:hAnsi="宋体" w:eastAsia="宋体" w:cs="宋体"/>
          <w:b/>
          <w:bCs/>
          <w:szCs w:val="21"/>
          <w:shd w:val="clear" w:color="auto" w:fill="FFFFFF"/>
        </w:rPr>
        <w:t>报价表）。</w:t>
      </w:r>
    </w:p>
    <w:p w14:paraId="787DF15F">
      <w:pPr>
        <w:pStyle w:val="60"/>
        <w:numPr>
          <w:ilvl w:val="0"/>
          <w:numId w:val="9"/>
        </w:numPr>
        <w:spacing w:line="360" w:lineRule="auto"/>
        <w:ind w:left="732" w:hanging="312" w:firstLineChars="0"/>
        <w:rPr>
          <w:rFonts w:ascii="宋体" w:hAnsi="宋体" w:eastAsia="宋体" w:cs="宋体"/>
          <w:color w:val="000000" w:themeColor="text1"/>
        </w:rPr>
      </w:pPr>
      <w:r>
        <w:rPr>
          <w:rFonts w:hint="eastAsia" w:ascii="宋体" w:hAnsi="宋体" w:eastAsia="宋体" w:cs="宋体"/>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E25F21A">
      <w:pPr>
        <w:pStyle w:val="60"/>
        <w:numPr>
          <w:ilvl w:val="0"/>
          <w:numId w:val="5"/>
        </w:numPr>
        <w:spacing w:line="360" w:lineRule="auto"/>
        <w:ind w:left="420" w:hanging="420" w:firstLineChars="0"/>
        <w:rPr>
          <w:rStyle w:val="52"/>
          <w:rFonts w:ascii="宋体" w:hAnsi="宋体" w:eastAsia="宋体" w:cs="宋体"/>
          <w:bCs w:val="0"/>
          <w:color w:val="000000" w:themeColor="text1"/>
        </w:rPr>
      </w:pPr>
      <w:r>
        <w:rPr>
          <w:rStyle w:val="52"/>
          <w:rFonts w:hint="eastAsia" w:ascii="宋体" w:hAnsi="宋体" w:eastAsia="宋体" w:cs="宋体"/>
          <w:bCs w:val="0"/>
          <w:color w:val="000000" w:themeColor="text1"/>
        </w:rPr>
        <w:t>确定成交候选人</w:t>
      </w:r>
    </w:p>
    <w:p w14:paraId="236DE6A3">
      <w:pPr>
        <w:pStyle w:val="60"/>
        <w:numPr>
          <w:ilvl w:val="0"/>
          <w:numId w:val="10"/>
        </w:numPr>
        <w:spacing w:line="360" w:lineRule="auto"/>
        <w:ind w:left="732" w:hanging="312" w:firstLineChars="0"/>
        <w:rPr>
          <w:rFonts w:ascii="宋体" w:hAnsi="宋体" w:eastAsia="宋体" w:cs="宋体"/>
          <w:bCs/>
          <w:color w:val="000000" w:themeColor="text1"/>
        </w:rPr>
      </w:pPr>
      <w:r>
        <w:rPr>
          <w:rFonts w:hint="eastAsia" w:ascii="宋体" w:hAnsi="宋体" w:eastAsia="宋体" w:cs="宋体"/>
          <w:color w:val="000000" w:themeColor="text1"/>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53AA74DD">
      <w:pPr>
        <w:pStyle w:val="60"/>
        <w:numPr>
          <w:ilvl w:val="0"/>
          <w:numId w:val="5"/>
        </w:numPr>
        <w:spacing w:line="360" w:lineRule="auto"/>
        <w:ind w:left="420" w:hanging="420" w:firstLineChars="0"/>
        <w:rPr>
          <w:rFonts w:ascii="宋体" w:hAnsi="宋体" w:eastAsia="宋体" w:cs="宋体"/>
          <w:b/>
          <w:color w:val="000000" w:themeColor="text1"/>
          <w:szCs w:val="21"/>
        </w:rPr>
      </w:pPr>
      <w:r>
        <w:rPr>
          <w:rFonts w:hint="eastAsia" w:ascii="宋体" w:hAnsi="宋体" w:eastAsia="宋体" w:cs="宋体"/>
          <w:b/>
          <w:color w:val="000000" w:themeColor="text1"/>
          <w:szCs w:val="21"/>
        </w:rPr>
        <w:t>无效报价</w:t>
      </w:r>
    </w:p>
    <w:p w14:paraId="6E3D72A3">
      <w:pPr>
        <w:pStyle w:val="60"/>
        <w:numPr>
          <w:ilvl w:val="0"/>
          <w:numId w:val="11"/>
        </w:numPr>
        <w:spacing w:line="360" w:lineRule="auto"/>
        <w:ind w:left="732" w:hanging="312" w:firstLineChars="0"/>
        <w:rPr>
          <w:rFonts w:ascii="宋体" w:hAnsi="宋体" w:eastAsia="宋体" w:cs="宋体"/>
          <w:color w:val="000000" w:themeColor="text1"/>
          <w:szCs w:val="21"/>
        </w:rPr>
      </w:pPr>
      <w:r>
        <w:rPr>
          <w:rFonts w:hint="eastAsia" w:ascii="宋体" w:hAnsi="宋体" w:eastAsia="宋体" w:cs="宋体"/>
          <w:color w:val="000000" w:themeColor="text1"/>
          <w:szCs w:val="21"/>
        </w:rPr>
        <w:t>参与竞价的供应商报价超过最高限价或低于最低限价或超过项目对应产品单项最高限价的视为无效报价；</w:t>
      </w:r>
    </w:p>
    <w:p w14:paraId="29863F80">
      <w:pPr>
        <w:pStyle w:val="60"/>
        <w:numPr>
          <w:ilvl w:val="0"/>
          <w:numId w:val="11"/>
        </w:numPr>
        <w:spacing w:line="360" w:lineRule="auto"/>
        <w:ind w:left="732" w:hanging="312" w:firstLineChars="0"/>
        <w:rPr>
          <w:rFonts w:ascii="宋体" w:hAnsi="宋体" w:eastAsia="宋体" w:cs="宋体"/>
          <w:color w:val="000000" w:themeColor="text1"/>
          <w:szCs w:val="21"/>
        </w:rPr>
      </w:pPr>
      <w:r>
        <w:rPr>
          <w:rFonts w:hint="eastAsia" w:ascii="宋体" w:hAnsi="宋体" w:eastAsia="宋体" w:cs="宋体"/>
          <w:color w:val="000000" w:themeColor="text1"/>
          <w:szCs w:val="21"/>
        </w:rPr>
        <w:t>参与竞价的</w:t>
      </w:r>
      <w:r>
        <w:rPr>
          <w:rFonts w:hint="eastAsia" w:ascii="宋体" w:hAnsi="宋体" w:eastAsia="宋体" w:cs="宋体"/>
          <w:bCs/>
          <w:color w:val="000000" w:themeColor="text1"/>
          <w:szCs w:val="21"/>
        </w:rPr>
        <w:t>供应商须提供本项目要求的资质文件，如果不按公告规定或竞价文件要求等相关规定提供符合要求的资质文件，将被视为无效报价。</w:t>
      </w:r>
    </w:p>
    <w:p w14:paraId="1A18CEC8">
      <w:pPr>
        <w:pStyle w:val="60"/>
        <w:numPr>
          <w:ilvl w:val="0"/>
          <w:numId w:val="11"/>
        </w:numPr>
        <w:spacing w:line="360" w:lineRule="auto"/>
        <w:ind w:left="732" w:hanging="312" w:firstLineChars="0"/>
        <w:rPr>
          <w:rFonts w:ascii="宋体" w:hAnsi="宋体" w:eastAsia="宋体" w:cs="宋体"/>
          <w:color w:val="000000" w:themeColor="text1"/>
          <w:szCs w:val="21"/>
        </w:rPr>
      </w:pPr>
      <w:r>
        <w:rPr>
          <w:rFonts w:hint="eastAsia" w:ascii="宋体" w:hAnsi="宋体" w:eastAsia="宋体" w:cs="宋体"/>
          <w:color w:val="000000" w:themeColor="text1"/>
          <w:szCs w:val="21"/>
        </w:rPr>
        <w:t>参与竞价的</w:t>
      </w:r>
      <w:r>
        <w:rPr>
          <w:rFonts w:hint="eastAsia" w:ascii="宋体" w:hAnsi="宋体" w:eastAsia="宋体" w:cs="宋体"/>
          <w:bCs/>
          <w:color w:val="000000" w:themeColor="text1"/>
          <w:szCs w:val="21"/>
        </w:rPr>
        <w:t>供应商须对本项目采购内容进行整体报价，任何只对其中一部分内容进行的报价都被视为无效报价。</w:t>
      </w:r>
    </w:p>
    <w:p w14:paraId="275162AC">
      <w:pPr>
        <w:pStyle w:val="60"/>
        <w:numPr>
          <w:ilvl w:val="0"/>
          <w:numId w:val="11"/>
        </w:numPr>
        <w:spacing w:line="360" w:lineRule="auto"/>
        <w:ind w:left="732" w:hanging="312" w:firstLineChars="0"/>
        <w:rPr>
          <w:rFonts w:ascii="宋体" w:hAnsi="宋体" w:eastAsia="宋体" w:cs="宋体"/>
          <w:color w:val="000000" w:themeColor="text1"/>
          <w:szCs w:val="21"/>
        </w:rPr>
      </w:pPr>
      <w:r>
        <w:rPr>
          <w:rFonts w:hint="eastAsia" w:ascii="宋体" w:hAnsi="宋体" w:eastAsia="宋体" w:cs="宋体"/>
          <w:color w:val="000000" w:themeColor="text1"/>
          <w:u w:val="double"/>
        </w:rPr>
        <w:t>报价表以及有报价供应商落款的报价文件必须加盖报价供应商公章，否则视为无效报价。</w:t>
      </w:r>
    </w:p>
    <w:p w14:paraId="0384033F">
      <w:pPr>
        <w:pStyle w:val="44"/>
        <w:numPr>
          <w:ilvl w:val="0"/>
          <w:numId w:val="11"/>
        </w:numPr>
        <w:shd w:val="clear" w:color="auto" w:fill="FFFFFF"/>
        <w:spacing w:before="0" w:beforeAutospacing="0" w:after="0" w:afterAutospacing="0" w:line="360" w:lineRule="auto"/>
        <w:ind w:left="732" w:hanging="312"/>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D9B8EB7">
      <w:pPr>
        <w:pStyle w:val="44"/>
        <w:numPr>
          <w:ilvl w:val="0"/>
          <w:numId w:val="11"/>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58AFFDF5">
      <w:pPr>
        <w:pStyle w:val="44"/>
        <w:numPr>
          <w:ilvl w:val="0"/>
          <w:numId w:val="11"/>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51DC0127">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存在单位负责人为同一人或存在控股、管理关系的不同单位参与同一竞价项目；</w:t>
      </w:r>
    </w:p>
    <w:p w14:paraId="2C730FF8">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不同供应商的响应文件由同一单位或者个人编制；</w:t>
      </w:r>
    </w:p>
    <w:p w14:paraId="009D8A14">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不同供应商委托同一单位或者个人办理竞价事宜；</w:t>
      </w:r>
    </w:p>
    <w:p w14:paraId="70D99F06">
      <w:pPr>
        <w:pStyle w:val="60"/>
        <w:widowControl/>
        <w:numPr>
          <w:ilvl w:val="0"/>
          <w:numId w:val="12"/>
        </w:numPr>
        <w:spacing w:line="360" w:lineRule="auto"/>
        <w:ind w:left="1418" w:hanging="567" w:firstLineChars="0"/>
        <w:jc w:val="left"/>
        <w:rPr>
          <w:rFonts w:ascii="宋体" w:hAnsi="宋体" w:eastAsia="宋体" w:cs="宋体"/>
          <w:b/>
          <w:bCs/>
          <w:color w:val="000000" w:themeColor="text1"/>
          <w:szCs w:val="21"/>
          <w:u w:val="double"/>
        </w:rPr>
      </w:pPr>
      <w:r>
        <w:rPr>
          <w:rFonts w:hint="eastAsia" w:ascii="宋体" w:hAnsi="宋体" w:eastAsia="宋体" w:cs="宋体"/>
          <w:b/>
          <w:bCs/>
          <w:color w:val="000000" w:themeColor="text1"/>
          <w:szCs w:val="21"/>
          <w:u w:val="double"/>
        </w:rPr>
        <w:t>不同供应商使用同一IP地址参与竞价；</w:t>
      </w:r>
    </w:p>
    <w:p w14:paraId="4D09C499">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不同供应商的响应文件载明的项目管理成员或者联系人员为同一人；</w:t>
      </w:r>
    </w:p>
    <w:p w14:paraId="2BEE3EDD">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不同供应商的响应文件异常一致或者报价呈规律性差异；</w:t>
      </w:r>
    </w:p>
    <w:p w14:paraId="1BD1D796">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不同供应商的响应文件相互混淆；</w:t>
      </w:r>
    </w:p>
    <w:p w14:paraId="04CB8791">
      <w:pPr>
        <w:pStyle w:val="60"/>
        <w:widowControl/>
        <w:numPr>
          <w:ilvl w:val="0"/>
          <w:numId w:val="12"/>
        </w:numPr>
        <w:spacing w:line="360" w:lineRule="auto"/>
        <w:ind w:left="1418" w:hanging="567" w:firstLineChars="0"/>
        <w:jc w:val="left"/>
        <w:rPr>
          <w:rFonts w:ascii="宋体" w:hAnsi="宋体" w:eastAsia="宋体" w:cs="宋体"/>
          <w:color w:val="000000" w:themeColor="text1"/>
          <w:szCs w:val="21"/>
        </w:rPr>
      </w:pPr>
      <w:r>
        <w:rPr>
          <w:rFonts w:hint="eastAsia" w:ascii="宋体" w:hAnsi="宋体" w:eastAsia="宋体" w:cs="宋体"/>
          <w:color w:val="000000" w:themeColor="text1"/>
          <w:szCs w:val="21"/>
        </w:rPr>
        <w:t>不同供应商的平台使用费从同一单位或者个人的账户转出。</w:t>
      </w:r>
    </w:p>
    <w:p w14:paraId="62E764C7">
      <w:pPr>
        <w:pStyle w:val="60"/>
        <w:numPr>
          <w:ilvl w:val="0"/>
          <w:numId w:val="5"/>
        </w:numPr>
        <w:spacing w:line="360" w:lineRule="auto"/>
        <w:ind w:left="420" w:hanging="420" w:firstLineChars="0"/>
        <w:rPr>
          <w:rFonts w:ascii="宋体" w:hAnsi="宋体" w:eastAsia="宋体" w:cs="宋体"/>
          <w:color w:val="000000" w:themeColor="text1"/>
          <w:szCs w:val="21"/>
        </w:rPr>
      </w:pPr>
      <w:r>
        <w:rPr>
          <w:rFonts w:hint="eastAsia" w:ascii="宋体" w:hAnsi="宋体" w:eastAsia="宋体" w:cs="宋体"/>
          <w:b/>
          <w:color w:val="000000" w:themeColor="text1"/>
          <w:szCs w:val="21"/>
        </w:rPr>
        <w:t>竞价活动失败</w:t>
      </w:r>
    </w:p>
    <w:p w14:paraId="40E5F84B">
      <w:pPr>
        <w:pStyle w:val="60"/>
        <w:numPr>
          <w:ilvl w:val="0"/>
          <w:numId w:val="13"/>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14:paraId="3B8A3F4B">
      <w:pPr>
        <w:pStyle w:val="60"/>
        <w:numPr>
          <w:ilvl w:val="0"/>
          <w:numId w:val="14"/>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14:paraId="2DFB6FE7">
      <w:pPr>
        <w:pStyle w:val="60"/>
        <w:numPr>
          <w:ilvl w:val="0"/>
          <w:numId w:val="14"/>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14:paraId="12875F6B">
      <w:pPr>
        <w:pStyle w:val="6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14:paraId="693EFB4B">
      <w:pPr>
        <w:pStyle w:val="6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14:paraId="224D9F85">
      <w:pPr>
        <w:pStyle w:val="60"/>
        <w:numPr>
          <w:ilvl w:val="0"/>
          <w:numId w:val="5"/>
        </w:numPr>
        <w:spacing w:line="360" w:lineRule="auto"/>
        <w:ind w:left="420" w:hanging="420" w:firstLineChars="0"/>
        <w:rPr>
          <w:rFonts w:ascii="宋体" w:hAnsi="宋体" w:eastAsia="宋体" w:cs="宋体"/>
          <w:b/>
          <w:color w:val="000000" w:themeColor="text1"/>
          <w:szCs w:val="21"/>
        </w:rPr>
      </w:pPr>
      <w:r>
        <w:rPr>
          <w:rFonts w:hint="eastAsia" w:ascii="宋体" w:hAnsi="宋体" w:eastAsia="宋体" w:cs="宋体"/>
          <w:b/>
          <w:color w:val="000000" w:themeColor="text1"/>
          <w:szCs w:val="21"/>
        </w:rPr>
        <w:t>使用费</w:t>
      </w:r>
    </w:p>
    <w:p w14:paraId="667572C5">
      <w:pPr>
        <w:pStyle w:val="60"/>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093C097F">
      <w:pPr>
        <w:pStyle w:val="60"/>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5CF7E3F5">
      <w:pPr>
        <w:pStyle w:val="60"/>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6B803995">
      <w:pPr>
        <w:pStyle w:val="60"/>
        <w:numPr>
          <w:ilvl w:val="0"/>
          <w:numId w:val="4"/>
        </w:numPr>
        <w:spacing w:line="360" w:lineRule="auto"/>
        <w:ind w:firstLineChars="0"/>
        <w:rPr>
          <w:rFonts w:ascii="宋体" w:hAnsi="宋体" w:eastAsia="宋体" w:cs="宋体"/>
          <w:b/>
          <w:color w:val="000000" w:themeColor="text1"/>
        </w:rPr>
      </w:pPr>
      <w:r>
        <w:rPr>
          <w:rFonts w:hint="eastAsia" w:ascii="宋体" w:hAnsi="宋体" w:eastAsia="宋体" w:cs="宋体"/>
          <w:b/>
          <w:color w:val="000000" w:themeColor="text1"/>
        </w:rPr>
        <w:t>联系方式</w:t>
      </w:r>
    </w:p>
    <w:p w14:paraId="76250466">
      <w:pPr>
        <w:pStyle w:val="60"/>
        <w:spacing w:line="360" w:lineRule="auto"/>
        <w:ind w:left="420" w:firstLine="0" w:firstLineChars="0"/>
        <w:rPr>
          <w:rFonts w:ascii="宋体" w:hAnsi="宋体" w:eastAsia="宋体" w:cstheme="minorEastAsia"/>
          <w:b/>
          <w:color w:val="000000" w:themeColor="text1"/>
        </w:rPr>
      </w:pPr>
      <w:r>
        <w:rPr>
          <w:rFonts w:ascii="宋体" w:hAnsi="宋体" w:eastAsia="宋体"/>
        </w:rPr>
        <w:t>1</w:t>
      </w:r>
      <w:r>
        <w:rPr>
          <w:rFonts w:hint="eastAsia" w:ascii="宋体" w:hAnsi="宋体" w:eastAsia="宋体"/>
        </w:rPr>
        <w:t>.</w:t>
      </w:r>
      <w:r>
        <w:rPr>
          <w:rFonts w:ascii="宋体" w:hAnsi="宋体" w:eastAsia="宋体"/>
        </w:rPr>
        <w:t>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广东省广裕集团肇庆祥达实业有限公司</w:t>
      </w:r>
      <w:r>
        <w:t>业务咨询部门电话</w:t>
      </w:r>
      <w:r>
        <w:rPr>
          <w:rFonts w:ascii="宋体" w:hAnsi="宋体" w:eastAsia="宋体"/>
        </w:rPr>
        <w:t> 0758-3173863。</w:t>
      </w:r>
      <w:r>
        <w:rPr>
          <w:rFonts w:ascii="宋体" w:hAnsi="宋体" w:eastAsia="宋体"/>
        </w:rPr>
        <w:br w:type="textWrapping"/>
      </w:r>
      <w:r>
        <w:rPr>
          <w:rFonts w:ascii="宋体" w:hAnsi="宋体" w:eastAsia="宋体"/>
        </w:rPr>
        <w:t>2</w:t>
      </w:r>
      <w:r>
        <w:rPr>
          <w:rFonts w:hint="eastAsia" w:ascii="宋体" w:hAnsi="宋体" w:eastAsia="宋体"/>
        </w:rPr>
        <w:t>.</w:t>
      </w:r>
      <w:r>
        <w:t>纪检监督部门</w:t>
      </w:r>
      <w:r>
        <w:rPr>
          <w:rFonts w:ascii="宋体" w:hAnsi="宋体" w:eastAsia="宋体"/>
        </w:rPr>
        <w:t>：</w:t>
      </w:r>
      <w:r>
        <w:rPr>
          <w:rFonts w:ascii="宋体" w:hAnsi="宋体" w:eastAsia="宋体"/>
        </w:rPr>
        <w:br w:type="textWrapping"/>
      </w:r>
      <w:r>
        <w:rPr>
          <w:rFonts w:hint="eastAsia" w:ascii="宋体" w:hAnsi="宋体" w:eastAsia="宋体"/>
        </w:rPr>
        <w:t xml:space="preserve">广东省广裕集团肇庆祥达实业有限公司纪检监督部门电话  </w:t>
      </w:r>
      <w:r>
        <w:rPr>
          <w:rFonts w:ascii="宋体" w:hAnsi="宋体" w:eastAsia="宋体"/>
        </w:rPr>
        <w:t>0758—3173809。</w:t>
      </w:r>
    </w:p>
    <w:p w14:paraId="3F43BD48">
      <w:pPr>
        <w:pStyle w:val="60"/>
        <w:widowControl/>
        <w:spacing w:line="360" w:lineRule="auto"/>
        <w:ind w:left="420" w:firstLine="0" w:firstLineChars="0"/>
        <w:jc w:val="left"/>
        <w:rPr>
          <w:rFonts w:ascii="宋体" w:hAnsi="宋体" w:eastAsia="宋体" w:cstheme="minorEastAsia"/>
          <w:color w:val="000000" w:themeColor="text1"/>
        </w:rPr>
      </w:pPr>
      <w:r>
        <w:rPr>
          <w:rFonts w:hint="eastAsia" w:ascii="宋体" w:hAnsi="宋体" w:eastAsia="宋体" w:cstheme="minorEastAsia"/>
          <w:color w:val="000000" w:themeColor="text1"/>
        </w:rPr>
        <w:t>3.扫码关注微信公众号“云采链互联服务平台”，即可在线咨询相关事项。</w:t>
      </w:r>
    </w:p>
    <w:p w14:paraId="7B54BCAA">
      <w:pPr>
        <w:pStyle w:val="60"/>
        <w:widowControl/>
        <w:spacing w:line="360" w:lineRule="auto"/>
        <w:ind w:left="420" w:firstLine="0" w:firstLineChars="0"/>
        <w:jc w:val="center"/>
        <w:rPr>
          <w:rFonts w:ascii="宋体" w:hAnsi="宋体" w:eastAsia="宋体" w:cs="宋体"/>
          <w:color w:val="000000" w:themeColor="text1"/>
        </w:rPr>
      </w:pPr>
      <w:r>
        <w:rPr>
          <w:rFonts w:hint="eastAsia" w:ascii="宋体" w:hAnsi="宋体" w:eastAsia="宋体" w:cs="宋体"/>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51E6D935">
      <w:pPr>
        <w:rPr>
          <w:rFonts w:ascii="宋体" w:hAnsi="宋体" w:eastAsia="宋体" w:cs="宋体"/>
          <w:color w:val="000000" w:themeColor="text1"/>
        </w:rPr>
      </w:pPr>
      <w:r>
        <w:rPr>
          <w:rFonts w:hint="eastAsia" w:ascii="宋体" w:hAnsi="宋体" w:eastAsia="宋体" w:cs="宋体"/>
          <w:color w:val="000000" w:themeColor="text1"/>
        </w:rPr>
        <w:br w:type="page"/>
      </w:r>
    </w:p>
    <w:p w14:paraId="7568F909">
      <w:pPr>
        <w:snapToGrid w:val="0"/>
        <w:spacing w:line="360" w:lineRule="auto"/>
        <w:jc w:val="center"/>
        <w:outlineLvl w:val="0"/>
        <w:rPr>
          <w:rFonts w:ascii="宋体" w:hAnsi="宋体" w:eastAsia="宋体" w:cs="宋体"/>
          <w:color w:val="000000" w:themeColor="text1"/>
          <w:sz w:val="32"/>
          <w:szCs w:val="32"/>
        </w:rPr>
      </w:pPr>
      <w:r>
        <w:rPr>
          <w:rFonts w:hint="eastAsia" w:ascii="宋体" w:hAnsi="宋体" w:eastAsia="宋体" w:cs="宋体"/>
          <w:b/>
          <w:bCs/>
          <w:color w:val="000000" w:themeColor="text1"/>
          <w:sz w:val="32"/>
          <w:szCs w:val="32"/>
        </w:rPr>
        <w:t>第二章 采购需求书</w:t>
      </w:r>
    </w:p>
    <w:p w14:paraId="50C008FE">
      <w:pPr>
        <w:snapToGrid w:val="0"/>
        <w:spacing w:line="360" w:lineRule="auto"/>
        <w:ind w:left="517" w:hanging="517" w:hangingChars="245"/>
        <w:rPr>
          <w:rFonts w:ascii="宋体" w:hAnsi="宋体" w:eastAsia="宋体" w:cs="宋体"/>
          <w:b/>
          <w:bCs/>
          <w:color w:val="000000" w:themeColor="text1"/>
        </w:rPr>
      </w:pPr>
      <w:r>
        <w:rPr>
          <w:rFonts w:hint="eastAsia" w:ascii="宋体" w:hAnsi="宋体" w:eastAsia="宋体" w:cs="宋体"/>
          <w:b/>
          <w:bCs/>
          <w:color w:val="000000" w:themeColor="text1"/>
        </w:rPr>
        <w:t>说明：</w:t>
      </w:r>
    </w:p>
    <w:p w14:paraId="241BD721">
      <w:pPr>
        <w:numPr>
          <w:ilvl w:val="0"/>
          <w:numId w:val="15"/>
        </w:numPr>
        <w:snapToGrid w:val="0"/>
        <w:spacing w:line="360" w:lineRule="auto"/>
        <w:rPr>
          <w:rFonts w:ascii="宋体" w:hAnsi="宋体" w:eastAsia="宋体" w:cs="宋体"/>
          <w:b/>
          <w:bCs/>
          <w:color w:val="000000" w:themeColor="text1"/>
        </w:rPr>
      </w:pPr>
      <w:r>
        <w:rPr>
          <w:rFonts w:hint="eastAsia" w:ascii="宋体" w:hAnsi="宋体" w:eastAsia="宋体" w:cs="宋体"/>
          <w:b/>
          <w:bCs/>
          <w:color w:val="000000" w:themeColor="text1"/>
        </w:rPr>
        <w:t xml:space="preserve">响应供应商须对本项目进行整体响应，任何只对其中一部分进行的响应都被视为无效响应。 </w:t>
      </w:r>
    </w:p>
    <w:p w14:paraId="35FEC0C6">
      <w:pPr>
        <w:pStyle w:val="26"/>
        <w:numPr>
          <w:ilvl w:val="0"/>
          <w:numId w:val="16"/>
        </w:numPr>
        <w:tabs>
          <w:tab w:val="left" w:pos="540"/>
        </w:tabs>
        <w:adjustRightInd w:val="0"/>
        <w:snapToGrid w:val="0"/>
        <w:spacing w:line="360" w:lineRule="auto"/>
        <w:outlineLvl w:val="1"/>
        <w:rPr>
          <w:rFonts w:hAnsi="宋体" w:cs="宋体"/>
          <w:b/>
          <w:bCs/>
          <w:color w:val="000000" w:themeColor="text1"/>
          <w:sz w:val="21"/>
        </w:rPr>
      </w:pPr>
      <w:r>
        <w:rPr>
          <w:rFonts w:hint="eastAsia" w:hAnsi="宋体" w:cs="宋体"/>
          <w:b/>
          <w:bCs/>
          <w:color w:val="000000" w:themeColor="text1"/>
          <w:sz w:val="21"/>
        </w:rPr>
        <w:t>项目一览表</w:t>
      </w:r>
    </w:p>
    <w:tbl>
      <w:tblPr>
        <w:tblStyle w:val="49"/>
        <w:tblW w:w="79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851"/>
        <w:gridCol w:w="2378"/>
        <w:gridCol w:w="1916"/>
      </w:tblGrid>
      <w:tr w14:paraId="65D1D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793" w:type="dxa"/>
            <w:tcBorders>
              <w:top w:val="single" w:color="auto" w:sz="12" w:space="0"/>
              <w:bottom w:val="single" w:color="auto" w:sz="2" w:space="0"/>
            </w:tcBorders>
            <w:shd w:val="clear" w:color="auto" w:fill="EEECE1"/>
            <w:vAlign w:val="center"/>
          </w:tcPr>
          <w:p w14:paraId="4251A9FF">
            <w:pPr>
              <w:jc w:val="center"/>
              <w:rPr>
                <w:rFonts w:ascii="宋体" w:hAnsi="宋体" w:eastAsia="宋体" w:cs="宋体"/>
                <w:b/>
                <w:color w:val="000000" w:themeColor="text1"/>
                <w:szCs w:val="21"/>
              </w:rPr>
            </w:pPr>
            <w:r>
              <w:rPr>
                <w:rFonts w:hint="eastAsia" w:ascii="宋体" w:hAnsi="宋体" w:eastAsia="宋体" w:cs="宋体"/>
                <w:b/>
                <w:color w:val="000000" w:themeColor="text1"/>
                <w:szCs w:val="21"/>
              </w:rPr>
              <w:t>项目名称</w:t>
            </w:r>
          </w:p>
        </w:tc>
        <w:tc>
          <w:tcPr>
            <w:tcW w:w="851" w:type="dxa"/>
            <w:tcBorders>
              <w:top w:val="single" w:color="auto" w:sz="12" w:space="0"/>
              <w:bottom w:val="single" w:color="auto" w:sz="2" w:space="0"/>
            </w:tcBorders>
            <w:shd w:val="clear" w:color="auto" w:fill="EEECE1"/>
            <w:vAlign w:val="center"/>
          </w:tcPr>
          <w:p w14:paraId="2775510A">
            <w:pPr>
              <w:jc w:val="center"/>
              <w:rPr>
                <w:rFonts w:ascii="宋体" w:hAnsi="宋体" w:eastAsia="宋体" w:cs="宋体"/>
                <w:b/>
                <w:szCs w:val="21"/>
              </w:rPr>
            </w:pPr>
            <w:r>
              <w:rPr>
                <w:rFonts w:hint="eastAsia" w:ascii="宋体" w:hAnsi="宋体" w:eastAsia="宋体" w:cs="宋体"/>
                <w:b/>
                <w:szCs w:val="21"/>
              </w:rPr>
              <w:t>数量</w:t>
            </w:r>
          </w:p>
        </w:tc>
        <w:tc>
          <w:tcPr>
            <w:tcW w:w="2378" w:type="dxa"/>
            <w:tcBorders>
              <w:top w:val="single" w:color="auto" w:sz="12" w:space="0"/>
              <w:bottom w:val="single" w:color="auto" w:sz="2" w:space="0"/>
            </w:tcBorders>
            <w:shd w:val="clear" w:color="auto" w:fill="EEECE1"/>
            <w:vAlign w:val="center"/>
          </w:tcPr>
          <w:p w14:paraId="293ADD05">
            <w:pPr>
              <w:jc w:val="center"/>
              <w:rPr>
                <w:rFonts w:ascii="宋体" w:hAnsi="宋体" w:eastAsia="宋体" w:cs="宋体"/>
                <w:b/>
                <w:szCs w:val="21"/>
              </w:rPr>
            </w:pPr>
            <w:r>
              <w:rPr>
                <w:rFonts w:hint="eastAsia" w:ascii="宋体" w:hAnsi="宋体" w:eastAsia="宋体" w:cs="宋体"/>
                <w:b/>
                <w:szCs w:val="21"/>
              </w:rPr>
              <w:t>交货期</w:t>
            </w:r>
          </w:p>
        </w:tc>
        <w:tc>
          <w:tcPr>
            <w:tcW w:w="1916" w:type="dxa"/>
            <w:tcBorders>
              <w:top w:val="single" w:color="auto" w:sz="12" w:space="0"/>
              <w:bottom w:val="single" w:color="auto" w:sz="2" w:space="0"/>
            </w:tcBorders>
            <w:shd w:val="clear" w:color="auto" w:fill="EEECE1"/>
            <w:vAlign w:val="center"/>
          </w:tcPr>
          <w:p w14:paraId="379A61D9">
            <w:pPr>
              <w:jc w:val="center"/>
              <w:rPr>
                <w:rFonts w:ascii="宋体" w:hAnsi="宋体" w:eastAsia="宋体" w:cs="宋体"/>
                <w:b/>
                <w:szCs w:val="21"/>
              </w:rPr>
            </w:pPr>
            <w:r>
              <w:rPr>
                <w:rFonts w:hint="eastAsia" w:ascii="宋体" w:hAnsi="宋体" w:eastAsia="宋体" w:cs="宋体"/>
                <w:b/>
                <w:szCs w:val="21"/>
              </w:rPr>
              <w:t>最高限价</w:t>
            </w:r>
          </w:p>
        </w:tc>
      </w:tr>
      <w:tr w14:paraId="6B21B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793" w:type="dxa"/>
            <w:tcBorders>
              <w:top w:val="single" w:color="auto" w:sz="2" w:space="0"/>
              <w:bottom w:val="single" w:color="auto" w:sz="2" w:space="0"/>
            </w:tcBorders>
            <w:vAlign w:val="center"/>
          </w:tcPr>
          <w:p w14:paraId="6B39D5A6">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广东省广裕集团肇庆祥达实业有限公司生产管理系统配套设备</w:t>
            </w:r>
          </w:p>
        </w:tc>
        <w:tc>
          <w:tcPr>
            <w:tcW w:w="851" w:type="dxa"/>
            <w:tcBorders>
              <w:top w:val="single" w:color="auto" w:sz="2" w:space="0"/>
              <w:bottom w:val="single" w:color="auto" w:sz="2" w:space="0"/>
            </w:tcBorders>
            <w:vAlign w:val="center"/>
          </w:tcPr>
          <w:p w14:paraId="7885D8AB">
            <w:pPr>
              <w:autoSpaceDE w:val="0"/>
              <w:jc w:val="center"/>
              <w:rPr>
                <w:rFonts w:ascii="宋体" w:hAnsi="宋体" w:eastAsia="宋体"/>
                <w:bCs/>
                <w:szCs w:val="21"/>
              </w:rPr>
            </w:pPr>
            <w:r>
              <w:rPr>
                <w:rFonts w:hint="eastAsia" w:ascii="宋体" w:hAnsi="宋体" w:eastAsia="宋体"/>
                <w:bCs/>
                <w:szCs w:val="21"/>
              </w:rPr>
              <w:t>1批</w:t>
            </w:r>
          </w:p>
        </w:tc>
        <w:tc>
          <w:tcPr>
            <w:tcW w:w="2378" w:type="dxa"/>
            <w:tcBorders>
              <w:top w:val="single" w:color="auto" w:sz="2" w:space="0"/>
              <w:bottom w:val="single" w:color="auto" w:sz="2" w:space="0"/>
            </w:tcBorders>
            <w:vAlign w:val="center"/>
          </w:tcPr>
          <w:p w14:paraId="1AB16322">
            <w:pPr>
              <w:pStyle w:val="67"/>
              <w:spacing w:line="240" w:lineRule="auto"/>
              <w:rPr>
                <w:color w:val="000000"/>
                <w:spacing w:val="0"/>
                <w:kern w:val="2"/>
              </w:rPr>
            </w:pPr>
            <w:r>
              <w:rPr>
                <w:rFonts w:hint="eastAsia"/>
                <w:color w:val="000000"/>
                <w:spacing w:val="0"/>
                <w:kern w:val="2"/>
              </w:rPr>
              <w:t>在合同生效后30天内完成供货、安装调试以及验收</w:t>
            </w:r>
          </w:p>
        </w:tc>
        <w:tc>
          <w:tcPr>
            <w:tcW w:w="1916" w:type="dxa"/>
            <w:tcBorders>
              <w:top w:val="single" w:color="auto" w:sz="2" w:space="0"/>
              <w:bottom w:val="single" w:color="auto" w:sz="2" w:space="0"/>
            </w:tcBorders>
            <w:vAlign w:val="center"/>
          </w:tcPr>
          <w:p w14:paraId="557B68E8">
            <w:pPr>
              <w:autoSpaceDE w:val="0"/>
              <w:jc w:val="center"/>
              <w:rPr>
                <w:rFonts w:ascii="宋体" w:hAnsi="宋体" w:eastAsia="宋体"/>
                <w:color w:val="000000"/>
                <w:szCs w:val="21"/>
              </w:rPr>
            </w:pPr>
            <w:r>
              <w:rPr>
                <w:rFonts w:hint="eastAsia" w:ascii="宋体" w:hAnsi="宋体" w:eastAsia="宋体"/>
                <w:color w:val="000000"/>
                <w:szCs w:val="21"/>
              </w:rPr>
              <w:t>人民</w:t>
            </w:r>
            <w:r>
              <w:rPr>
                <w:rFonts w:hint="eastAsia" w:ascii="宋体" w:hAnsi="宋体" w:eastAsia="宋体"/>
                <w:szCs w:val="21"/>
              </w:rPr>
              <w:t>币</w:t>
            </w:r>
            <w:r>
              <w:rPr>
                <w:rFonts w:hint="eastAsia" w:ascii="宋体" w:hAnsi="宋体" w:cs="仿宋_GB2312"/>
                <w:sz w:val="22"/>
                <w:u w:val="single"/>
              </w:rPr>
              <w:t>168400</w:t>
            </w:r>
            <w:r>
              <w:rPr>
                <w:rFonts w:hint="eastAsia" w:ascii="宋体" w:hAnsi="宋体" w:eastAsia="宋体"/>
                <w:color w:val="000000"/>
                <w:szCs w:val="21"/>
              </w:rPr>
              <w:t>元</w:t>
            </w:r>
          </w:p>
        </w:tc>
      </w:tr>
    </w:tbl>
    <w:p w14:paraId="4DFDA560">
      <w:pPr>
        <w:pStyle w:val="26"/>
        <w:numPr>
          <w:ilvl w:val="0"/>
          <w:numId w:val="16"/>
        </w:numPr>
        <w:tabs>
          <w:tab w:val="left" w:pos="540"/>
        </w:tabs>
        <w:adjustRightInd w:val="0"/>
        <w:snapToGrid w:val="0"/>
        <w:spacing w:line="360" w:lineRule="auto"/>
        <w:outlineLvl w:val="1"/>
        <w:rPr>
          <w:rFonts w:hAnsi="宋体" w:cs="宋体"/>
          <w:b/>
          <w:bCs/>
          <w:color w:val="000000" w:themeColor="text1"/>
          <w:sz w:val="21"/>
        </w:rPr>
      </w:pPr>
      <w:r>
        <w:rPr>
          <w:rFonts w:hint="eastAsia" w:hAnsi="宋体" w:cs="宋体"/>
          <w:b/>
          <w:bCs/>
          <w:color w:val="000000" w:themeColor="text1"/>
          <w:sz w:val="21"/>
        </w:rPr>
        <w:t>项目内容</w:t>
      </w:r>
    </w:p>
    <w:p w14:paraId="04829658">
      <w:pPr>
        <w:numPr>
          <w:ilvl w:val="0"/>
          <w:numId w:val="17"/>
        </w:numPr>
        <w:adjustRightInd w:val="0"/>
        <w:spacing w:line="360" w:lineRule="auto"/>
        <w:ind w:firstLine="420"/>
        <w:rPr>
          <w:rFonts w:ascii="宋体" w:hAnsi="宋体" w:eastAsia="宋体" w:cs="宋体"/>
          <w:color w:val="000000"/>
          <w:szCs w:val="21"/>
        </w:rPr>
      </w:pPr>
      <w:r>
        <w:rPr>
          <w:rFonts w:hint="eastAsia" w:ascii="宋体" w:hAnsi="宋体" w:eastAsia="宋体" w:cs="宋体"/>
          <w:szCs w:val="21"/>
        </w:rPr>
        <w:t>项目名称：</w:t>
      </w:r>
      <w:r>
        <w:rPr>
          <w:rFonts w:hint="eastAsia" w:ascii="宋体" w:hAnsi="宋体" w:eastAsia="宋体" w:cs="宋体"/>
          <w:color w:val="000000"/>
          <w:szCs w:val="21"/>
        </w:rPr>
        <w:t>广东省广裕集团肇庆祥达实业有限公司生产管理系统配套设备。</w:t>
      </w:r>
    </w:p>
    <w:p w14:paraId="0475E977">
      <w:pPr>
        <w:numPr>
          <w:ilvl w:val="0"/>
          <w:numId w:val="17"/>
        </w:numPr>
        <w:adjustRightInd w:val="0"/>
        <w:spacing w:line="360" w:lineRule="auto"/>
        <w:ind w:firstLine="420"/>
        <w:rPr>
          <w:rFonts w:ascii="宋体" w:hAnsi="宋体" w:eastAsia="宋体" w:cs="宋体"/>
          <w:szCs w:val="21"/>
        </w:rPr>
      </w:pPr>
      <w:r>
        <w:rPr>
          <w:rFonts w:hint="eastAsia" w:ascii="宋体" w:hAnsi="宋体" w:eastAsia="宋体" w:cs="宋体"/>
          <w:szCs w:val="21"/>
        </w:rPr>
        <w:t>本项目为一个整体，</w:t>
      </w:r>
      <w:bookmarkStart w:id="0" w:name="_GoBack"/>
      <w:bookmarkEnd w:id="0"/>
      <w:r>
        <w:rPr>
          <w:rFonts w:hint="eastAsia" w:ascii="宋体" w:hAnsi="宋体" w:eastAsia="宋体" w:cs="宋体"/>
          <w:szCs w:val="21"/>
        </w:rPr>
        <w:t>响应供应商必须对本项目整体进行响应，不能只对其中部分货物进行响应，且成交后要提供详细的技术资料（VLAN调整，交换机网络设置，光纤连接等弱电安装技术资料）；</w:t>
      </w:r>
    </w:p>
    <w:p w14:paraId="3B2B78DC">
      <w:pPr>
        <w:numPr>
          <w:ilvl w:val="0"/>
          <w:numId w:val="17"/>
        </w:numPr>
        <w:adjustRightInd w:val="0"/>
        <w:spacing w:line="360" w:lineRule="auto"/>
        <w:ind w:firstLine="420"/>
        <w:rPr>
          <w:rFonts w:ascii="宋体" w:hAnsi="宋体" w:eastAsia="宋体" w:cs="宋体"/>
          <w:szCs w:val="21"/>
        </w:rPr>
      </w:pPr>
      <w:r>
        <w:rPr>
          <w:rFonts w:hint="eastAsia" w:ascii="宋体" w:hAnsi="宋体" w:eastAsia="宋体" w:cs="宋体"/>
          <w:szCs w:val="21"/>
        </w:rPr>
        <w:t>本采购项目设有最高限价168400元，响应供应商的报价不能高于该限价，否则视为无效报价处理。</w:t>
      </w:r>
    </w:p>
    <w:p w14:paraId="044665DF">
      <w:pPr>
        <w:numPr>
          <w:ilvl w:val="0"/>
          <w:numId w:val="17"/>
        </w:numPr>
        <w:adjustRightInd w:val="0"/>
        <w:spacing w:line="360" w:lineRule="auto"/>
        <w:ind w:firstLine="420"/>
        <w:rPr>
          <w:rFonts w:ascii="宋体" w:hAnsi="宋体" w:eastAsia="宋体" w:cs="宋体"/>
          <w:szCs w:val="21"/>
        </w:rPr>
      </w:pPr>
      <w:r>
        <w:rPr>
          <w:rFonts w:hint="eastAsia" w:ascii="宋体" w:hAnsi="宋体" w:eastAsia="宋体" w:cs="宋体"/>
          <w:szCs w:val="21"/>
        </w:rPr>
        <w:t>报价应包含（人民币报价）完成本次竞价所有内容的费用，包括货款、杂配件、安装、验收费、检测费、运输、进场、装卸、保管、调试、质保期售后服务、清运费、保险费、各项税金等合同实施过程中的一切费用。（注：响应供应商自行考虑完成项目所需的辅材、杂配件等数量，报价中应包含全部内容，成交后采购人不再另行支付额外费用）。</w:t>
      </w:r>
    </w:p>
    <w:p w14:paraId="79CDE3F4">
      <w:pPr>
        <w:numPr>
          <w:ilvl w:val="0"/>
          <w:numId w:val="17"/>
        </w:numPr>
        <w:adjustRightInd w:val="0"/>
        <w:spacing w:line="360" w:lineRule="auto"/>
        <w:ind w:firstLine="420"/>
        <w:rPr>
          <w:rFonts w:ascii="宋体" w:hAnsi="宋体" w:eastAsia="宋体" w:cs="宋体"/>
          <w:szCs w:val="21"/>
        </w:rPr>
      </w:pPr>
      <w:r>
        <w:rPr>
          <w:rFonts w:hint="eastAsia" w:ascii="宋体" w:hAnsi="宋体" w:eastAsia="宋体" w:cs="宋体"/>
          <w:szCs w:val="21"/>
        </w:rPr>
        <w:t>项目实施地点：广东省广裕集团肇庆祥达实业有限公司。</w:t>
      </w:r>
    </w:p>
    <w:p w14:paraId="0EA63C2E">
      <w:pPr>
        <w:numPr>
          <w:ilvl w:val="0"/>
          <w:numId w:val="17"/>
        </w:numPr>
        <w:adjustRightInd w:val="0"/>
        <w:spacing w:line="360" w:lineRule="auto"/>
        <w:ind w:firstLine="420"/>
        <w:rPr>
          <w:rFonts w:ascii="宋体" w:hAnsi="宋体" w:eastAsia="宋体" w:cs="宋体"/>
          <w:szCs w:val="21"/>
        </w:rPr>
      </w:pPr>
      <w:r>
        <w:rPr>
          <w:rFonts w:hint="eastAsia" w:ascii="宋体" w:hAnsi="宋体" w:eastAsia="宋体" w:cs="宋体"/>
          <w:szCs w:val="21"/>
        </w:rPr>
        <w:t>响应供应商必须对项目情况进行了解，并保证能协调工作场地及现场工作情况，以保证项目顺利进行。</w:t>
      </w:r>
    </w:p>
    <w:p w14:paraId="6DE19667">
      <w:pPr>
        <w:pStyle w:val="26"/>
        <w:numPr>
          <w:ilvl w:val="0"/>
          <w:numId w:val="16"/>
        </w:numPr>
        <w:tabs>
          <w:tab w:val="left" w:pos="540"/>
        </w:tabs>
        <w:adjustRightInd w:val="0"/>
        <w:snapToGrid w:val="0"/>
        <w:spacing w:line="360" w:lineRule="auto"/>
        <w:outlineLvl w:val="1"/>
        <w:rPr>
          <w:rFonts w:hAnsi="宋体" w:cs="宋体"/>
          <w:b/>
          <w:bCs/>
          <w:color w:val="000000" w:themeColor="text1"/>
          <w:sz w:val="21"/>
        </w:rPr>
      </w:pPr>
      <w:r>
        <w:rPr>
          <w:rFonts w:hint="eastAsia" w:hAnsi="宋体" w:cs="宋体"/>
          <w:b/>
          <w:bCs/>
          <w:color w:val="000000" w:themeColor="text1"/>
          <w:sz w:val="21"/>
        </w:rPr>
        <w:t>采购清单</w:t>
      </w:r>
    </w:p>
    <w:tbl>
      <w:tblPr>
        <w:tblStyle w:val="49"/>
        <w:tblW w:w="8519" w:type="dxa"/>
        <w:tblInd w:w="93" w:type="dxa"/>
        <w:tblLayout w:type="autofit"/>
        <w:tblCellMar>
          <w:top w:w="0" w:type="dxa"/>
          <w:left w:w="108" w:type="dxa"/>
          <w:bottom w:w="0" w:type="dxa"/>
          <w:right w:w="108" w:type="dxa"/>
        </w:tblCellMar>
      </w:tblPr>
      <w:tblGrid>
        <w:gridCol w:w="612"/>
        <w:gridCol w:w="1193"/>
        <w:gridCol w:w="1045"/>
        <w:gridCol w:w="1790"/>
        <w:gridCol w:w="2088"/>
        <w:gridCol w:w="1044"/>
        <w:gridCol w:w="747"/>
      </w:tblGrid>
      <w:tr w14:paraId="60C698A0">
        <w:tblPrEx>
          <w:tblCellMar>
            <w:top w:w="0" w:type="dxa"/>
            <w:left w:w="108" w:type="dxa"/>
            <w:bottom w:w="0" w:type="dxa"/>
            <w:right w:w="108" w:type="dxa"/>
          </w:tblCellMar>
        </w:tblPrEx>
        <w:trPr>
          <w:wBefore w:w="93" w:type="dxa"/>
          <w:wAfter w:w="331" w:type="dxa"/>
          <w:trHeight w:val="930" w:hRule="atLeast"/>
        </w:trPr>
        <w:tc>
          <w:tcPr>
            <w:tcW w:w="582" w:type="dxa"/>
            <w:tcBorders>
              <w:top w:val="single" w:color="auto" w:sz="8" w:space="0"/>
              <w:left w:val="single" w:color="auto" w:sz="8" w:space="0"/>
              <w:bottom w:val="single" w:color="auto" w:sz="8" w:space="0"/>
              <w:right w:val="single" w:color="auto" w:sz="8" w:space="0"/>
            </w:tcBorders>
            <w:shd w:val="clear" w:color="auto" w:fill="auto"/>
            <w:vAlign w:val="center"/>
          </w:tcPr>
          <w:p w14:paraId="04B5C11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134" w:type="dxa"/>
            <w:tcBorders>
              <w:top w:val="single" w:color="auto" w:sz="8" w:space="0"/>
              <w:left w:val="nil"/>
              <w:bottom w:val="single" w:color="auto" w:sz="8" w:space="0"/>
              <w:right w:val="single" w:color="auto" w:sz="8" w:space="0"/>
            </w:tcBorders>
            <w:shd w:val="clear" w:color="auto" w:fill="auto"/>
            <w:vAlign w:val="center"/>
          </w:tcPr>
          <w:p w14:paraId="29FFEC6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设备名称</w:t>
            </w:r>
          </w:p>
        </w:tc>
        <w:tc>
          <w:tcPr>
            <w:tcW w:w="993" w:type="dxa"/>
            <w:tcBorders>
              <w:top w:val="single" w:color="auto" w:sz="8" w:space="0"/>
              <w:left w:val="nil"/>
              <w:bottom w:val="single" w:color="auto" w:sz="8" w:space="0"/>
              <w:right w:val="single" w:color="auto" w:sz="8" w:space="0"/>
            </w:tcBorders>
            <w:shd w:val="clear" w:color="auto" w:fill="auto"/>
            <w:vAlign w:val="center"/>
          </w:tcPr>
          <w:p w14:paraId="1259124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品牌</w:t>
            </w:r>
          </w:p>
        </w:tc>
        <w:tc>
          <w:tcPr>
            <w:tcW w:w="1701" w:type="dxa"/>
            <w:tcBorders>
              <w:top w:val="single" w:color="auto" w:sz="8" w:space="0"/>
              <w:left w:val="nil"/>
              <w:bottom w:val="single" w:color="auto" w:sz="8" w:space="0"/>
              <w:right w:val="single" w:color="auto" w:sz="8" w:space="0"/>
            </w:tcBorders>
            <w:shd w:val="clear" w:color="auto" w:fill="auto"/>
            <w:vAlign w:val="center"/>
          </w:tcPr>
          <w:p w14:paraId="2008998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型号</w:t>
            </w:r>
          </w:p>
        </w:tc>
        <w:tc>
          <w:tcPr>
            <w:tcW w:w="1984" w:type="dxa"/>
            <w:tcBorders>
              <w:top w:val="single" w:color="auto" w:sz="8" w:space="0"/>
              <w:left w:val="nil"/>
              <w:bottom w:val="single" w:color="auto" w:sz="8" w:space="0"/>
              <w:right w:val="single" w:color="auto" w:sz="8" w:space="0"/>
            </w:tcBorders>
            <w:shd w:val="clear" w:color="auto" w:fill="auto"/>
            <w:vAlign w:val="center"/>
          </w:tcPr>
          <w:p w14:paraId="711EDD2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规格要求</w:t>
            </w:r>
          </w:p>
        </w:tc>
        <w:tc>
          <w:tcPr>
            <w:tcW w:w="992" w:type="dxa"/>
            <w:tcBorders>
              <w:top w:val="single" w:color="auto" w:sz="8" w:space="0"/>
              <w:left w:val="nil"/>
              <w:bottom w:val="single" w:color="auto" w:sz="8" w:space="0"/>
              <w:right w:val="single" w:color="auto" w:sz="8" w:space="0"/>
            </w:tcBorders>
            <w:shd w:val="clear" w:color="auto" w:fill="auto"/>
            <w:vAlign w:val="center"/>
          </w:tcPr>
          <w:p w14:paraId="35155DD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709" w:type="dxa"/>
            <w:tcBorders>
              <w:top w:val="single" w:color="auto" w:sz="8" w:space="0"/>
              <w:left w:val="nil"/>
              <w:bottom w:val="single" w:color="auto" w:sz="8" w:space="0"/>
              <w:right w:val="single" w:color="auto" w:sz="8" w:space="0"/>
            </w:tcBorders>
            <w:shd w:val="clear" w:color="auto" w:fill="auto"/>
            <w:vAlign w:val="center"/>
          </w:tcPr>
          <w:p w14:paraId="7656B15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r>
      <w:tr w14:paraId="240D05EA">
        <w:tblPrEx>
          <w:tblCellMar>
            <w:top w:w="0" w:type="dxa"/>
            <w:left w:w="108" w:type="dxa"/>
            <w:bottom w:w="0" w:type="dxa"/>
            <w:right w:w="108" w:type="dxa"/>
          </w:tblCellMar>
        </w:tblPrEx>
        <w:trPr>
          <w:wBefore w:w="93" w:type="dxa"/>
          <w:wAfter w:w="331" w:type="dxa"/>
          <w:trHeight w:val="1015" w:hRule="atLeast"/>
        </w:trPr>
        <w:tc>
          <w:tcPr>
            <w:tcW w:w="582" w:type="dxa"/>
            <w:tcBorders>
              <w:top w:val="nil"/>
              <w:left w:val="single" w:color="auto" w:sz="8" w:space="0"/>
              <w:bottom w:val="single" w:color="auto" w:sz="8" w:space="0"/>
              <w:right w:val="single" w:color="auto" w:sz="8" w:space="0"/>
            </w:tcBorders>
            <w:shd w:val="clear" w:color="auto" w:fill="auto"/>
            <w:vAlign w:val="center"/>
          </w:tcPr>
          <w:p w14:paraId="0FCC96B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134" w:type="dxa"/>
            <w:tcBorders>
              <w:top w:val="nil"/>
              <w:left w:val="nil"/>
              <w:bottom w:val="single" w:color="auto" w:sz="8" w:space="0"/>
              <w:right w:val="single" w:color="auto" w:sz="8" w:space="0"/>
            </w:tcBorders>
            <w:shd w:val="clear" w:color="auto" w:fill="auto"/>
            <w:vAlign w:val="center"/>
          </w:tcPr>
          <w:p w14:paraId="0C18DC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交换机</w:t>
            </w:r>
          </w:p>
        </w:tc>
        <w:tc>
          <w:tcPr>
            <w:tcW w:w="993" w:type="dxa"/>
            <w:tcBorders>
              <w:top w:val="nil"/>
              <w:left w:val="nil"/>
              <w:bottom w:val="single" w:color="auto" w:sz="8" w:space="0"/>
              <w:right w:val="single" w:color="auto" w:sz="8" w:space="0"/>
            </w:tcBorders>
            <w:shd w:val="clear" w:color="auto" w:fill="auto"/>
            <w:vAlign w:val="center"/>
          </w:tcPr>
          <w:p w14:paraId="56F40C1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华为</w:t>
            </w:r>
          </w:p>
        </w:tc>
        <w:tc>
          <w:tcPr>
            <w:tcW w:w="1701" w:type="dxa"/>
            <w:tcBorders>
              <w:top w:val="nil"/>
              <w:left w:val="nil"/>
              <w:bottom w:val="single" w:color="auto" w:sz="8" w:space="0"/>
              <w:right w:val="single" w:color="auto" w:sz="8" w:space="0"/>
            </w:tcBorders>
            <w:shd w:val="clear" w:color="auto" w:fill="auto"/>
            <w:vAlign w:val="center"/>
          </w:tcPr>
          <w:p w14:paraId="6EF77B5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CloudEngine S5735-L-Q</w:t>
            </w:r>
          </w:p>
        </w:tc>
        <w:tc>
          <w:tcPr>
            <w:tcW w:w="1984" w:type="dxa"/>
            <w:tcBorders>
              <w:top w:val="nil"/>
              <w:left w:val="nil"/>
              <w:bottom w:val="single" w:color="auto" w:sz="8" w:space="0"/>
              <w:right w:val="single" w:color="auto" w:sz="8" w:space="0"/>
            </w:tcBorders>
            <w:shd w:val="clear" w:color="auto" w:fill="auto"/>
            <w:vAlign w:val="center"/>
          </w:tcPr>
          <w:p w14:paraId="20A6512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千兆端口，支持VLAN、QoS</w:t>
            </w:r>
          </w:p>
        </w:tc>
        <w:tc>
          <w:tcPr>
            <w:tcW w:w="992" w:type="dxa"/>
            <w:tcBorders>
              <w:top w:val="nil"/>
              <w:left w:val="nil"/>
              <w:bottom w:val="single" w:color="auto" w:sz="8" w:space="0"/>
              <w:right w:val="single" w:color="auto" w:sz="8" w:space="0"/>
            </w:tcBorders>
            <w:shd w:val="clear" w:color="auto" w:fill="auto"/>
            <w:vAlign w:val="center"/>
          </w:tcPr>
          <w:p w14:paraId="5ED810E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709" w:type="dxa"/>
            <w:tcBorders>
              <w:top w:val="nil"/>
              <w:left w:val="nil"/>
              <w:bottom w:val="single" w:color="auto" w:sz="8" w:space="0"/>
              <w:right w:val="single" w:color="auto" w:sz="8" w:space="0"/>
            </w:tcBorders>
            <w:shd w:val="clear" w:color="auto" w:fill="auto"/>
            <w:vAlign w:val="center"/>
          </w:tcPr>
          <w:p w14:paraId="2A170EF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r>
      <w:tr w14:paraId="43DB77EF">
        <w:tblPrEx>
          <w:tblCellMar>
            <w:top w:w="0" w:type="dxa"/>
            <w:left w:w="108" w:type="dxa"/>
            <w:bottom w:w="0" w:type="dxa"/>
            <w:right w:w="108" w:type="dxa"/>
          </w:tblCellMar>
        </w:tblPrEx>
        <w:trPr>
          <w:wBefore w:w="93" w:type="dxa"/>
          <w:wAfter w:w="331" w:type="dxa"/>
          <w:trHeight w:val="2175" w:hRule="atLeast"/>
        </w:trPr>
        <w:tc>
          <w:tcPr>
            <w:tcW w:w="582" w:type="dxa"/>
            <w:tcBorders>
              <w:top w:val="nil"/>
              <w:left w:val="single" w:color="auto" w:sz="8" w:space="0"/>
              <w:bottom w:val="single" w:color="auto" w:sz="8" w:space="0"/>
              <w:right w:val="single" w:color="auto" w:sz="8" w:space="0"/>
            </w:tcBorders>
            <w:shd w:val="clear" w:color="auto" w:fill="auto"/>
            <w:vAlign w:val="center"/>
          </w:tcPr>
          <w:p w14:paraId="6AD706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134" w:type="dxa"/>
            <w:tcBorders>
              <w:top w:val="nil"/>
              <w:left w:val="nil"/>
              <w:bottom w:val="single" w:color="auto" w:sz="8" w:space="0"/>
              <w:right w:val="single" w:color="auto" w:sz="8" w:space="0"/>
            </w:tcBorders>
            <w:shd w:val="clear" w:color="auto" w:fill="auto"/>
            <w:vAlign w:val="center"/>
          </w:tcPr>
          <w:p w14:paraId="541D05C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计算机</w:t>
            </w:r>
          </w:p>
        </w:tc>
        <w:tc>
          <w:tcPr>
            <w:tcW w:w="993" w:type="dxa"/>
            <w:tcBorders>
              <w:top w:val="nil"/>
              <w:left w:val="nil"/>
              <w:bottom w:val="single" w:color="auto" w:sz="8" w:space="0"/>
              <w:right w:val="single" w:color="auto" w:sz="8" w:space="0"/>
            </w:tcBorders>
            <w:shd w:val="clear" w:color="auto" w:fill="auto"/>
            <w:vAlign w:val="center"/>
          </w:tcPr>
          <w:p w14:paraId="1147175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联想</w:t>
            </w:r>
          </w:p>
        </w:tc>
        <w:tc>
          <w:tcPr>
            <w:tcW w:w="1701" w:type="dxa"/>
            <w:tcBorders>
              <w:top w:val="nil"/>
              <w:left w:val="nil"/>
              <w:bottom w:val="single" w:color="auto" w:sz="8" w:space="0"/>
              <w:right w:val="single" w:color="auto" w:sz="8" w:space="0"/>
            </w:tcBorders>
            <w:shd w:val="clear" w:color="auto" w:fill="auto"/>
            <w:vAlign w:val="center"/>
          </w:tcPr>
          <w:p w14:paraId="33ED22B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开天 M99h G1t-D749</w:t>
            </w:r>
          </w:p>
        </w:tc>
        <w:tc>
          <w:tcPr>
            <w:tcW w:w="1984" w:type="dxa"/>
            <w:tcBorders>
              <w:top w:val="nil"/>
              <w:left w:val="nil"/>
              <w:bottom w:val="single" w:color="auto" w:sz="8" w:space="0"/>
              <w:right w:val="single" w:color="auto" w:sz="8" w:space="0"/>
            </w:tcBorders>
            <w:shd w:val="clear" w:color="auto" w:fill="auto"/>
            <w:vAlign w:val="center"/>
          </w:tcPr>
          <w:p w14:paraId="2BFC78D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海光C86-3G 3350处理器/16G内存/1TB固态硬盘/2TB机械硬盘/4GB独立显卡/23.8英寸显示屏/安装银河麒麟v10操作系统</w:t>
            </w:r>
          </w:p>
        </w:tc>
        <w:tc>
          <w:tcPr>
            <w:tcW w:w="992" w:type="dxa"/>
            <w:tcBorders>
              <w:top w:val="nil"/>
              <w:left w:val="nil"/>
              <w:bottom w:val="single" w:color="auto" w:sz="8" w:space="0"/>
              <w:right w:val="single" w:color="auto" w:sz="8" w:space="0"/>
            </w:tcBorders>
            <w:shd w:val="clear" w:color="auto" w:fill="auto"/>
            <w:vAlign w:val="center"/>
          </w:tcPr>
          <w:p w14:paraId="62E3E1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09" w:type="dxa"/>
            <w:tcBorders>
              <w:top w:val="nil"/>
              <w:left w:val="nil"/>
              <w:bottom w:val="single" w:color="auto" w:sz="8" w:space="0"/>
              <w:right w:val="single" w:color="auto" w:sz="8" w:space="0"/>
            </w:tcBorders>
            <w:shd w:val="clear" w:color="auto" w:fill="auto"/>
            <w:vAlign w:val="center"/>
          </w:tcPr>
          <w:p w14:paraId="2E0E4A6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r>
      <w:tr w14:paraId="042392A6">
        <w:tblPrEx>
          <w:tblCellMar>
            <w:top w:w="0" w:type="dxa"/>
            <w:left w:w="108" w:type="dxa"/>
            <w:bottom w:w="0" w:type="dxa"/>
            <w:right w:w="108" w:type="dxa"/>
          </w:tblCellMar>
        </w:tblPrEx>
        <w:trPr>
          <w:wBefore w:w="93" w:type="dxa"/>
          <w:wAfter w:w="331" w:type="dxa"/>
          <w:trHeight w:val="838" w:hRule="atLeast"/>
        </w:trPr>
        <w:tc>
          <w:tcPr>
            <w:tcW w:w="582" w:type="dxa"/>
            <w:tcBorders>
              <w:top w:val="nil"/>
              <w:left w:val="single" w:color="auto" w:sz="8" w:space="0"/>
              <w:bottom w:val="single" w:color="auto" w:sz="8" w:space="0"/>
              <w:right w:val="single" w:color="auto" w:sz="8" w:space="0"/>
            </w:tcBorders>
            <w:shd w:val="clear" w:color="auto" w:fill="auto"/>
            <w:vAlign w:val="center"/>
          </w:tcPr>
          <w:p w14:paraId="0C2068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134" w:type="dxa"/>
            <w:tcBorders>
              <w:top w:val="nil"/>
              <w:left w:val="nil"/>
              <w:bottom w:val="single" w:color="auto" w:sz="8" w:space="0"/>
              <w:right w:val="single" w:color="auto" w:sz="8" w:space="0"/>
            </w:tcBorders>
            <w:shd w:val="clear" w:color="auto" w:fill="auto"/>
            <w:vAlign w:val="center"/>
          </w:tcPr>
          <w:p w14:paraId="32398DE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尾纤</w:t>
            </w:r>
          </w:p>
        </w:tc>
        <w:tc>
          <w:tcPr>
            <w:tcW w:w="993" w:type="dxa"/>
            <w:tcBorders>
              <w:top w:val="nil"/>
              <w:left w:val="nil"/>
              <w:bottom w:val="single" w:color="auto" w:sz="8" w:space="0"/>
              <w:right w:val="single" w:color="auto" w:sz="8" w:space="0"/>
            </w:tcBorders>
            <w:shd w:val="clear" w:color="auto" w:fill="auto"/>
            <w:vAlign w:val="center"/>
          </w:tcPr>
          <w:p w14:paraId="2B53107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国产</w:t>
            </w:r>
          </w:p>
        </w:tc>
        <w:tc>
          <w:tcPr>
            <w:tcW w:w="1701" w:type="dxa"/>
            <w:tcBorders>
              <w:top w:val="nil"/>
              <w:left w:val="nil"/>
              <w:bottom w:val="single" w:color="auto" w:sz="8" w:space="0"/>
              <w:right w:val="single" w:color="auto" w:sz="8" w:space="0"/>
            </w:tcBorders>
            <w:shd w:val="clear" w:color="auto" w:fill="auto"/>
            <w:vAlign w:val="center"/>
          </w:tcPr>
          <w:p w14:paraId="1A0D1CE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84" w:type="dxa"/>
            <w:tcBorders>
              <w:top w:val="nil"/>
              <w:left w:val="nil"/>
              <w:bottom w:val="single" w:color="auto" w:sz="8" w:space="0"/>
              <w:right w:val="single" w:color="auto" w:sz="8" w:space="0"/>
            </w:tcBorders>
            <w:shd w:val="clear" w:color="auto" w:fill="auto"/>
            <w:vAlign w:val="center"/>
          </w:tcPr>
          <w:p w14:paraId="16B0421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LC-LC单模尾纤</w:t>
            </w:r>
          </w:p>
        </w:tc>
        <w:tc>
          <w:tcPr>
            <w:tcW w:w="992" w:type="dxa"/>
            <w:tcBorders>
              <w:top w:val="nil"/>
              <w:left w:val="nil"/>
              <w:bottom w:val="single" w:color="auto" w:sz="8" w:space="0"/>
              <w:right w:val="single" w:color="auto" w:sz="8" w:space="0"/>
            </w:tcBorders>
            <w:shd w:val="clear" w:color="auto" w:fill="auto"/>
            <w:vAlign w:val="center"/>
          </w:tcPr>
          <w:p w14:paraId="097EBC1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条</w:t>
            </w:r>
          </w:p>
        </w:tc>
        <w:tc>
          <w:tcPr>
            <w:tcW w:w="709" w:type="dxa"/>
            <w:tcBorders>
              <w:top w:val="nil"/>
              <w:left w:val="nil"/>
              <w:bottom w:val="single" w:color="auto" w:sz="8" w:space="0"/>
              <w:right w:val="single" w:color="auto" w:sz="8" w:space="0"/>
            </w:tcBorders>
            <w:shd w:val="clear" w:color="auto" w:fill="auto"/>
            <w:vAlign w:val="center"/>
          </w:tcPr>
          <w:p w14:paraId="5CC143F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r>
      <w:tr w14:paraId="7D935BD5">
        <w:tblPrEx>
          <w:tblCellMar>
            <w:top w:w="0" w:type="dxa"/>
            <w:left w:w="108" w:type="dxa"/>
            <w:bottom w:w="0" w:type="dxa"/>
            <w:right w:w="108" w:type="dxa"/>
          </w:tblCellMar>
        </w:tblPrEx>
        <w:trPr>
          <w:wBefore w:w="93" w:type="dxa"/>
          <w:wAfter w:w="331" w:type="dxa"/>
          <w:trHeight w:val="886" w:hRule="atLeast"/>
        </w:trPr>
        <w:tc>
          <w:tcPr>
            <w:tcW w:w="582" w:type="dxa"/>
            <w:tcBorders>
              <w:top w:val="nil"/>
              <w:left w:val="single" w:color="auto" w:sz="8" w:space="0"/>
              <w:bottom w:val="single" w:color="auto" w:sz="8" w:space="0"/>
              <w:right w:val="single" w:color="auto" w:sz="8" w:space="0"/>
            </w:tcBorders>
            <w:shd w:val="clear" w:color="auto" w:fill="auto"/>
            <w:vAlign w:val="center"/>
          </w:tcPr>
          <w:p w14:paraId="07544A9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134" w:type="dxa"/>
            <w:tcBorders>
              <w:top w:val="nil"/>
              <w:left w:val="nil"/>
              <w:bottom w:val="single" w:color="auto" w:sz="8" w:space="0"/>
              <w:right w:val="single" w:color="auto" w:sz="8" w:space="0"/>
            </w:tcBorders>
            <w:shd w:val="clear" w:color="auto" w:fill="auto"/>
            <w:vAlign w:val="center"/>
          </w:tcPr>
          <w:p w14:paraId="58721D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光模块</w:t>
            </w:r>
          </w:p>
        </w:tc>
        <w:tc>
          <w:tcPr>
            <w:tcW w:w="993" w:type="dxa"/>
            <w:tcBorders>
              <w:top w:val="nil"/>
              <w:left w:val="nil"/>
              <w:bottom w:val="single" w:color="auto" w:sz="8" w:space="0"/>
              <w:right w:val="single" w:color="auto" w:sz="8" w:space="0"/>
            </w:tcBorders>
            <w:shd w:val="clear" w:color="auto" w:fill="auto"/>
            <w:vAlign w:val="center"/>
          </w:tcPr>
          <w:p w14:paraId="15F5D58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华为</w:t>
            </w:r>
          </w:p>
        </w:tc>
        <w:tc>
          <w:tcPr>
            <w:tcW w:w="1701" w:type="dxa"/>
            <w:tcBorders>
              <w:top w:val="nil"/>
              <w:left w:val="nil"/>
              <w:bottom w:val="single" w:color="auto" w:sz="8" w:space="0"/>
              <w:right w:val="single" w:color="auto" w:sz="8" w:space="0"/>
            </w:tcBorders>
            <w:shd w:val="clear" w:color="auto" w:fill="auto"/>
            <w:vAlign w:val="center"/>
          </w:tcPr>
          <w:p w14:paraId="76CFA25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84" w:type="dxa"/>
            <w:tcBorders>
              <w:top w:val="nil"/>
              <w:left w:val="nil"/>
              <w:bottom w:val="single" w:color="auto" w:sz="8" w:space="0"/>
              <w:right w:val="single" w:color="auto" w:sz="8" w:space="0"/>
            </w:tcBorders>
            <w:shd w:val="clear" w:color="auto" w:fill="auto"/>
            <w:vAlign w:val="center"/>
          </w:tcPr>
          <w:p w14:paraId="3E730BE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千兆以上单模光模块，LC接口</w:t>
            </w:r>
          </w:p>
        </w:tc>
        <w:tc>
          <w:tcPr>
            <w:tcW w:w="992" w:type="dxa"/>
            <w:tcBorders>
              <w:top w:val="nil"/>
              <w:left w:val="nil"/>
              <w:bottom w:val="single" w:color="auto" w:sz="8" w:space="0"/>
              <w:right w:val="single" w:color="auto" w:sz="8" w:space="0"/>
            </w:tcBorders>
            <w:shd w:val="clear" w:color="auto" w:fill="auto"/>
            <w:vAlign w:val="center"/>
          </w:tcPr>
          <w:p w14:paraId="651FCB4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709" w:type="dxa"/>
            <w:tcBorders>
              <w:top w:val="nil"/>
              <w:left w:val="nil"/>
              <w:bottom w:val="single" w:color="auto" w:sz="8" w:space="0"/>
              <w:right w:val="single" w:color="auto" w:sz="8" w:space="0"/>
            </w:tcBorders>
            <w:shd w:val="clear" w:color="auto" w:fill="auto"/>
            <w:vAlign w:val="center"/>
          </w:tcPr>
          <w:p w14:paraId="1ED86D4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r>
      <w:tr w14:paraId="56A79D5C">
        <w:tblPrEx>
          <w:tblCellMar>
            <w:top w:w="0" w:type="dxa"/>
            <w:left w:w="108" w:type="dxa"/>
            <w:bottom w:w="0" w:type="dxa"/>
            <w:right w:w="108" w:type="dxa"/>
          </w:tblCellMar>
        </w:tblPrEx>
        <w:trPr>
          <w:wBefore w:w="93" w:type="dxa"/>
          <w:wAfter w:w="331" w:type="dxa"/>
          <w:trHeight w:val="948" w:hRule="atLeast"/>
        </w:trPr>
        <w:tc>
          <w:tcPr>
            <w:tcW w:w="582" w:type="dxa"/>
            <w:tcBorders>
              <w:top w:val="nil"/>
              <w:left w:val="single" w:color="auto" w:sz="8" w:space="0"/>
              <w:bottom w:val="single" w:color="auto" w:sz="8" w:space="0"/>
              <w:right w:val="single" w:color="auto" w:sz="8" w:space="0"/>
            </w:tcBorders>
            <w:shd w:val="clear" w:color="auto" w:fill="auto"/>
            <w:vAlign w:val="center"/>
          </w:tcPr>
          <w:p w14:paraId="32FFE4D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134" w:type="dxa"/>
            <w:tcBorders>
              <w:top w:val="nil"/>
              <w:left w:val="nil"/>
              <w:bottom w:val="single" w:color="auto" w:sz="8" w:space="0"/>
              <w:right w:val="single" w:color="auto" w:sz="8" w:space="0"/>
            </w:tcBorders>
            <w:shd w:val="clear" w:color="auto" w:fill="auto"/>
            <w:vAlign w:val="center"/>
          </w:tcPr>
          <w:p w14:paraId="2744E75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网线</w:t>
            </w:r>
          </w:p>
        </w:tc>
        <w:tc>
          <w:tcPr>
            <w:tcW w:w="993" w:type="dxa"/>
            <w:tcBorders>
              <w:top w:val="nil"/>
              <w:left w:val="nil"/>
              <w:bottom w:val="single" w:color="auto" w:sz="8" w:space="0"/>
              <w:right w:val="single" w:color="auto" w:sz="8" w:space="0"/>
            </w:tcBorders>
            <w:shd w:val="clear" w:color="auto" w:fill="auto"/>
            <w:vAlign w:val="center"/>
          </w:tcPr>
          <w:p w14:paraId="0B192D4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海康</w:t>
            </w:r>
          </w:p>
        </w:tc>
        <w:tc>
          <w:tcPr>
            <w:tcW w:w="1701" w:type="dxa"/>
            <w:tcBorders>
              <w:top w:val="nil"/>
              <w:left w:val="nil"/>
              <w:bottom w:val="single" w:color="auto" w:sz="8" w:space="0"/>
              <w:right w:val="single" w:color="auto" w:sz="8" w:space="0"/>
            </w:tcBorders>
            <w:shd w:val="clear" w:color="auto" w:fill="auto"/>
            <w:vAlign w:val="center"/>
          </w:tcPr>
          <w:p w14:paraId="4E789D1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84" w:type="dxa"/>
            <w:tcBorders>
              <w:top w:val="nil"/>
              <w:left w:val="nil"/>
              <w:bottom w:val="single" w:color="auto" w:sz="8" w:space="0"/>
              <w:right w:val="single" w:color="auto" w:sz="8" w:space="0"/>
            </w:tcBorders>
            <w:shd w:val="clear" w:color="auto" w:fill="auto"/>
            <w:vAlign w:val="center"/>
          </w:tcPr>
          <w:p w14:paraId="76BA122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超五类及以上</w:t>
            </w:r>
          </w:p>
        </w:tc>
        <w:tc>
          <w:tcPr>
            <w:tcW w:w="992" w:type="dxa"/>
            <w:tcBorders>
              <w:top w:val="nil"/>
              <w:left w:val="nil"/>
              <w:bottom w:val="single" w:color="auto" w:sz="8" w:space="0"/>
              <w:right w:val="single" w:color="auto" w:sz="8" w:space="0"/>
            </w:tcBorders>
            <w:shd w:val="clear" w:color="auto" w:fill="auto"/>
            <w:vAlign w:val="center"/>
          </w:tcPr>
          <w:p w14:paraId="60BA620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709" w:type="dxa"/>
            <w:tcBorders>
              <w:top w:val="nil"/>
              <w:left w:val="nil"/>
              <w:bottom w:val="single" w:color="auto" w:sz="8" w:space="0"/>
              <w:right w:val="single" w:color="auto" w:sz="8" w:space="0"/>
            </w:tcBorders>
            <w:shd w:val="clear" w:color="auto" w:fill="auto"/>
            <w:vAlign w:val="center"/>
          </w:tcPr>
          <w:p w14:paraId="57AC0D0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9100</w:t>
            </w:r>
          </w:p>
        </w:tc>
      </w:tr>
      <w:tr w14:paraId="0D19DE33">
        <w:tblPrEx>
          <w:tblCellMar>
            <w:top w:w="0" w:type="dxa"/>
            <w:left w:w="108" w:type="dxa"/>
            <w:bottom w:w="0" w:type="dxa"/>
            <w:right w:w="108" w:type="dxa"/>
          </w:tblCellMar>
        </w:tblPrEx>
        <w:trPr>
          <w:wBefore w:w="93" w:type="dxa"/>
          <w:wAfter w:w="331" w:type="dxa"/>
          <w:trHeight w:val="982" w:hRule="atLeast"/>
        </w:trPr>
        <w:tc>
          <w:tcPr>
            <w:tcW w:w="582" w:type="dxa"/>
            <w:tcBorders>
              <w:top w:val="nil"/>
              <w:left w:val="single" w:color="auto" w:sz="8" w:space="0"/>
              <w:bottom w:val="single" w:color="auto" w:sz="8" w:space="0"/>
              <w:right w:val="single" w:color="auto" w:sz="8" w:space="0"/>
            </w:tcBorders>
            <w:shd w:val="clear" w:color="auto" w:fill="auto"/>
            <w:vAlign w:val="center"/>
          </w:tcPr>
          <w:p w14:paraId="6976510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134" w:type="dxa"/>
            <w:tcBorders>
              <w:top w:val="nil"/>
              <w:left w:val="nil"/>
              <w:bottom w:val="single" w:color="auto" w:sz="8" w:space="0"/>
              <w:right w:val="single" w:color="auto" w:sz="8" w:space="0"/>
            </w:tcBorders>
            <w:shd w:val="clear" w:color="auto" w:fill="auto"/>
            <w:vAlign w:val="center"/>
          </w:tcPr>
          <w:p w14:paraId="6792BF4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六类模块面板</w:t>
            </w:r>
          </w:p>
        </w:tc>
        <w:tc>
          <w:tcPr>
            <w:tcW w:w="993" w:type="dxa"/>
            <w:tcBorders>
              <w:top w:val="nil"/>
              <w:left w:val="nil"/>
              <w:bottom w:val="single" w:color="auto" w:sz="8" w:space="0"/>
              <w:right w:val="single" w:color="auto" w:sz="8" w:space="0"/>
            </w:tcBorders>
            <w:shd w:val="clear" w:color="auto" w:fill="auto"/>
            <w:vAlign w:val="center"/>
          </w:tcPr>
          <w:p w14:paraId="09266D9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国产</w:t>
            </w:r>
          </w:p>
        </w:tc>
        <w:tc>
          <w:tcPr>
            <w:tcW w:w="1701" w:type="dxa"/>
            <w:tcBorders>
              <w:top w:val="nil"/>
              <w:left w:val="nil"/>
              <w:bottom w:val="single" w:color="auto" w:sz="8" w:space="0"/>
              <w:right w:val="single" w:color="auto" w:sz="8" w:space="0"/>
            </w:tcBorders>
            <w:shd w:val="clear" w:color="auto" w:fill="auto"/>
            <w:vAlign w:val="center"/>
          </w:tcPr>
          <w:p w14:paraId="7BDE3F3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84" w:type="dxa"/>
            <w:tcBorders>
              <w:top w:val="nil"/>
              <w:left w:val="nil"/>
              <w:bottom w:val="single" w:color="auto" w:sz="8" w:space="0"/>
              <w:right w:val="single" w:color="auto" w:sz="8" w:space="0"/>
            </w:tcBorders>
            <w:shd w:val="clear" w:color="auto" w:fill="auto"/>
            <w:vAlign w:val="center"/>
          </w:tcPr>
          <w:p w14:paraId="5788527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86型，免打信息模块</w:t>
            </w:r>
          </w:p>
        </w:tc>
        <w:tc>
          <w:tcPr>
            <w:tcW w:w="992" w:type="dxa"/>
            <w:tcBorders>
              <w:top w:val="nil"/>
              <w:left w:val="nil"/>
              <w:bottom w:val="single" w:color="auto" w:sz="8" w:space="0"/>
              <w:right w:val="single" w:color="auto" w:sz="8" w:space="0"/>
            </w:tcBorders>
            <w:shd w:val="clear" w:color="auto" w:fill="auto"/>
            <w:vAlign w:val="center"/>
          </w:tcPr>
          <w:p w14:paraId="39E703A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709" w:type="dxa"/>
            <w:tcBorders>
              <w:top w:val="nil"/>
              <w:left w:val="nil"/>
              <w:bottom w:val="single" w:color="auto" w:sz="8" w:space="0"/>
              <w:right w:val="single" w:color="auto" w:sz="8" w:space="0"/>
            </w:tcBorders>
            <w:shd w:val="clear" w:color="auto" w:fill="auto"/>
            <w:vAlign w:val="center"/>
          </w:tcPr>
          <w:p w14:paraId="086523E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234</w:t>
            </w:r>
          </w:p>
        </w:tc>
      </w:tr>
      <w:tr w14:paraId="6CA5D364">
        <w:tblPrEx>
          <w:tblCellMar>
            <w:top w:w="0" w:type="dxa"/>
            <w:left w:w="108" w:type="dxa"/>
            <w:bottom w:w="0" w:type="dxa"/>
            <w:right w:w="108" w:type="dxa"/>
          </w:tblCellMar>
        </w:tblPrEx>
        <w:trPr>
          <w:wBefore w:w="93" w:type="dxa"/>
          <w:wAfter w:w="331" w:type="dxa"/>
          <w:trHeight w:val="888" w:hRule="atLeast"/>
        </w:trPr>
        <w:tc>
          <w:tcPr>
            <w:tcW w:w="582" w:type="dxa"/>
            <w:tcBorders>
              <w:top w:val="nil"/>
              <w:left w:val="single" w:color="auto" w:sz="8" w:space="0"/>
              <w:bottom w:val="single" w:color="auto" w:sz="8" w:space="0"/>
              <w:right w:val="single" w:color="auto" w:sz="8" w:space="0"/>
            </w:tcBorders>
            <w:shd w:val="clear" w:color="auto" w:fill="auto"/>
            <w:vAlign w:val="center"/>
          </w:tcPr>
          <w:p w14:paraId="35E8FB4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134" w:type="dxa"/>
            <w:tcBorders>
              <w:top w:val="nil"/>
              <w:left w:val="nil"/>
              <w:bottom w:val="single" w:color="auto" w:sz="8" w:space="0"/>
              <w:right w:val="single" w:color="auto" w:sz="8" w:space="0"/>
            </w:tcBorders>
            <w:shd w:val="clear" w:color="auto" w:fill="auto"/>
            <w:vAlign w:val="center"/>
          </w:tcPr>
          <w:p w14:paraId="300D0C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安装调试</w:t>
            </w:r>
          </w:p>
        </w:tc>
        <w:tc>
          <w:tcPr>
            <w:tcW w:w="993" w:type="dxa"/>
            <w:tcBorders>
              <w:top w:val="nil"/>
              <w:left w:val="nil"/>
              <w:bottom w:val="single" w:color="auto" w:sz="8" w:space="0"/>
              <w:right w:val="single" w:color="auto" w:sz="8" w:space="0"/>
            </w:tcBorders>
            <w:shd w:val="clear" w:color="auto" w:fill="auto"/>
            <w:vAlign w:val="center"/>
          </w:tcPr>
          <w:p w14:paraId="008A6FC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66EFA15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84" w:type="dxa"/>
            <w:tcBorders>
              <w:top w:val="nil"/>
              <w:left w:val="nil"/>
              <w:bottom w:val="single" w:color="auto" w:sz="8" w:space="0"/>
              <w:right w:val="single" w:color="auto" w:sz="8" w:space="0"/>
            </w:tcBorders>
            <w:shd w:val="clear" w:color="auto" w:fill="auto"/>
            <w:vAlign w:val="center"/>
          </w:tcPr>
          <w:p w14:paraId="4932564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光纤铺设，拉网线到各信息点，网络调试</w:t>
            </w:r>
          </w:p>
        </w:tc>
        <w:tc>
          <w:tcPr>
            <w:tcW w:w="992" w:type="dxa"/>
            <w:tcBorders>
              <w:top w:val="nil"/>
              <w:left w:val="nil"/>
              <w:bottom w:val="single" w:color="auto" w:sz="8" w:space="0"/>
              <w:right w:val="single" w:color="auto" w:sz="8" w:space="0"/>
            </w:tcBorders>
            <w:shd w:val="clear" w:color="auto" w:fill="auto"/>
            <w:vAlign w:val="center"/>
          </w:tcPr>
          <w:p w14:paraId="5BCD686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709" w:type="dxa"/>
            <w:tcBorders>
              <w:top w:val="nil"/>
              <w:left w:val="nil"/>
              <w:bottom w:val="single" w:color="auto" w:sz="8" w:space="0"/>
              <w:right w:val="single" w:color="auto" w:sz="8" w:space="0"/>
            </w:tcBorders>
            <w:shd w:val="clear" w:color="auto" w:fill="auto"/>
            <w:vAlign w:val="center"/>
          </w:tcPr>
          <w:p w14:paraId="0E45BD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r>
      <w:tr w14:paraId="77A313CF">
        <w:tblPrEx>
          <w:tblCellMar>
            <w:top w:w="0" w:type="dxa"/>
            <w:left w:w="108" w:type="dxa"/>
            <w:bottom w:w="0" w:type="dxa"/>
            <w:right w:w="108" w:type="dxa"/>
          </w:tblCellMar>
        </w:tblPrEx>
        <w:trPr>
          <w:wBefore w:w="93" w:type="dxa"/>
          <w:wAfter w:w="331" w:type="dxa"/>
          <w:trHeight w:val="787" w:hRule="atLeast"/>
        </w:trPr>
        <w:tc>
          <w:tcPr>
            <w:tcW w:w="582" w:type="dxa"/>
            <w:tcBorders>
              <w:top w:val="nil"/>
              <w:left w:val="single" w:color="auto" w:sz="8" w:space="0"/>
              <w:bottom w:val="single" w:color="auto" w:sz="8" w:space="0"/>
              <w:right w:val="single" w:color="auto" w:sz="8" w:space="0"/>
            </w:tcBorders>
            <w:shd w:val="clear" w:color="auto" w:fill="auto"/>
            <w:vAlign w:val="center"/>
          </w:tcPr>
          <w:p w14:paraId="0E89E5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134" w:type="dxa"/>
            <w:tcBorders>
              <w:top w:val="nil"/>
              <w:left w:val="nil"/>
              <w:bottom w:val="single" w:color="auto" w:sz="8" w:space="0"/>
              <w:right w:val="single" w:color="auto" w:sz="8" w:space="0"/>
            </w:tcBorders>
            <w:shd w:val="clear" w:color="auto" w:fill="auto"/>
            <w:vAlign w:val="center"/>
          </w:tcPr>
          <w:p w14:paraId="5A467BD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线槽、安装材料</w:t>
            </w:r>
          </w:p>
        </w:tc>
        <w:tc>
          <w:tcPr>
            <w:tcW w:w="993" w:type="dxa"/>
            <w:tcBorders>
              <w:top w:val="nil"/>
              <w:left w:val="nil"/>
              <w:bottom w:val="single" w:color="auto" w:sz="8" w:space="0"/>
              <w:right w:val="single" w:color="auto" w:sz="8" w:space="0"/>
            </w:tcBorders>
            <w:shd w:val="clear" w:color="auto" w:fill="auto"/>
            <w:vAlign w:val="center"/>
          </w:tcPr>
          <w:p w14:paraId="655427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14:paraId="049F062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984" w:type="dxa"/>
            <w:tcBorders>
              <w:top w:val="nil"/>
              <w:left w:val="nil"/>
              <w:bottom w:val="single" w:color="auto" w:sz="8" w:space="0"/>
              <w:right w:val="single" w:color="auto" w:sz="8" w:space="0"/>
            </w:tcBorders>
            <w:shd w:val="clear" w:color="auto" w:fill="auto"/>
            <w:vAlign w:val="center"/>
          </w:tcPr>
          <w:p w14:paraId="619A6A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4分/6分PVC线槽</w:t>
            </w:r>
          </w:p>
        </w:tc>
        <w:tc>
          <w:tcPr>
            <w:tcW w:w="992" w:type="dxa"/>
            <w:tcBorders>
              <w:top w:val="nil"/>
              <w:left w:val="nil"/>
              <w:bottom w:val="single" w:color="auto" w:sz="8" w:space="0"/>
              <w:right w:val="single" w:color="auto" w:sz="8" w:space="0"/>
            </w:tcBorders>
            <w:shd w:val="clear" w:color="auto" w:fill="auto"/>
            <w:vAlign w:val="center"/>
          </w:tcPr>
          <w:p w14:paraId="377B54A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批</w:t>
            </w:r>
          </w:p>
        </w:tc>
        <w:tc>
          <w:tcPr>
            <w:tcW w:w="709" w:type="dxa"/>
            <w:tcBorders>
              <w:top w:val="nil"/>
              <w:left w:val="nil"/>
              <w:bottom w:val="single" w:color="auto" w:sz="8" w:space="0"/>
              <w:right w:val="single" w:color="auto" w:sz="8" w:space="0"/>
            </w:tcBorders>
            <w:shd w:val="clear" w:color="auto" w:fill="auto"/>
            <w:vAlign w:val="center"/>
          </w:tcPr>
          <w:p w14:paraId="69CB83A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bl>
    <w:p w14:paraId="00A6365F">
      <w:pPr>
        <w:pStyle w:val="26"/>
        <w:numPr>
          <w:ilvl w:val="0"/>
          <w:numId w:val="16"/>
        </w:numPr>
        <w:tabs>
          <w:tab w:val="left" w:pos="540"/>
        </w:tabs>
        <w:adjustRightInd w:val="0"/>
        <w:snapToGrid w:val="0"/>
        <w:spacing w:line="360" w:lineRule="auto"/>
        <w:outlineLvl w:val="1"/>
        <w:rPr>
          <w:rFonts w:hAnsi="宋体" w:cs="宋体"/>
          <w:b/>
          <w:bCs/>
          <w:color w:val="000000" w:themeColor="text1"/>
          <w:sz w:val="21"/>
        </w:rPr>
      </w:pPr>
      <w:r>
        <w:rPr>
          <w:rFonts w:hint="eastAsia" w:hAnsi="宋体" w:cs="宋体"/>
          <w:b/>
          <w:bCs/>
          <w:color w:val="000000" w:themeColor="text1"/>
          <w:sz w:val="21"/>
        </w:rPr>
        <w:t>项目具体内容</w:t>
      </w:r>
    </w:p>
    <w:p w14:paraId="79ECE448">
      <w:pPr>
        <w:pStyle w:val="44"/>
        <w:pBdr>
          <w:top w:val="none" w:color="1B1C1D" w:sz="0" w:space="0"/>
          <w:left w:val="none" w:color="1B1C1D" w:sz="0" w:space="0"/>
          <w:bottom w:val="none" w:color="1B1C1D" w:sz="0" w:space="0"/>
          <w:right w:val="none" w:color="1B1C1D" w:sz="0" w:space="0"/>
        </w:pBdr>
        <w:spacing w:before="0" w:beforeAutospacing="0" w:after="0" w:afterAutospacing="0" w:line="360" w:lineRule="auto"/>
        <w:ind w:firstLine="155" w:firstLineChars="74"/>
        <w:jc w:val="both"/>
        <w:rPr>
          <w:kern w:val="2"/>
          <w:sz w:val="21"/>
          <w:szCs w:val="21"/>
        </w:rPr>
      </w:pPr>
      <w:r>
        <w:rPr>
          <w:rFonts w:hint="eastAsia"/>
          <w:kern w:val="2"/>
          <w:sz w:val="21"/>
          <w:szCs w:val="21"/>
        </w:rPr>
        <w:t>（一）光纤敷设</w:t>
      </w:r>
    </w:p>
    <w:p w14:paraId="7F8A55C6">
      <w:pPr>
        <w:pStyle w:val="44"/>
        <w:pBdr>
          <w:top w:val="none" w:color="1B1C1D" w:sz="0" w:space="0"/>
          <w:left w:val="none" w:color="1B1C1D" w:sz="0" w:space="0"/>
          <w:bottom w:val="none" w:color="1B1C1D" w:sz="0" w:space="0"/>
          <w:right w:val="none" w:color="1B1C1D" w:sz="0" w:space="0"/>
        </w:pBdr>
        <w:spacing w:before="0" w:beforeAutospacing="0" w:after="0" w:afterAutospacing="0" w:line="360" w:lineRule="auto"/>
        <w:ind w:firstLine="155" w:firstLineChars="74"/>
        <w:jc w:val="both"/>
        <w:rPr>
          <w:kern w:val="2"/>
          <w:sz w:val="21"/>
          <w:szCs w:val="21"/>
        </w:rPr>
      </w:pPr>
      <w:r>
        <w:rPr>
          <w:rFonts w:hint="eastAsia"/>
          <w:kern w:val="2"/>
          <w:sz w:val="21"/>
          <w:szCs w:val="21"/>
        </w:rPr>
        <w:t>1.施工范围：13个厂房分控室至工厂二楼交换机房；</w:t>
      </w:r>
    </w:p>
    <w:p w14:paraId="68E10A46">
      <w:pPr>
        <w:widowControl/>
        <w:pBdr>
          <w:top w:val="none" w:color="1B1C1D" w:sz="0" w:space="0"/>
          <w:left w:val="none" w:color="1B1C1D" w:sz="0" w:space="0"/>
          <w:bottom w:val="none" w:color="1B1C1D" w:sz="0" w:space="0"/>
          <w:right w:val="none" w:color="1B1C1D" w:sz="0" w:space="0"/>
        </w:pBdr>
        <w:tabs>
          <w:tab w:val="left" w:pos="720"/>
        </w:tabs>
        <w:spacing w:line="360" w:lineRule="auto"/>
        <w:ind w:firstLine="155" w:firstLineChars="74"/>
        <w:rPr>
          <w:rFonts w:ascii="宋体" w:hAnsi="宋体" w:eastAsia="宋体" w:cs="宋体"/>
          <w:szCs w:val="21"/>
        </w:rPr>
      </w:pPr>
      <w:r>
        <w:rPr>
          <w:rFonts w:hint="eastAsia" w:ascii="宋体" w:hAnsi="宋体" w:eastAsia="宋体" w:cs="宋体"/>
          <w:szCs w:val="21"/>
        </w:rPr>
        <w:t>2.光纤标准：采用单模光纤铺设，每条光纤预留适当冗余；</w:t>
      </w:r>
    </w:p>
    <w:p w14:paraId="7D5F6AB6">
      <w:pPr>
        <w:widowControl/>
        <w:pBdr>
          <w:top w:val="none" w:color="1B1C1D" w:sz="0" w:space="0"/>
          <w:left w:val="none" w:color="1B1C1D" w:sz="0" w:space="0"/>
          <w:bottom w:val="none" w:color="1B1C1D" w:sz="0" w:space="0"/>
          <w:right w:val="none" w:color="1B1C1D" w:sz="0" w:space="0"/>
        </w:pBdr>
        <w:tabs>
          <w:tab w:val="left" w:pos="720"/>
        </w:tabs>
        <w:spacing w:line="360" w:lineRule="auto"/>
        <w:ind w:firstLine="155" w:firstLineChars="74"/>
        <w:rPr>
          <w:rFonts w:ascii="宋体" w:hAnsi="宋体" w:eastAsia="宋体" w:cs="宋体"/>
          <w:szCs w:val="21"/>
        </w:rPr>
      </w:pPr>
      <w:r>
        <w:rPr>
          <w:rFonts w:hint="eastAsia" w:ascii="宋体" w:hAnsi="宋体" w:eastAsia="宋体" w:cs="宋体"/>
          <w:szCs w:val="21"/>
        </w:rPr>
        <w:t xml:space="preserve">3.连接方式： </w:t>
      </w:r>
    </w:p>
    <w:p w14:paraId="1310F3DE">
      <w:pPr>
        <w:widowControl/>
        <w:pBdr>
          <w:top w:val="none" w:color="1B1C1D" w:sz="0" w:space="0"/>
          <w:left w:val="none" w:color="1B1C1D" w:sz="0" w:space="0"/>
          <w:bottom w:val="none" w:color="1B1C1D" w:sz="0" w:space="0"/>
          <w:right w:val="none" w:color="1B1C1D" w:sz="0" w:space="0"/>
        </w:pBdr>
        <w:tabs>
          <w:tab w:val="left" w:pos="720"/>
          <w:tab w:val="left" w:pos="1440"/>
        </w:tabs>
        <w:spacing w:line="360" w:lineRule="auto"/>
        <w:ind w:firstLine="155" w:firstLineChars="74"/>
        <w:rPr>
          <w:rFonts w:ascii="宋体" w:hAnsi="宋体" w:eastAsia="宋体" w:cs="宋体"/>
          <w:szCs w:val="21"/>
        </w:rPr>
      </w:pPr>
      <w:r>
        <w:rPr>
          <w:rFonts w:hint="eastAsia" w:ascii="宋体" w:hAnsi="宋体" w:eastAsia="宋体" w:cs="宋体"/>
          <w:szCs w:val="21"/>
        </w:rPr>
        <w:t>（1）使用高质量光纤尾纤进行终端连接；</w:t>
      </w:r>
    </w:p>
    <w:p w14:paraId="630FE97B">
      <w:pPr>
        <w:widowControl/>
        <w:pBdr>
          <w:top w:val="none" w:color="1B1C1D" w:sz="0" w:space="0"/>
          <w:left w:val="none" w:color="1B1C1D" w:sz="0" w:space="0"/>
          <w:bottom w:val="none" w:color="1B1C1D" w:sz="0" w:space="0"/>
          <w:right w:val="none" w:color="1B1C1D" w:sz="0" w:space="0"/>
        </w:pBdr>
        <w:tabs>
          <w:tab w:val="left" w:pos="720"/>
          <w:tab w:val="left" w:pos="1440"/>
        </w:tabs>
        <w:spacing w:line="360" w:lineRule="auto"/>
        <w:ind w:firstLine="155" w:firstLineChars="74"/>
        <w:rPr>
          <w:rFonts w:ascii="宋体" w:hAnsi="宋体" w:eastAsia="宋体" w:cs="宋体"/>
          <w:szCs w:val="21"/>
        </w:rPr>
      </w:pPr>
      <w:r>
        <w:rPr>
          <w:rFonts w:hint="eastAsia" w:ascii="宋体" w:hAnsi="宋体" w:eastAsia="宋体" w:cs="宋体"/>
          <w:szCs w:val="21"/>
        </w:rPr>
        <w:t>（2）使用光纤跳线进行交换机互联；</w:t>
      </w:r>
    </w:p>
    <w:p w14:paraId="53210B53">
      <w:pPr>
        <w:widowControl/>
        <w:pBdr>
          <w:top w:val="none" w:color="1B1C1D" w:sz="0" w:space="0"/>
          <w:left w:val="none" w:color="1B1C1D" w:sz="0" w:space="0"/>
          <w:bottom w:val="none" w:color="1B1C1D" w:sz="0" w:space="0"/>
          <w:right w:val="none" w:color="1B1C1D" w:sz="0" w:space="0"/>
        </w:pBdr>
        <w:tabs>
          <w:tab w:val="left" w:pos="720"/>
          <w:tab w:val="left" w:pos="1440"/>
        </w:tabs>
        <w:spacing w:line="360" w:lineRule="auto"/>
        <w:ind w:firstLine="155" w:firstLineChars="74"/>
        <w:rPr>
          <w:rFonts w:ascii="宋体" w:hAnsi="宋体" w:eastAsia="宋体" w:cs="宋体"/>
          <w:szCs w:val="21"/>
        </w:rPr>
      </w:pPr>
      <w:r>
        <w:rPr>
          <w:rFonts w:hint="eastAsia" w:ascii="宋体" w:hAnsi="宋体" w:eastAsia="宋体" w:cs="宋体"/>
          <w:szCs w:val="21"/>
        </w:rPr>
        <w:t>（3）采用光纤熔接，确保低损耗、高速率数据传输。</w:t>
      </w:r>
    </w:p>
    <w:p w14:paraId="47DAD06B">
      <w:pPr>
        <w:pStyle w:val="44"/>
        <w:pBdr>
          <w:top w:val="none" w:color="1B1C1D" w:sz="0" w:space="0"/>
          <w:left w:val="none" w:color="1B1C1D" w:sz="0" w:space="0"/>
          <w:bottom w:val="none" w:color="1B1C1D" w:sz="0" w:space="0"/>
          <w:right w:val="none" w:color="1B1C1D" w:sz="0" w:space="0"/>
        </w:pBdr>
        <w:spacing w:before="0" w:beforeAutospacing="0" w:after="0" w:afterAutospacing="0" w:line="360" w:lineRule="auto"/>
        <w:ind w:firstLine="155" w:firstLineChars="74"/>
        <w:jc w:val="both"/>
        <w:rPr>
          <w:kern w:val="2"/>
          <w:sz w:val="21"/>
          <w:szCs w:val="21"/>
        </w:rPr>
      </w:pPr>
      <w:r>
        <w:rPr>
          <w:rFonts w:hint="eastAsia"/>
          <w:kern w:val="2"/>
          <w:sz w:val="21"/>
          <w:szCs w:val="21"/>
        </w:rPr>
        <w:t>（二）工厂楼层布线</w:t>
      </w:r>
    </w:p>
    <w:p w14:paraId="1DA0FF13">
      <w:pPr>
        <w:widowControl/>
        <w:pBdr>
          <w:top w:val="none" w:color="1B1C1D" w:sz="0" w:space="0"/>
          <w:left w:val="none" w:color="1B1C1D" w:sz="0" w:space="0"/>
          <w:bottom w:val="none" w:color="1B1C1D" w:sz="0" w:space="0"/>
          <w:right w:val="none" w:color="1B1C1D" w:sz="0" w:space="0"/>
        </w:pBdr>
        <w:tabs>
          <w:tab w:val="left" w:pos="720"/>
        </w:tabs>
        <w:spacing w:line="360" w:lineRule="auto"/>
        <w:ind w:firstLine="155" w:firstLineChars="74"/>
        <w:rPr>
          <w:rFonts w:ascii="宋体" w:hAnsi="宋体" w:eastAsia="宋体" w:cs="宋体"/>
          <w:szCs w:val="21"/>
        </w:rPr>
      </w:pPr>
      <w:r>
        <w:rPr>
          <w:rFonts w:hint="eastAsia" w:ascii="宋体" w:hAnsi="宋体" w:eastAsia="宋体" w:cs="宋体"/>
          <w:szCs w:val="21"/>
        </w:rPr>
        <w:t>1.网线标准：采用CAT5或以上级别网线进行布线；</w:t>
      </w:r>
    </w:p>
    <w:p w14:paraId="52BF96D1">
      <w:pPr>
        <w:widowControl/>
        <w:pBdr>
          <w:top w:val="none" w:color="1B1C1D" w:sz="0" w:space="0"/>
          <w:left w:val="none" w:color="1B1C1D" w:sz="0" w:space="0"/>
          <w:bottom w:val="none" w:color="1B1C1D" w:sz="0" w:space="0"/>
          <w:right w:val="none" w:color="1B1C1D" w:sz="0" w:space="0"/>
        </w:pBdr>
        <w:tabs>
          <w:tab w:val="left" w:pos="720"/>
        </w:tabs>
        <w:spacing w:line="360" w:lineRule="auto"/>
        <w:ind w:firstLine="155" w:firstLineChars="74"/>
        <w:rPr>
          <w:rFonts w:ascii="宋体" w:hAnsi="宋体" w:eastAsia="宋体" w:cs="宋体"/>
          <w:szCs w:val="21"/>
        </w:rPr>
      </w:pPr>
      <w:r>
        <w:rPr>
          <w:rFonts w:hint="eastAsia" w:ascii="宋体" w:hAnsi="宋体" w:eastAsia="宋体" w:cs="宋体"/>
          <w:szCs w:val="21"/>
        </w:rPr>
        <w:t xml:space="preserve">2.线路管理： </w:t>
      </w:r>
    </w:p>
    <w:p w14:paraId="345E7F14">
      <w:pPr>
        <w:widowControl/>
        <w:pBdr>
          <w:top w:val="none" w:color="1B1C1D" w:sz="0" w:space="0"/>
          <w:left w:val="none" w:color="1B1C1D" w:sz="0" w:space="0"/>
          <w:bottom w:val="none" w:color="1B1C1D" w:sz="0" w:space="0"/>
          <w:right w:val="none" w:color="1B1C1D" w:sz="0" w:space="0"/>
        </w:pBdr>
        <w:tabs>
          <w:tab w:val="left" w:pos="720"/>
          <w:tab w:val="left" w:pos="1440"/>
        </w:tabs>
        <w:spacing w:line="360" w:lineRule="auto"/>
        <w:ind w:firstLine="155" w:firstLineChars="74"/>
        <w:rPr>
          <w:rFonts w:ascii="宋体" w:hAnsi="宋体" w:eastAsia="宋体" w:cs="宋体"/>
          <w:szCs w:val="21"/>
        </w:rPr>
      </w:pPr>
      <w:r>
        <w:rPr>
          <w:rFonts w:hint="eastAsia" w:ascii="宋体" w:hAnsi="宋体" w:eastAsia="宋体" w:cs="宋体"/>
          <w:szCs w:val="21"/>
        </w:rPr>
        <w:t>（1）使用PVC线槽或桥架整理线路，确保美观、安全、易维护；</w:t>
      </w:r>
    </w:p>
    <w:p w14:paraId="0FE192C8">
      <w:pPr>
        <w:widowControl/>
        <w:pBdr>
          <w:top w:val="none" w:color="1B1C1D" w:sz="0" w:space="0"/>
          <w:left w:val="none" w:color="1B1C1D" w:sz="0" w:space="0"/>
          <w:bottom w:val="none" w:color="1B1C1D" w:sz="0" w:space="0"/>
          <w:right w:val="none" w:color="1B1C1D" w:sz="0" w:space="0"/>
        </w:pBdr>
        <w:tabs>
          <w:tab w:val="left" w:pos="720"/>
          <w:tab w:val="left" w:pos="1440"/>
        </w:tabs>
        <w:spacing w:line="360" w:lineRule="auto"/>
        <w:ind w:firstLine="155" w:firstLineChars="74"/>
        <w:rPr>
          <w:rFonts w:ascii="宋体" w:hAnsi="宋体" w:eastAsia="宋体" w:cs="宋体"/>
          <w:szCs w:val="21"/>
        </w:rPr>
      </w:pPr>
      <w:r>
        <w:rPr>
          <w:rFonts w:hint="eastAsia" w:ascii="宋体" w:hAnsi="宋体" w:eastAsia="宋体" w:cs="宋体"/>
          <w:szCs w:val="21"/>
        </w:rPr>
        <w:t>（2）结合现场情况，合理规划线路走向，避免交叉干扰。</w:t>
      </w:r>
    </w:p>
    <w:p w14:paraId="3B22FC57">
      <w:pPr>
        <w:pStyle w:val="44"/>
        <w:pBdr>
          <w:top w:val="none" w:color="1B1C1D" w:sz="0" w:space="0"/>
          <w:left w:val="none" w:color="1B1C1D" w:sz="0" w:space="0"/>
          <w:bottom w:val="none" w:color="1B1C1D" w:sz="0" w:space="0"/>
          <w:right w:val="none" w:color="1B1C1D" w:sz="0" w:space="0"/>
        </w:pBdr>
        <w:spacing w:before="0" w:beforeAutospacing="0" w:after="0" w:afterAutospacing="0" w:line="360" w:lineRule="auto"/>
        <w:ind w:firstLine="155" w:firstLineChars="74"/>
        <w:jc w:val="both"/>
        <w:rPr>
          <w:kern w:val="2"/>
          <w:sz w:val="21"/>
          <w:szCs w:val="21"/>
        </w:rPr>
      </w:pPr>
      <w:r>
        <w:rPr>
          <w:rFonts w:hint="eastAsia"/>
          <w:kern w:val="2"/>
          <w:sz w:val="21"/>
          <w:szCs w:val="21"/>
        </w:rPr>
        <w:t>（三）交换机</w:t>
      </w:r>
      <w:r>
        <w:rPr>
          <w:rFonts w:hint="eastAsia"/>
          <w:kern w:val="2"/>
          <w:sz w:val="21"/>
          <w:szCs w:val="21"/>
          <w:lang w:val="en-US" w:eastAsia="zh-CN"/>
        </w:rPr>
        <w:t>布置</w:t>
      </w:r>
    </w:p>
    <w:p w14:paraId="6A6C3B67">
      <w:pPr>
        <w:widowControl/>
        <w:pBdr>
          <w:top w:val="none" w:color="1B1C1D" w:sz="0" w:space="0"/>
          <w:left w:val="none" w:color="1B1C1D" w:sz="0" w:space="0"/>
          <w:bottom w:val="none" w:color="1B1C1D" w:sz="0" w:space="0"/>
          <w:right w:val="none" w:color="1B1C1D" w:sz="0" w:space="0"/>
        </w:pBdr>
        <w:tabs>
          <w:tab w:val="left" w:pos="720"/>
        </w:tabs>
        <w:spacing w:line="360" w:lineRule="auto"/>
        <w:ind w:firstLine="155" w:firstLineChars="74"/>
        <w:rPr>
          <w:rFonts w:ascii="宋体" w:hAnsi="宋体" w:eastAsia="宋体" w:cs="宋体"/>
          <w:szCs w:val="21"/>
        </w:rPr>
      </w:pPr>
      <w:r>
        <w:rPr>
          <w:rFonts w:hint="eastAsia" w:ascii="宋体" w:hAnsi="宋体" w:eastAsia="宋体" w:cs="宋体"/>
          <w:szCs w:val="21"/>
        </w:rPr>
        <w:t xml:space="preserve">1.设备型号要求： </w:t>
      </w:r>
    </w:p>
    <w:p w14:paraId="5F38BD1A">
      <w:pPr>
        <w:widowControl/>
        <w:pBdr>
          <w:top w:val="none" w:color="1B1C1D" w:sz="0" w:space="0"/>
          <w:left w:val="none" w:color="1B1C1D" w:sz="0" w:space="0"/>
          <w:bottom w:val="none" w:color="1B1C1D" w:sz="0" w:space="0"/>
          <w:right w:val="none" w:color="1B1C1D" w:sz="0" w:space="0"/>
        </w:pBdr>
        <w:tabs>
          <w:tab w:val="left" w:pos="720"/>
          <w:tab w:val="left" w:pos="1440"/>
        </w:tabs>
        <w:spacing w:line="360" w:lineRule="auto"/>
        <w:ind w:firstLine="155" w:firstLineChars="74"/>
        <w:rPr>
          <w:rFonts w:ascii="宋体" w:hAnsi="宋体" w:eastAsia="宋体" w:cs="宋体"/>
          <w:szCs w:val="21"/>
        </w:rPr>
      </w:pPr>
      <w:r>
        <w:rPr>
          <w:rFonts w:hint="eastAsia" w:ascii="宋体" w:hAnsi="宋体" w:eastAsia="宋体" w:cs="宋体"/>
          <w:szCs w:val="21"/>
        </w:rPr>
        <w:t>（1）24口千兆企业级交换机（支持高带宽吞吐、VLAN划分、QoS优化）；</w:t>
      </w:r>
    </w:p>
    <w:p w14:paraId="2015D36C">
      <w:pPr>
        <w:widowControl/>
        <w:pBdr>
          <w:top w:val="none" w:color="1B1C1D" w:sz="0" w:space="0"/>
          <w:left w:val="none" w:color="1B1C1D" w:sz="0" w:space="0"/>
          <w:bottom w:val="none" w:color="1B1C1D" w:sz="0" w:space="0"/>
          <w:right w:val="none" w:color="1B1C1D" w:sz="0" w:space="0"/>
        </w:pBdr>
        <w:tabs>
          <w:tab w:val="left" w:pos="720"/>
          <w:tab w:val="left" w:pos="1440"/>
        </w:tabs>
        <w:spacing w:line="360" w:lineRule="auto"/>
        <w:ind w:firstLine="155" w:firstLineChars="74"/>
        <w:rPr>
          <w:rFonts w:ascii="宋体" w:hAnsi="宋体" w:eastAsia="宋体" w:cs="宋体"/>
          <w:szCs w:val="21"/>
        </w:rPr>
      </w:pPr>
      <w:r>
        <w:rPr>
          <w:rFonts w:hint="eastAsia" w:ascii="宋体" w:hAnsi="宋体" w:eastAsia="宋体" w:cs="宋体"/>
          <w:szCs w:val="21"/>
        </w:rPr>
        <w:t>（2）具备网络管理功能，支持远程监控与管理；</w:t>
      </w:r>
    </w:p>
    <w:p w14:paraId="606A67ED">
      <w:pPr>
        <w:widowControl/>
        <w:pBdr>
          <w:top w:val="none" w:color="1B1C1D" w:sz="0" w:space="0"/>
          <w:left w:val="none" w:color="1B1C1D" w:sz="0" w:space="0"/>
          <w:bottom w:val="none" w:color="1B1C1D" w:sz="0" w:space="0"/>
          <w:right w:val="none" w:color="1B1C1D" w:sz="0" w:space="0"/>
        </w:pBdr>
        <w:tabs>
          <w:tab w:val="left" w:pos="720"/>
          <w:tab w:val="left" w:pos="1440"/>
        </w:tabs>
        <w:spacing w:line="360" w:lineRule="auto"/>
        <w:ind w:firstLine="155" w:firstLineChars="74"/>
        <w:rPr>
          <w:rFonts w:ascii="宋体" w:hAnsi="宋体" w:eastAsia="宋体" w:cs="宋体"/>
          <w:szCs w:val="21"/>
        </w:rPr>
      </w:pPr>
      <w:r>
        <w:rPr>
          <w:rFonts w:hint="eastAsia" w:ascii="宋体" w:hAnsi="宋体" w:eastAsia="宋体" w:cs="宋体"/>
          <w:szCs w:val="21"/>
        </w:rPr>
        <w:t>（3）可扩展，支持未来业务拓展需求。</w:t>
      </w:r>
    </w:p>
    <w:p w14:paraId="77C701D3">
      <w:pPr>
        <w:pStyle w:val="44"/>
        <w:pBdr>
          <w:top w:val="none" w:color="1B1C1D" w:sz="0" w:space="0"/>
          <w:left w:val="none" w:color="1B1C1D" w:sz="0" w:space="0"/>
          <w:bottom w:val="none" w:color="1B1C1D" w:sz="0" w:space="0"/>
          <w:right w:val="none" w:color="1B1C1D" w:sz="0" w:space="0"/>
        </w:pBdr>
        <w:spacing w:before="0" w:beforeAutospacing="0" w:after="0" w:afterAutospacing="0" w:line="360" w:lineRule="auto"/>
        <w:ind w:firstLine="155" w:firstLineChars="74"/>
        <w:jc w:val="both"/>
        <w:rPr>
          <w:kern w:val="2"/>
          <w:sz w:val="21"/>
          <w:szCs w:val="21"/>
        </w:rPr>
      </w:pPr>
      <w:r>
        <w:rPr>
          <w:rFonts w:hint="eastAsia"/>
          <w:kern w:val="2"/>
          <w:sz w:val="21"/>
          <w:szCs w:val="21"/>
        </w:rPr>
        <w:t>（四）光模块采购</w:t>
      </w:r>
    </w:p>
    <w:p w14:paraId="48F398F7">
      <w:pPr>
        <w:widowControl/>
        <w:pBdr>
          <w:top w:val="none" w:color="1B1C1D" w:sz="0" w:space="0"/>
          <w:left w:val="none" w:color="1B1C1D" w:sz="0" w:space="0"/>
          <w:bottom w:val="none" w:color="1B1C1D" w:sz="0" w:space="0"/>
          <w:right w:val="none" w:color="1B1C1D" w:sz="0" w:space="0"/>
        </w:pBdr>
        <w:tabs>
          <w:tab w:val="left" w:pos="720"/>
        </w:tabs>
        <w:spacing w:line="360" w:lineRule="auto"/>
        <w:ind w:firstLine="155" w:firstLineChars="74"/>
        <w:rPr>
          <w:rFonts w:ascii="宋体" w:hAnsi="宋体" w:eastAsia="宋体" w:cs="宋体"/>
          <w:szCs w:val="21"/>
        </w:rPr>
      </w:pPr>
      <w:r>
        <w:rPr>
          <w:rFonts w:hint="eastAsia" w:ascii="宋体" w:hAnsi="宋体" w:eastAsia="宋体" w:cs="宋体"/>
          <w:szCs w:val="21"/>
        </w:rPr>
        <w:t>1.每个厂房采购2个千兆单模光模块（总计26个），用于光纤网络终端对接；</w:t>
      </w:r>
    </w:p>
    <w:p w14:paraId="12811CBE">
      <w:pPr>
        <w:widowControl/>
        <w:pBdr>
          <w:top w:val="none" w:color="1B1C1D" w:sz="0" w:space="0"/>
          <w:left w:val="none" w:color="1B1C1D" w:sz="0" w:space="0"/>
          <w:bottom w:val="none" w:color="1B1C1D" w:sz="0" w:space="0"/>
          <w:right w:val="none" w:color="1B1C1D" w:sz="0" w:space="0"/>
        </w:pBdr>
        <w:tabs>
          <w:tab w:val="left" w:pos="720"/>
        </w:tabs>
        <w:spacing w:line="360" w:lineRule="auto"/>
        <w:ind w:firstLine="155" w:firstLineChars="74"/>
        <w:rPr>
          <w:rFonts w:ascii="宋体" w:hAnsi="宋体" w:eastAsia="宋体" w:cs="宋体"/>
          <w:szCs w:val="21"/>
        </w:rPr>
      </w:pPr>
      <w:r>
        <w:rPr>
          <w:rFonts w:hint="eastAsia" w:ascii="宋体" w:hAnsi="宋体" w:eastAsia="宋体" w:cs="宋体"/>
          <w:szCs w:val="21"/>
        </w:rPr>
        <w:t xml:space="preserve">2.光模块标准： </w:t>
      </w:r>
    </w:p>
    <w:p w14:paraId="123EFFC4">
      <w:pPr>
        <w:widowControl/>
        <w:pBdr>
          <w:top w:val="none" w:color="1B1C1D" w:sz="0" w:space="0"/>
          <w:left w:val="none" w:color="1B1C1D" w:sz="0" w:space="0"/>
          <w:bottom w:val="none" w:color="1B1C1D" w:sz="0" w:space="0"/>
          <w:right w:val="none" w:color="1B1C1D" w:sz="0" w:space="0"/>
        </w:pBdr>
        <w:spacing w:line="360" w:lineRule="auto"/>
        <w:ind w:firstLine="155" w:firstLineChars="74"/>
        <w:rPr>
          <w:rFonts w:ascii="宋体" w:hAnsi="宋体" w:eastAsia="宋体" w:cs="宋体"/>
          <w:szCs w:val="21"/>
        </w:rPr>
      </w:pPr>
      <w:r>
        <w:rPr>
          <w:rFonts w:hint="eastAsia" w:ascii="宋体" w:hAnsi="宋体" w:eastAsia="宋体" w:cs="宋体"/>
          <w:szCs w:val="21"/>
        </w:rPr>
        <w:t>（1）兼容LC接口，支持千兆单模传输，确保数据传输稳定；</w:t>
      </w:r>
    </w:p>
    <w:p w14:paraId="6250C8A1">
      <w:pPr>
        <w:widowControl/>
        <w:pBdr>
          <w:top w:val="none" w:color="1B1C1D" w:sz="0" w:space="0"/>
          <w:left w:val="none" w:color="1B1C1D" w:sz="0" w:space="0"/>
          <w:bottom w:val="none" w:color="1B1C1D" w:sz="0" w:space="0"/>
          <w:right w:val="none" w:color="1B1C1D" w:sz="0" w:space="0"/>
        </w:pBdr>
        <w:spacing w:line="360" w:lineRule="auto"/>
        <w:ind w:firstLine="155" w:firstLineChars="74"/>
        <w:rPr>
          <w:rFonts w:ascii="宋体" w:hAnsi="宋体" w:eastAsia="宋体" w:cs="宋体"/>
          <w:szCs w:val="21"/>
        </w:rPr>
      </w:pPr>
      <w:r>
        <w:rPr>
          <w:rFonts w:hint="eastAsia" w:ascii="宋体" w:hAnsi="宋体" w:eastAsia="宋体" w:cs="宋体"/>
          <w:szCs w:val="21"/>
        </w:rPr>
        <w:t>（2）适用于企业级交换机，可直接插入交换机光口使用。</w:t>
      </w:r>
    </w:p>
    <w:p w14:paraId="1A1F64C5">
      <w:pPr>
        <w:pStyle w:val="44"/>
        <w:pBdr>
          <w:top w:val="none" w:color="1B1C1D" w:sz="0" w:space="0"/>
          <w:left w:val="none" w:color="1B1C1D" w:sz="0" w:space="0"/>
          <w:bottom w:val="none" w:color="1B1C1D" w:sz="0" w:space="0"/>
          <w:right w:val="none" w:color="1B1C1D" w:sz="0" w:space="0"/>
        </w:pBdr>
        <w:spacing w:before="0" w:beforeAutospacing="0" w:after="0" w:afterAutospacing="0" w:line="360" w:lineRule="auto"/>
        <w:ind w:firstLine="155" w:firstLineChars="74"/>
        <w:jc w:val="both"/>
        <w:rPr>
          <w:kern w:val="2"/>
          <w:sz w:val="21"/>
          <w:szCs w:val="21"/>
        </w:rPr>
      </w:pPr>
      <w:r>
        <w:rPr>
          <w:rFonts w:hint="eastAsia"/>
          <w:kern w:val="2"/>
          <w:sz w:val="21"/>
          <w:szCs w:val="21"/>
        </w:rPr>
        <w:t>（五）系统调试与部署</w:t>
      </w:r>
    </w:p>
    <w:p w14:paraId="14931285">
      <w:pPr>
        <w:widowControl/>
        <w:pBdr>
          <w:top w:val="none" w:color="1B1C1D" w:sz="0" w:space="0"/>
          <w:left w:val="none" w:color="1B1C1D" w:sz="0" w:space="0"/>
          <w:bottom w:val="none" w:color="1B1C1D" w:sz="0" w:space="0"/>
          <w:right w:val="none" w:color="1B1C1D" w:sz="0" w:space="0"/>
        </w:pBdr>
        <w:spacing w:line="360" w:lineRule="auto"/>
        <w:ind w:firstLine="155" w:firstLineChars="74"/>
        <w:rPr>
          <w:rFonts w:ascii="宋体" w:hAnsi="宋体" w:eastAsia="宋体" w:cs="宋体"/>
          <w:szCs w:val="21"/>
        </w:rPr>
      </w:pPr>
      <w:r>
        <w:rPr>
          <w:rFonts w:hint="eastAsia" w:ascii="宋体" w:hAnsi="宋体" w:eastAsia="宋体" w:cs="宋体"/>
          <w:szCs w:val="21"/>
        </w:rPr>
        <w:t>1.设备安装完成后进行光纤通断测试，确保信号传输稳定；</w:t>
      </w:r>
    </w:p>
    <w:p w14:paraId="2176623B">
      <w:pPr>
        <w:widowControl/>
        <w:pBdr>
          <w:top w:val="none" w:color="1B1C1D" w:sz="0" w:space="0"/>
          <w:left w:val="none" w:color="1B1C1D" w:sz="0" w:space="0"/>
          <w:bottom w:val="none" w:color="1B1C1D" w:sz="0" w:space="0"/>
          <w:right w:val="none" w:color="1B1C1D" w:sz="0" w:space="0"/>
        </w:pBdr>
        <w:spacing w:line="360" w:lineRule="auto"/>
        <w:ind w:firstLine="155" w:firstLineChars="74"/>
        <w:rPr>
          <w:rFonts w:ascii="宋体" w:hAnsi="宋体" w:eastAsia="宋体" w:cs="宋体"/>
          <w:szCs w:val="21"/>
        </w:rPr>
      </w:pPr>
      <w:r>
        <w:rPr>
          <w:rFonts w:hint="eastAsia" w:ascii="宋体" w:hAnsi="宋体" w:eastAsia="宋体" w:cs="宋体"/>
          <w:szCs w:val="21"/>
        </w:rPr>
        <w:t>2.配置交换机网络参数，确保监狱工厂能够稳定接入教育网；</w:t>
      </w:r>
    </w:p>
    <w:p w14:paraId="5FF3DDA5">
      <w:pPr>
        <w:widowControl/>
        <w:pBdr>
          <w:top w:val="none" w:color="1B1C1D" w:sz="0" w:space="0"/>
          <w:left w:val="none" w:color="1B1C1D" w:sz="0" w:space="0"/>
          <w:bottom w:val="none" w:color="1B1C1D" w:sz="0" w:space="0"/>
          <w:right w:val="none" w:color="1B1C1D" w:sz="0" w:space="0"/>
        </w:pBdr>
        <w:spacing w:line="360" w:lineRule="auto"/>
        <w:ind w:firstLine="155" w:firstLineChars="74"/>
        <w:rPr>
          <w:rFonts w:ascii="宋体" w:hAnsi="宋体" w:eastAsia="宋体" w:cs="宋体"/>
          <w:szCs w:val="21"/>
        </w:rPr>
      </w:pPr>
      <w:r>
        <w:rPr>
          <w:rFonts w:hint="eastAsia" w:ascii="宋体" w:hAnsi="宋体" w:eastAsia="宋体" w:cs="宋体"/>
          <w:szCs w:val="21"/>
        </w:rPr>
        <w:t>3.车间将成功接入教育网，实现对生产管理系统平台的访问；</w:t>
      </w:r>
    </w:p>
    <w:p w14:paraId="01EC46CF">
      <w:pPr>
        <w:widowControl/>
        <w:pBdr>
          <w:top w:val="none" w:color="1B1C1D" w:sz="0" w:space="0"/>
          <w:left w:val="none" w:color="1B1C1D" w:sz="0" w:space="0"/>
          <w:bottom w:val="none" w:color="1B1C1D" w:sz="0" w:space="0"/>
          <w:right w:val="none" w:color="1B1C1D" w:sz="0" w:space="0"/>
        </w:pBdr>
        <w:spacing w:line="360" w:lineRule="auto"/>
        <w:ind w:firstLine="155" w:firstLineChars="74"/>
        <w:rPr>
          <w:rFonts w:ascii="宋体" w:hAnsi="宋体" w:eastAsia="宋体" w:cs="宋体"/>
          <w:szCs w:val="21"/>
          <w:highlight w:val="yellow"/>
        </w:rPr>
      </w:pPr>
      <w:r>
        <w:rPr>
          <w:rFonts w:hint="eastAsia" w:ascii="宋体" w:hAnsi="宋体" w:eastAsia="宋体" w:cs="宋体"/>
          <w:szCs w:val="21"/>
        </w:rPr>
        <w:t>4.提供完整的系统调试报告，确保所有设备达到交付标准。</w:t>
      </w:r>
    </w:p>
    <w:p w14:paraId="420EB15E">
      <w:pPr>
        <w:pStyle w:val="26"/>
        <w:numPr>
          <w:ilvl w:val="0"/>
          <w:numId w:val="16"/>
        </w:numPr>
        <w:tabs>
          <w:tab w:val="left" w:pos="540"/>
        </w:tabs>
        <w:adjustRightInd w:val="0"/>
        <w:snapToGrid w:val="0"/>
        <w:spacing w:line="360" w:lineRule="auto"/>
        <w:outlineLvl w:val="1"/>
        <w:rPr>
          <w:rFonts w:hAnsi="宋体" w:cs="宋体"/>
          <w:b/>
          <w:bCs/>
          <w:color w:val="000000" w:themeColor="text1"/>
          <w:sz w:val="21"/>
        </w:rPr>
      </w:pPr>
      <w:r>
        <w:rPr>
          <w:rFonts w:hint="eastAsia" w:hAnsi="宋体" w:cs="宋体"/>
          <w:b/>
          <w:bCs/>
          <w:color w:val="000000" w:themeColor="text1"/>
          <w:sz w:val="21"/>
        </w:rPr>
        <w:t>交货及验收事项</w:t>
      </w:r>
    </w:p>
    <w:p w14:paraId="436CC321">
      <w:pPr>
        <w:widowControl/>
        <w:numPr>
          <w:ilvl w:val="0"/>
          <w:numId w:val="18"/>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成交供应商按有关标准提供货物的包装，在合同生效后30天内完成供货、安装调试以及验收，确保安装调试后在车间内可接入教育网并实现对生产管理系统平台的访问。</w:t>
      </w:r>
    </w:p>
    <w:p w14:paraId="18328007">
      <w:pPr>
        <w:widowControl/>
        <w:numPr>
          <w:ilvl w:val="0"/>
          <w:numId w:val="18"/>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成交供应商所报货物应与技术参数要求相同或更优（允许提供同品牌内不同规格型号的更优的产品），报价货物应为制造商原装的、全新的、符合有关质量标准的产品。</w:t>
      </w:r>
    </w:p>
    <w:p w14:paraId="72DB9CC6">
      <w:pPr>
        <w:widowControl/>
        <w:numPr>
          <w:ilvl w:val="0"/>
          <w:numId w:val="18"/>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所有材料均要求符合国家标准。</w:t>
      </w:r>
    </w:p>
    <w:p w14:paraId="3510D5EB">
      <w:pPr>
        <w:widowControl/>
        <w:numPr>
          <w:ilvl w:val="0"/>
          <w:numId w:val="18"/>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 xml:space="preserve">由成交供应商负责按国家相关标准进行货物包装，货物的包装均应有良好的防湿、防锈、防潮、防雨、防腐及防碰撞的措施，并适宜广东的气候条件。凡由于包装不良造成的损失和由此产生的费用均由成交供应商承担。 </w:t>
      </w:r>
    </w:p>
    <w:p w14:paraId="7FC3962C">
      <w:pPr>
        <w:widowControl/>
        <w:numPr>
          <w:ilvl w:val="0"/>
          <w:numId w:val="18"/>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成交供应商负责货物到现场过程中的全部运输及费用，包括装卸车、货物现场的搬运安装调试，并负责其派出的人员人身意外保险。</w:t>
      </w:r>
    </w:p>
    <w:p w14:paraId="589561F2">
      <w:pPr>
        <w:widowControl/>
        <w:numPr>
          <w:ilvl w:val="0"/>
          <w:numId w:val="18"/>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交货时必须随附该批产品的产品质量合格证书或能说明质量达标的证明资料、货物正常使用所需的所有技术资料及使用说明书。</w:t>
      </w:r>
    </w:p>
    <w:p w14:paraId="416B95E3">
      <w:pPr>
        <w:widowControl/>
        <w:numPr>
          <w:ilvl w:val="0"/>
          <w:numId w:val="18"/>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所提供的产品必须是在中国范围内合法销售，原装、全新、并完全符合用户要求的产品。</w:t>
      </w:r>
    </w:p>
    <w:p w14:paraId="75EAF1F8">
      <w:pPr>
        <w:widowControl/>
        <w:numPr>
          <w:ilvl w:val="0"/>
          <w:numId w:val="18"/>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货物若有国家标准按照国家标准验收，若无国家标准按行业标准验收，为原制造商制造的全新产品，整机无污染，无侵权行为、表面无划损、无任何缺陷隐患，在中国境内可依常规安全合法使用。</w:t>
      </w:r>
    </w:p>
    <w:p w14:paraId="4398EE56">
      <w:pPr>
        <w:widowControl/>
        <w:numPr>
          <w:ilvl w:val="0"/>
          <w:numId w:val="18"/>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验收由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14:paraId="4B8EEB65">
      <w:pPr>
        <w:pStyle w:val="26"/>
        <w:numPr>
          <w:ilvl w:val="0"/>
          <w:numId w:val="16"/>
        </w:numPr>
        <w:tabs>
          <w:tab w:val="left" w:pos="540"/>
        </w:tabs>
        <w:adjustRightInd w:val="0"/>
        <w:snapToGrid w:val="0"/>
        <w:spacing w:line="360" w:lineRule="auto"/>
        <w:outlineLvl w:val="1"/>
        <w:rPr>
          <w:rFonts w:hAnsi="宋体" w:cs="宋体"/>
          <w:b/>
          <w:bCs/>
          <w:color w:val="000000" w:themeColor="text1"/>
          <w:sz w:val="21"/>
        </w:rPr>
      </w:pPr>
      <w:r>
        <w:rPr>
          <w:rFonts w:hint="eastAsia" w:hAnsi="宋体" w:cs="宋体"/>
          <w:b/>
          <w:bCs/>
          <w:color w:val="000000" w:themeColor="text1"/>
          <w:sz w:val="21"/>
        </w:rPr>
        <w:t>售后服务</w:t>
      </w:r>
    </w:p>
    <w:p w14:paraId="57C22CF1">
      <w:pPr>
        <w:widowControl/>
        <w:numPr>
          <w:ilvl w:val="0"/>
          <w:numId w:val="19"/>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所有设备免费保修期两年，免费保修期内按国家有关产品“三包”规定执行“三包”，两年内非人为原因损坏的，无条件包修。若厂家提供更优质的服务，则按厂家的标准执行。保修期外终身维护，且维修只收取零配件成本费用。如厂家标准保修期限不满足竞价文件要求的，供货商须承诺保修期限不低于竞价文件的要求（易耗易损设备除外）。保修期自采购人和供货商代表在验收报告上签字之日起计算。</w:t>
      </w:r>
    </w:p>
    <w:p w14:paraId="76C68FEE">
      <w:pPr>
        <w:widowControl/>
        <w:numPr>
          <w:ilvl w:val="0"/>
          <w:numId w:val="19"/>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保修期内，所有设备保修服务方式均为由设备生产厂家或厂家指派专业人员上门保修，提供定期上门技术服务，日常产生故障需在24小时内派技术人员上门排障，由此产生的一切费用均由厂家承担，成交供应商有责任为采购人提供长期维修服务和技术支持。</w:t>
      </w:r>
    </w:p>
    <w:p w14:paraId="7327BE1F">
      <w:pPr>
        <w:widowControl/>
        <w:numPr>
          <w:ilvl w:val="0"/>
          <w:numId w:val="19"/>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质保期内，成交供应商对所供货物实行包修、包换、包退、包维护保养，期满后可同时提供终身、有偿维修保养服务。</w:t>
      </w:r>
    </w:p>
    <w:p w14:paraId="68995FED">
      <w:pPr>
        <w:widowControl/>
        <w:numPr>
          <w:ilvl w:val="0"/>
          <w:numId w:val="19"/>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为保证设备的正常使用和日常维护，成交供应商需对采购人设备管理人员和操作人员进行技术培训。</w:t>
      </w:r>
    </w:p>
    <w:p w14:paraId="38C3E22F">
      <w:pPr>
        <w:pStyle w:val="26"/>
        <w:numPr>
          <w:ilvl w:val="0"/>
          <w:numId w:val="16"/>
        </w:numPr>
        <w:tabs>
          <w:tab w:val="left" w:pos="540"/>
        </w:tabs>
        <w:adjustRightInd w:val="0"/>
        <w:snapToGrid w:val="0"/>
        <w:spacing w:line="360" w:lineRule="auto"/>
        <w:outlineLvl w:val="1"/>
        <w:rPr>
          <w:rFonts w:hAnsi="宋体" w:cs="宋体"/>
          <w:b/>
          <w:bCs/>
          <w:color w:val="000000" w:themeColor="text1"/>
          <w:sz w:val="21"/>
        </w:rPr>
      </w:pPr>
      <w:r>
        <w:rPr>
          <w:rFonts w:hint="eastAsia" w:hAnsi="宋体" w:cs="宋体"/>
          <w:b/>
          <w:bCs/>
          <w:color w:val="000000" w:themeColor="text1"/>
          <w:sz w:val="21"/>
        </w:rPr>
        <w:t>其他要求</w:t>
      </w:r>
    </w:p>
    <w:p w14:paraId="1E1AE824">
      <w:pPr>
        <w:widowControl/>
        <w:numPr>
          <w:ilvl w:val="0"/>
          <w:numId w:val="20"/>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成交供应商承包及负责竞价文件中对成交供应商要求的一切事宜及责任。包括货物供货、运输、保管、安装调试使用合格经相关部门验收、质保服务及相关服务等。成交后不得在成交价之外加收任何费用。</w:t>
      </w:r>
    </w:p>
    <w:p w14:paraId="6E62CCCD">
      <w:pPr>
        <w:widowControl/>
        <w:numPr>
          <w:ilvl w:val="0"/>
          <w:numId w:val="20"/>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对于影响货物正常使用的必要组成部分，无论在技术需求中指出与否，响应供应商都应在报价文件中明确列出，并且报价包含此部分的价格。</w:t>
      </w:r>
    </w:p>
    <w:p w14:paraId="0354D4AD">
      <w:pPr>
        <w:widowControl/>
        <w:numPr>
          <w:ilvl w:val="0"/>
          <w:numId w:val="20"/>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成交供应商提供的货物必须是原厂生产的、全新的、未使用过的，并完全符合原厂质量检测标准和国家相关标准、行业标准。</w:t>
      </w:r>
    </w:p>
    <w:p w14:paraId="682EA8BA">
      <w:pPr>
        <w:widowControl/>
        <w:numPr>
          <w:ilvl w:val="0"/>
          <w:numId w:val="20"/>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成交供应商应保证，采购人在使用该货物或该货物的任何一部分时，免受第三方提出的侵犯其专利权、商标权、工业设计权、侵犯所有权和工业产权、著作权（版权）等知识产权的起诉。</w:t>
      </w:r>
    </w:p>
    <w:p w14:paraId="6FF899FF">
      <w:pPr>
        <w:pStyle w:val="26"/>
        <w:numPr>
          <w:ilvl w:val="0"/>
          <w:numId w:val="16"/>
        </w:numPr>
        <w:tabs>
          <w:tab w:val="left" w:pos="540"/>
        </w:tabs>
        <w:adjustRightInd w:val="0"/>
        <w:snapToGrid w:val="0"/>
        <w:spacing w:line="360" w:lineRule="auto"/>
        <w:outlineLvl w:val="1"/>
        <w:rPr>
          <w:rFonts w:hAnsi="宋体" w:cs="宋体"/>
          <w:b/>
          <w:bCs/>
          <w:color w:val="000000" w:themeColor="text1"/>
          <w:sz w:val="21"/>
        </w:rPr>
      </w:pPr>
      <w:r>
        <w:rPr>
          <w:rFonts w:hint="eastAsia" w:hAnsi="宋体" w:cs="宋体"/>
          <w:b/>
          <w:bCs/>
          <w:color w:val="000000" w:themeColor="text1"/>
          <w:sz w:val="21"/>
        </w:rPr>
        <w:t>履约保证金</w:t>
      </w:r>
    </w:p>
    <w:p w14:paraId="5CE30A95">
      <w:pPr>
        <w:widowControl/>
        <w:numPr>
          <w:ilvl w:val="0"/>
          <w:numId w:val="21"/>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服务期履约保证金金额按合同总价的5%收取，成交供应商须在签订合同后三个工作日内以人民币转账方式向采购人提交履约保证金，履约保证金的保证期限自成交供应商应当交付保证金之日始至合同期满之日止。合同期满后，在成交供应商没有违反合约条款的情况下，采购人在完工后签字验收合格(或采购人委托第三方)后十五个工作日内一次性无息退回履约保证金。</w:t>
      </w:r>
    </w:p>
    <w:p w14:paraId="4C364D7C">
      <w:pPr>
        <w:widowControl/>
        <w:numPr>
          <w:ilvl w:val="0"/>
          <w:numId w:val="21"/>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b/>
          <w:szCs w:val="21"/>
        </w:rPr>
      </w:pPr>
      <w:r>
        <w:rPr>
          <w:rFonts w:hint="eastAsia" w:ascii="宋体" w:hAnsi="宋体" w:eastAsia="宋体" w:cs="宋体"/>
          <w:szCs w:val="21"/>
        </w:rPr>
        <w:t>货物或项目未能一次性通过验收，则采购人同意由成交供应商予以整改，并在第一次验收结束之日起5天内重新组织验收；经2次验收不合格的，采购人有权单方面解除合同，没收全部履约保证金。如因此给采购人造成其他损失的，采购人有权向成交供应商提出索赔。</w:t>
      </w:r>
    </w:p>
    <w:p w14:paraId="634459E4">
      <w:pPr>
        <w:pStyle w:val="26"/>
        <w:numPr>
          <w:ilvl w:val="0"/>
          <w:numId w:val="16"/>
        </w:numPr>
        <w:tabs>
          <w:tab w:val="left" w:pos="540"/>
        </w:tabs>
        <w:adjustRightInd w:val="0"/>
        <w:snapToGrid w:val="0"/>
        <w:spacing w:line="360" w:lineRule="auto"/>
        <w:outlineLvl w:val="1"/>
        <w:rPr>
          <w:rFonts w:hAnsi="宋体" w:cs="宋体"/>
          <w:b/>
          <w:bCs/>
          <w:color w:val="000000" w:themeColor="text1"/>
          <w:sz w:val="21"/>
        </w:rPr>
      </w:pPr>
      <w:r>
        <w:rPr>
          <w:rFonts w:hint="eastAsia" w:hAnsi="宋体" w:cs="宋体"/>
          <w:b/>
          <w:bCs/>
          <w:color w:val="000000" w:themeColor="text1"/>
          <w:sz w:val="21"/>
        </w:rPr>
        <w:t>付款方式</w:t>
      </w:r>
    </w:p>
    <w:p w14:paraId="01848AE5">
      <w:pPr>
        <w:widowControl/>
        <w:numPr>
          <w:ilvl w:val="0"/>
          <w:numId w:val="22"/>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本项目以人民币转账方式支付：</w:t>
      </w:r>
    </w:p>
    <w:p w14:paraId="1BA5B122">
      <w:pPr>
        <w:widowControl/>
        <w:numPr>
          <w:ilvl w:val="0"/>
          <w:numId w:val="22"/>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完工并通过采购人(或采购人委托第三方)签字验收合格，采购人在十五个工作日内凭成交供应商开具的正式发票（增值税专用票）支付合同总价及履约保证金。</w:t>
      </w:r>
    </w:p>
    <w:p w14:paraId="63D74CBB">
      <w:pPr>
        <w:widowControl/>
        <w:numPr>
          <w:ilvl w:val="0"/>
          <w:numId w:val="22"/>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采购人仅负责在上述约定时间内完成申报手续，实际付款到账时间及金额以支付单位支付时间及金额为准。采购人不承担逾期付款的违约责任，并且此情况不能成为成交供应商逾期供货或怠于提供服务的理由。</w:t>
      </w:r>
    </w:p>
    <w:p w14:paraId="6E903FDB">
      <w:pPr>
        <w:pStyle w:val="26"/>
        <w:numPr>
          <w:ilvl w:val="0"/>
          <w:numId w:val="16"/>
        </w:numPr>
        <w:tabs>
          <w:tab w:val="left" w:pos="540"/>
        </w:tabs>
        <w:adjustRightInd w:val="0"/>
        <w:snapToGrid w:val="0"/>
        <w:spacing w:line="360" w:lineRule="auto"/>
        <w:outlineLvl w:val="1"/>
        <w:rPr>
          <w:rFonts w:hAnsi="宋体" w:cs="宋体"/>
          <w:b/>
          <w:bCs/>
          <w:color w:val="000000" w:themeColor="text1"/>
          <w:sz w:val="21"/>
        </w:rPr>
      </w:pPr>
      <w:r>
        <w:rPr>
          <w:rFonts w:hint="eastAsia" w:hAnsi="宋体" w:cs="宋体"/>
          <w:b/>
          <w:bCs/>
          <w:color w:val="000000" w:themeColor="text1"/>
          <w:sz w:val="21"/>
        </w:rPr>
        <w:t>保险</w:t>
      </w:r>
    </w:p>
    <w:p w14:paraId="1CBB9237">
      <w:pPr>
        <w:widowControl/>
        <w:pBdr>
          <w:top w:val="none" w:color="1B1C1D" w:sz="0" w:space="0"/>
          <w:left w:val="none" w:color="1B1C1D" w:sz="0" w:space="0"/>
          <w:bottom w:val="none" w:color="1B1C1D" w:sz="0" w:space="0"/>
          <w:right w:val="none" w:color="1B1C1D" w:sz="0" w:space="0"/>
        </w:pBdr>
        <w:spacing w:line="360" w:lineRule="auto"/>
        <w:ind w:firstLine="420" w:firstLineChars="200"/>
        <w:rPr>
          <w:rFonts w:ascii="宋体" w:hAnsi="宋体" w:eastAsia="宋体" w:cs="宋体"/>
          <w:szCs w:val="21"/>
        </w:rPr>
      </w:pPr>
      <w:r>
        <w:rPr>
          <w:rFonts w:hint="eastAsia" w:ascii="宋体" w:hAnsi="宋体" w:eastAsia="宋体" w:cs="宋体"/>
          <w:szCs w:val="21"/>
        </w:rPr>
        <w:t>货物交货之前的所有保险费用和派往采购人进行服务人员的人身险和其他有关险种，以及有关费用由成交供应商负责。</w:t>
      </w:r>
    </w:p>
    <w:p w14:paraId="1194BB55">
      <w:pPr>
        <w:pStyle w:val="26"/>
        <w:numPr>
          <w:ilvl w:val="0"/>
          <w:numId w:val="16"/>
        </w:numPr>
        <w:tabs>
          <w:tab w:val="left" w:pos="540"/>
        </w:tabs>
        <w:adjustRightInd w:val="0"/>
        <w:snapToGrid w:val="0"/>
        <w:spacing w:line="360" w:lineRule="auto"/>
        <w:outlineLvl w:val="1"/>
        <w:rPr>
          <w:rFonts w:hAnsi="宋体" w:cs="宋体"/>
          <w:b/>
          <w:bCs/>
          <w:color w:val="000000" w:themeColor="text1"/>
          <w:sz w:val="21"/>
        </w:rPr>
      </w:pPr>
      <w:r>
        <w:rPr>
          <w:rFonts w:hint="eastAsia" w:hAnsi="宋体" w:cs="宋体"/>
          <w:b/>
          <w:bCs/>
          <w:color w:val="000000" w:themeColor="text1"/>
          <w:sz w:val="21"/>
        </w:rPr>
        <w:t>异议索赔</w:t>
      </w:r>
    </w:p>
    <w:p w14:paraId="60CCFEE6">
      <w:pPr>
        <w:widowControl/>
        <w:numPr>
          <w:ilvl w:val="0"/>
          <w:numId w:val="23"/>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成交供应商对于所提供的服务与合同要求不符负有责任。成交供应商若同意采购人拒收，成交供应商负担由此发生的一切损失和费用，包括银行利息、运输和保险费、检验费、仓储和装卸费等必要的费用。</w:t>
      </w:r>
    </w:p>
    <w:p w14:paraId="45D05117">
      <w:pPr>
        <w:widowControl/>
        <w:numPr>
          <w:ilvl w:val="0"/>
          <w:numId w:val="23"/>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对有缺陷的设计，成交供应商同意免费更换，以达到合同规定的规格、质量和性能，成交供应商承担一切费用和风险并负担采购人遭受的一切损失，同时成交供应商相应顺延被更换货物的免费保修期。</w:t>
      </w:r>
    </w:p>
    <w:p w14:paraId="2AD8D0C0">
      <w:pPr>
        <w:widowControl/>
        <w:numPr>
          <w:ilvl w:val="0"/>
          <w:numId w:val="23"/>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如果在采购人发出索赔通知后10天内，成交供应商未作答复，上述索赔应视为已被成交供应商接受。如成交供应商未能在收到索赔通知后10天内或征得采购人同意的延长期内，按照采购人选择的方法解决索赔事宜，采购人将有权从货款中扣回索赔金额，同时保留进一步要求索赔的权力。</w:t>
      </w:r>
    </w:p>
    <w:p w14:paraId="0BF050A0">
      <w:pPr>
        <w:pStyle w:val="26"/>
        <w:numPr>
          <w:ilvl w:val="0"/>
          <w:numId w:val="16"/>
        </w:numPr>
        <w:tabs>
          <w:tab w:val="left" w:pos="540"/>
        </w:tabs>
        <w:adjustRightInd w:val="0"/>
        <w:snapToGrid w:val="0"/>
        <w:spacing w:line="360" w:lineRule="auto"/>
        <w:outlineLvl w:val="1"/>
        <w:rPr>
          <w:rFonts w:hAnsi="宋体" w:cs="宋体"/>
          <w:kern w:val="2"/>
          <w:sz w:val="21"/>
        </w:rPr>
      </w:pPr>
      <w:r>
        <w:rPr>
          <w:rFonts w:hint="eastAsia" w:hAnsi="宋体" w:cs="宋体"/>
          <w:b/>
          <w:bCs/>
          <w:color w:val="000000" w:themeColor="text1"/>
          <w:sz w:val="21"/>
        </w:rPr>
        <w:t>不可抗力</w:t>
      </w:r>
    </w:p>
    <w:p w14:paraId="5A1F4E51">
      <w:pPr>
        <w:widowControl/>
        <w:numPr>
          <w:ilvl w:val="0"/>
          <w:numId w:val="24"/>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由于不可预见、不可避免、不可克服等不可抗力的原因，一方不能履行合同义务的，应当在不可抗力发生之日起 14 天内以书面形式通知对方，证明不可抗力事件的存在。</w:t>
      </w:r>
    </w:p>
    <w:p w14:paraId="080C9A45">
      <w:pPr>
        <w:widowControl/>
        <w:numPr>
          <w:ilvl w:val="0"/>
          <w:numId w:val="24"/>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不可抗力事件发生后，采购人和成交供应商应当积极寻求以合理的方式履行本合同。如不可抗力无法消除，致使合同目的无法实现的，双方均有权解除合同，且均不互相索赔。</w:t>
      </w:r>
    </w:p>
    <w:p w14:paraId="746E3A7C">
      <w:pPr>
        <w:pStyle w:val="26"/>
        <w:numPr>
          <w:ilvl w:val="0"/>
          <w:numId w:val="16"/>
        </w:numPr>
        <w:tabs>
          <w:tab w:val="left" w:pos="540"/>
        </w:tabs>
        <w:adjustRightInd w:val="0"/>
        <w:snapToGrid w:val="0"/>
        <w:spacing w:line="360" w:lineRule="auto"/>
        <w:outlineLvl w:val="1"/>
        <w:rPr>
          <w:rFonts w:hAnsi="宋体" w:cs="宋体"/>
          <w:b/>
          <w:bCs/>
          <w:color w:val="000000" w:themeColor="text1"/>
          <w:sz w:val="21"/>
        </w:rPr>
      </w:pPr>
      <w:r>
        <w:rPr>
          <w:rFonts w:hint="eastAsia" w:hAnsi="宋体" w:cs="宋体"/>
          <w:b/>
          <w:bCs/>
          <w:color w:val="000000" w:themeColor="text1"/>
          <w:sz w:val="21"/>
        </w:rPr>
        <w:t>违约责任</w:t>
      </w:r>
    </w:p>
    <w:p w14:paraId="7E72E215">
      <w:pPr>
        <w:widowControl/>
        <w:numPr>
          <w:ilvl w:val="0"/>
          <w:numId w:val="25"/>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成交供应商提供的服务不符合竞价文件规定的，采购人有权拒收，并且成交供应商须向采购人支付合同总价5%的违约金。</w:t>
      </w:r>
    </w:p>
    <w:p w14:paraId="550CEC0F">
      <w:pPr>
        <w:widowControl/>
        <w:numPr>
          <w:ilvl w:val="0"/>
          <w:numId w:val="25"/>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成交供应商未能按本合同规定的项目完成时间提供设备供采购人使用，从逾期之日起每日按本合同总价千份之三的数额向采购人支付违约金；逾期半个月以上的，采购人有权终止合同，由此造成的采购人经济损失由成交供应商承担。</w:t>
      </w:r>
    </w:p>
    <w:p w14:paraId="63614690">
      <w:pPr>
        <w:widowControl/>
        <w:numPr>
          <w:ilvl w:val="0"/>
          <w:numId w:val="25"/>
        </w:numPr>
        <w:pBdr>
          <w:top w:val="none" w:color="1B1C1D" w:sz="0" w:space="0"/>
          <w:left w:val="none" w:color="1B1C1D" w:sz="0" w:space="0"/>
          <w:bottom w:val="none" w:color="1B1C1D" w:sz="0" w:space="0"/>
          <w:right w:val="none" w:color="1B1C1D" w:sz="0" w:space="0"/>
        </w:pBdr>
        <w:spacing w:line="360" w:lineRule="auto"/>
        <w:rPr>
          <w:rFonts w:ascii="宋体" w:hAnsi="宋体" w:eastAsia="宋体" w:cs="宋体"/>
          <w:szCs w:val="21"/>
        </w:rPr>
      </w:pPr>
      <w:r>
        <w:rPr>
          <w:rFonts w:hint="eastAsia" w:ascii="宋体" w:hAnsi="宋体" w:eastAsia="宋体" w:cs="宋体"/>
          <w:szCs w:val="21"/>
        </w:rPr>
        <w:t>采购人无正当理由拒收接受成交供应商所交付的货物，到期拒付合同款项的，采购人向成交供应商偿付本合同总额的5%的违约金。采购人逾期完成付款申报手续，则每日按合同总价的千份之三向成交供应商偿付违约金。</w:t>
      </w:r>
    </w:p>
    <w:p w14:paraId="2D3E4483">
      <w:pPr>
        <w:rPr>
          <w:rFonts w:ascii="宋体" w:hAnsi="宋体"/>
          <w:szCs w:val="21"/>
        </w:rPr>
      </w:pPr>
      <w:r>
        <w:rPr>
          <w:rFonts w:hint="eastAsia" w:ascii="宋体" w:hAnsi="宋体"/>
          <w:szCs w:val="21"/>
        </w:rPr>
        <w:br w:type="page"/>
      </w:r>
    </w:p>
    <w:p w14:paraId="4F438827">
      <w:pPr>
        <w:pStyle w:val="26"/>
        <w:autoSpaceDE w:val="0"/>
        <w:adjustRightInd w:val="0"/>
        <w:snapToGrid w:val="0"/>
        <w:spacing w:line="360" w:lineRule="auto"/>
        <w:rPr>
          <w:rFonts w:hAnsi="宋体"/>
          <w:b/>
          <w:bCs/>
          <w:sz w:val="21"/>
        </w:rPr>
      </w:pPr>
    </w:p>
    <w:p w14:paraId="45E1F8D7">
      <w:pPr>
        <w:pStyle w:val="45"/>
        <w:spacing w:before="0" w:after="0"/>
        <w:rPr>
          <w:rFonts w:ascii="宋体" w:hAnsi="宋体" w:cs="宋体"/>
          <w:color w:val="000000" w:themeColor="text1"/>
          <w:lang w:val="zh-CN"/>
        </w:rPr>
      </w:pPr>
      <w:r>
        <w:rPr>
          <w:rFonts w:hint="eastAsia" w:ascii="宋体" w:hAnsi="宋体" w:cs="宋体"/>
          <w:color w:val="000000" w:themeColor="text1"/>
          <w:lang w:val="zh-CN"/>
        </w:rPr>
        <w:t>第三章 报价附件</w:t>
      </w:r>
    </w:p>
    <w:p w14:paraId="3EF60622">
      <w:pPr>
        <w:pStyle w:val="4"/>
        <w:spacing w:before="0" w:after="0"/>
        <w:jc w:val="center"/>
        <w:rPr>
          <w:rFonts w:ascii="宋体" w:hAnsi="宋体" w:eastAsia="宋体" w:cs="宋体"/>
          <w:color w:val="000000" w:themeColor="text1"/>
          <w:lang w:val="zh-CN"/>
        </w:rPr>
      </w:pPr>
      <w:r>
        <w:rPr>
          <w:rFonts w:hint="eastAsia" w:ascii="宋体" w:hAnsi="宋体" w:eastAsia="宋体" w:cs="宋体"/>
          <w:color w:val="000000" w:themeColor="text1"/>
          <w:lang w:val="zh-CN"/>
        </w:rPr>
        <w:t>报 价 表</w:t>
      </w:r>
    </w:p>
    <w:tbl>
      <w:tblPr>
        <w:tblStyle w:val="49"/>
        <w:tblW w:w="4997" w:type="pct"/>
        <w:tblInd w:w="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6"/>
        <w:gridCol w:w="1040"/>
        <w:gridCol w:w="718"/>
        <w:gridCol w:w="1371"/>
        <w:gridCol w:w="1106"/>
        <w:gridCol w:w="644"/>
        <w:gridCol w:w="782"/>
        <w:gridCol w:w="1069"/>
        <w:gridCol w:w="1071"/>
      </w:tblGrid>
      <w:tr w14:paraId="42B9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5" w:type="pct"/>
          <w:wAfter w:w="214" w:type="pct"/>
          <w:trHeight w:val="525" w:hRule="atLeast"/>
        </w:trPr>
        <w:tc>
          <w:tcPr>
            <w:tcW w:w="406" w:type="pct"/>
            <w:tcBorders>
              <w:top w:val="single" w:color="auto" w:sz="8" w:space="0"/>
              <w:left w:val="single" w:color="auto" w:sz="8" w:space="0"/>
              <w:bottom w:val="single" w:color="auto" w:sz="8" w:space="0"/>
              <w:right w:val="single" w:color="auto" w:sz="8" w:space="0"/>
            </w:tcBorders>
            <w:shd w:val="clear" w:color="auto" w:fill="auto"/>
            <w:vAlign w:val="center"/>
          </w:tcPr>
          <w:p w14:paraId="56DD8BF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586" w:type="pct"/>
            <w:tcBorders>
              <w:top w:val="single" w:color="auto" w:sz="8" w:space="0"/>
              <w:left w:val="nil"/>
              <w:bottom w:val="single" w:color="auto" w:sz="8" w:space="0"/>
              <w:right w:val="single" w:color="auto" w:sz="8" w:space="0"/>
            </w:tcBorders>
            <w:shd w:val="clear" w:color="auto" w:fill="auto"/>
            <w:vAlign w:val="center"/>
          </w:tcPr>
          <w:p w14:paraId="646C743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设备名称</w:t>
            </w:r>
          </w:p>
        </w:tc>
        <w:tc>
          <w:tcPr>
            <w:tcW w:w="407" w:type="pct"/>
            <w:tcBorders>
              <w:top w:val="single" w:color="auto" w:sz="8" w:space="0"/>
              <w:left w:val="nil"/>
              <w:bottom w:val="single" w:color="auto" w:sz="8" w:space="0"/>
              <w:right w:val="single" w:color="auto" w:sz="8" w:space="0"/>
            </w:tcBorders>
            <w:shd w:val="clear" w:color="auto" w:fill="auto"/>
            <w:vAlign w:val="center"/>
          </w:tcPr>
          <w:p w14:paraId="07CE094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品牌</w:t>
            </w:r>
          </w:p>
        </w:tc>
        <w:tc>
          <w:tcPr>
            <w:tcW w:w="696" w:type="pct"/>
            <w:tcBorders>
              <w:top w:val="single" w:color="auto" w:sz="8" w:space="0"/>
              <w:left w:val="nil"/>
              <w:bottom w:val="single" w:color="auto" w:sz="8" w:space="0"/>
              <w:right w:val="single" w:color="auto" w:sz="8" w:space="0"/>
            </w:tcBorders>
            <w:shd w:val="clear" w:color="auto" w:fill="auto"/>
            <w:vAlign w:val="center"/>
          </w:tcPr>
          <w:p w14:paraId="4374D21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型号</w:t>
            </w:r>
          </w:p>
        </w:tc>
        <w:tc>
          <w:tcPr>
            <w:tcW w:w="623" w:type="pct"/>
            <w:tcBorders>
              <w:top w:val="single" w:color="auto" w:sz="8" w:space="0"/>
              <w:left w:val="nil"/>
              <w:bottom w:val="single" w:color="auto" w:sz="8" w:space="0"/>
              <w:right w:val="single" w:color="auto" w:sz="8" w:space="0"/>
            </w:tcBorders>
            <w:shd w:val="clear" w:color="auto" w:fill="auto"/>
            <w:vAlign w:val="center"/>
          </w:tcPr>
          <w:p w14:paraId="7626DE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规格要求</w:t>
            </w:r>
          </w:p>
        </w:tc>
        <w:tc>
          <w:tcPr>
            <w:tcW w:w="366" w:type="pct"/>
            <w:tcBorders>
              <w:top w:val="single" w:color="auto" w:sz="8" w:space="0"/>
              <w:left w:val="nil"/>
              <w:bottom w:val="single" w:color="auto" w:sz="8" w:space="0"/>
              <w:right w:val="single" w:color="auto" w:sz="8" w:space="0"/>
            </w:tcBorders>
            <w:shd w:val="clear" w:color="auto" w:fill="auto"/>
            <w:vAlign w:val="center"/>
          </w:tcPr>
          <w:p w14:paraId="03ECFB3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c>
          <w:tcPr>
            <w:tcW w:w="443" w:type="pct"/>
            <w:tcBorders>
              <w:top w:val="single" w:color="auto" w:sz="8" w:space="0"/>
              <w:left w:val="nil"/>
              <w:bottom w:val="single" w:color="auto" w:sz="8" w:space="0"/>
              <w:right w:val="single" w:color="auto" w:sz="8" w:space="0"/>
            </w:tcBorders>
            <w:shd w:val="clear" w:color="auto" w:fill="auto"/>
            <w:vAlign w:val="center"/>
          </w:tcPr>
          <w:p w14:paraId="171464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c>
          <w:tcPr>
            <w:tcW w:w="602" w:type="pct"/>
            <w:tcBorders>
              <w:top w:val="single" w:color="auto" w:sz="8" w:space="0"/>
              <w:left w:val="nil"/>
              <w:bottom w:val="single" w:color="auto" w:sz="8" w:space="0"/>
              <w:right w:val="single" w:color="auto" w:sz="8" w:space="0"/>
            </w:tcBorders>
            <w:shd w:val="clear" w:color="auto" w:fill="auto"/>
            <w:vAlign w:val="center"/>
          </w:tcPr>
          <w:p w14:paraId="278316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单价报价（元）</w:t>
            </w:r>
          </w:p>
        </w:tc>
        <w:tc>
          <w:tcPr>
            <w:tcW w:w="602" w:type="pct"/>
            <w:tcBorders>
              <w:top w:val="single" w:color="auto" w:sz="8" w:space="0"/>
              <w:left w:val="nil"/>
              <w:bottom w:val="single" w:color="auto" w:sz="8" w:space="0"/>
              <w:right w:val="single" w:color="auto" w:sz="8" w:space="0"/>
            </w:tcBorders>
            <w:shd w:val="clear" w:color="auto" w:fill="auto"/>
            <w:vAlign w:val="center"/>
          </w:tcPr>
          <w:p w14:paraId="1E6BF62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小计（元）</w:t>
            </w:r>
          </w:p>
        </w:tc>
      </w:tr>
      <w:tr w14:paraId="20BC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5" w:type="pct"/>
          <w:wAfter w:w="214" w:type="pct"/>
          <w:trHeight w:val="1035" w:hRule="atLeast"/>
        </w:trPr>
        <w:tc>
          <w:tcPr>
            <w:tcW w:w="406" w:type="pct"/>
            <w:tcBorders>
              <w:top w:val="nil"/>
              <w:left w:val="single" w:color="auto" w:sz="8" w:space="0"/>
              <w:bottom w:val="single" w:color="auto" w:sz="8" w:space="0"/>
              <w:right w:val="single" w:color="auto" w:sz="8" w:space="0"/>
            </w:tcBorders>
            <w:shd w:val="clear" w:color="auto" w:fill="auto"/>
            <w:vAlign w:val="center"/>
          </w:tcPr>
          <w:p w14:paraId="6D4C6E8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586" w:type="pct"/>
            <w:tcBorders>
              <w:top w:val="nil"/>
              <w:left w:val="nil"/>
              <w:bottom w:val="single" w:color="auto" w:sz="8" w:space="0"/>
              <w:right w:val="single" w:color="auto" w:sz="8" w:space="0"/>
            </w:tcBorders>
            <w:shd w:val="clear" w:color="auto" w:fill="auto"/>
            <w:vAlign w:val="center"/>
          </w:tcPr>
          <w:p w14:paraId="6236629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交换机</w:t>
            </w:r>
          </w:p>
        </w:tc>
        <w:tc>
          <w:tcPr>
            <w:tcW w:w="407" w:type="pct"/>
            <w:tcBorders>
              <w:top w:val="nil"/>
              <w:left w:val="nil"/>
              <w:bottom w:val="single" w:color="auto" w:sz="8" w:space="0"/>
              <w:right w:val="single" w:color="auto" w:sz="8" w:space="0"/>
            </w:tcBorders>
            <w:shd w:val="clear" w:color="auto" w:fill="auto"/>
            <w:vAlign w:val="center"/>
          </w:tcPr>
          <w:p w14:paraId="509807C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华为</w:t>
            </w:r>
          </w:p>
        </w:tc>
        <w:tc>
          <w:tcPr>
            <w:tcW w:w="696" w:type="pct"/>
            <w:tcBorders>
              <w:top w:val="nil"/>
              <w:left w:val="nil"/>
              <w:bottom w:val="single" w:color="auto" w:sz="8" w:space="0"/>
              <w:right w:val="single" w:color="auto" w:sz="8" w:space="0"/>
            </w:tcBorders>
            <w:shd w:val="clear" w:color="auto" w:fill="auto"/>
            <w:vAlign w:val="center"/>
          </w:tcPr>
          <w:p w14:paraId="1D3D255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CloudEngine S5735-L-Q</w:t>
            </w:r>
          </w:p>
        </w:tc>
        <w:tc>
          <w:tcPr>
            <w:tcW w:w="623" w:type="pct"/>
            <w:tcBorders>
              <w:top w:val="nil"/>
              <w:left w:val="nil"/>
              <w:bottom w:val="single" w:color="auto" w:sz="8" w:space="0"/>
              <w:right w:val="single" w:color="auto" w:sz="8" w:space="0"/>
            </w:tcBorders>
            <w:shd w:val="clear" w:color="auto" w:fill="auto"/>
            <w:vAlign w:val="center"/>
          </w:tcPr>
          <w:p w14:paraId="068EA3E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千兆端口，支持VLAN、QoS</w:t>
            </w:r>
          </w:p>
        </w:tc>
        <w:tc>
          <w:tcPr>
            <w:tcW w:w="366" w:type="pct"/>
            <w:tcBorders>
              <w:top w:val="nil"/>
              <w:left w:val="nil"/>
              <w:bottom w:val="single" w:color="auto" w:sz="8" w:space="0"/>
              <w:right w:val="single" w:color="auto" w:sz="8" w:space="0"/>
            </w:tcBorders>
            <w:shd w:val="clear" w:color="auto" w:fill="auto"/>
            <w:vAlign w:val="center"/>
          </w:tcPr>
          <w:p w14:paraId="263DC9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43" w:type="pct"/>
            <w:tcBorders>
              <w:top w:val="nil"/>
              <w:left w:val="nil"/>
              <w:bottom w:val="single" w:color="auto" w:sz="8" w:space="0"/>
              <w:right w:val="single" w:color="auto" w:sz="8" w:space="0"/>
            </w:tcBorders>
            <w:shd w:val="clear" w:color="auto" w:fill="auto"/>
            <w:vAlign w:val="center"/>
          </w:tcPr>
          <w:p w14:paraId="08CF51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602" w:type="pct"/>
            <w:tcBorders>
              <w:top w:val="nil"/>
              <w:left w:val="nil"/>
              <w:bottom w:val="single" w:color="auto" w:sz="8" w:space="0"/>
              <w:right w:val="single" w:color="auto" w:sz="8" w:space="0"/>
            </w:tcBorders>
            <w:shd w:val="clear" w:color="auto" w:fill="auto"/>
            <w:vAlign w:val="center"/>
          </w:tcPr>
          <w:p w14:paraId="365B937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2" w:type="pct"/>
            <w:tcBorders>
              <w:top w:val="nil"/>
              <w:left w:val="nil"/>
              <w:bottom w:val="single" w:color="auto" w:sz="8" w:space="0"/>
              <w:right w:val="single" w:color="auto" w:sz="8" w:space="0"/>
            </w:tcBorders>
            <w:shd w:val="clear" w:color="auto" w:fill="auto"/>
            <w:vAlign w:val="center"/>
          </w:tcPr>
          <w:p w14:paraId="4D518BD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250C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5" w:type="pct"/>
          <w:wAfter w:w="214" w:type="pct"/>
          <w:trHeight w:val="3075" w:hRule="atLeast"/>
        </w:trPr>
        <w:tc>
          <w:tcPr>
            <w:tcW w:w="406" w:type="pct"/>
            <w:tcBorders>
              <w:top w:val="nil"/>
              <w:left w:val="single" w:color="auto" w:sz="8" w:space="0"/>
              <w:bottom w:val="single" w:color="auto" w:sz="8" w:space="0"/>
              <w:right w:val="single" w:color="auto" w:sz="8" w:space="0"/>
            </w:tcBorders>
            <w:shd w:val="clear" w:color="auto" w:fill="auto"/>
            <w:vAlign w:val="center"/>
          </w:tcPr>
          <w:p w14:paraId="39CB2B3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586" w:type="pct"/>
            <w:tcBorders>
              <w:top w:val="nil"/>
              <w:left w:val="nil"/>
              <w:bottom w:val="single" w:color="auto" w:sz="8" w:space="0"/>
              <w:right w:val="single" w:color="auto" w:sz="8" w:space="0"/>
            </w:tcBorders>
            <w:shd w:val="clear" w:color="auto" w:fill="auto"/>
            <w:vAlign w:val="center"/>
          </w:tcPr>
          <w:p w14:paraId="55337E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计算机</w:t>
            </w:r>
          </w:p>
        </w:tc>
        <w:tc>
          <w:tcPr>
            <w:tcW w:w="407" w:type="pct"/>
            <w:tcBorders>
              <w:top w:val="nil"/>
              <w:left w:val="nil"/>
              <w:bottom w:val="single" w:color="auto" w:sz="8" w:space="0"/>
              <w:right w:val="single" w:color="auto" w:sz="8" w:space="0"/>
            </w:tcBorders>
            <w:shd w:val="clear" w:color="auto" w:fill="auto"/>
            <w:vAlign w:val="center"/>
          </w:tcPr>
          <w:p w14:paraId="53EA9CE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联想</w:t>
            </w:r>
          </w:p>
        </w:tc>
        <w:tc>
          <w:tcPr>
            <w:tcW w:w="696" w:type="pct"/>
            <w:tcBorders>
              <w:top w:val="nil"/>
              <w:left w:val="nil"/>
              <w:bottom w:val="single" w:color="auto" w:sz="8" w:space="0"/>
              <w:right w:val="single" w:color="auto" w:sz="8" w:space="0"/>
            </w:tcBorders>
            <w:shd w:val="clear" w:color="auto" w:fill="auto"/>
            <w:vAlign w:val="center"/>
          </w:tcPr>
          <w:p w14:paraId="081B76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开天 M99h G1t-D749</w:t>
            </w:r>
          </w:p>
        </w:tc>
        <w:tc>
          <w:tcPr>
            <w:tcW w:w="623" w:type="pct"/>
            <w:tcBorders>
              <w:top w:val="nil"/>
              <w:left w:val="nil"/>
              <w:bottom w:val="single" w:color="auto" w:sz="8" w:space="0"/>
              <w:right w:val="single" w:color="auto" w:sz="8" w:space="0"/>
            </w:tcBorders>
            <w:shd w:val="clear" w:color="auto" w:fill="auto"/>
            <w:vAlign w:val="center"/>
          </w:tcPr>
          <w:p w14:paraId="7E7101E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海光C86-3G 3350处理器/16G内存/1TB固态硬盘/2TB机械硬盘/4GB独立显卡/23.8英寸显示屏/安装银河麒麟v10操作系统</w:t>
            </w:r>
          </w:p>
        </w:tc>
        <w:tc>
          <w:tcPr>
            <w:tcW w:w="366" w:type="pct"/>
            <w:tcBorders>
              <w:top w:val="nil"/>
              <w:left w:val="nil"/>
              <w:bottom w:val="single" w:color="auto" w:sz="8" w:space="0"/>
              <w:right w:val="single" w:color="auto" w:sz="8" w:space="0"/>
            </w:tcBorders>
            <w:shd w:val="clear" w:color="auto" w:fill="auto"/>
            <w:vAlign w:val="center"/>
          </w:tcPr>
          <w:p w14:paraId="3544E55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443" w:type="pct"/>
            <w:tcBorders>
              <w:top w:val="nil"/>
              <w:left w:val="nil"/>
              <w:bottom w:val="single" w:color="auto" w:sz="8" w:space="0"/>
              <w:right w:val="single" w:color="auto" w:sz="8" w:space="0"/>
            </w:tcBorders>
            <w:shd w:val="clear" w:color="auto" w:fill="auto"/>
            <w:vAlign w:val="center"/>
          </w:tcPr>
          <w:p w14:paraId="183C40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602" w:type="pct"/>
            <w:tcBorders>
              <w:top w:val="nil"/>
              <w:left w:val="nil"/>
              <w:bottom w:val="single" w:color="auto" w:sz="8" w:space="0"/>
              <w:right w:val="single" w:color="auto" w:sz="8" w:space="0"/>
            </w:tcBorders>
            <w:shd w:val="clear" w:color="auto" w:fill="auto"/>
            <w:vAlign w:val="center"/>
          </w:tcPr>
          <w:p w14:paraId="5765836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2" w:type="pct"/>
            <w:tcBorders>
              <w:top w:val="nil"/>
              <w:left w:val="nil"/>
              <w:bottom w:val="single" w:color="auto" w:sz="8" w:space="0"/>
              <w:right w:val="single" w:color="auto" w:sz="8" w:space="0"/>
            </w:tcBorders>
            <w:shd w:val="clear" w:color="auto" w:fill="auto"/>
            <w:vAlign w:val="center"/>
          </w:tcPr>
          <w:p w14:paraId="06A06E9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FD8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5" w:type="pct"/>
          <w:wAfter w:w="214" w:type="pct"/>
          <w:trHeight w:val="525" w:hRule="atLeast"/>
        </w:trPr>
        <w:tc>
          <w:tcPr>
            <w:tcW w:w="406" w:type="pct"/>
            <w:tcBorders>
              <w:top w:val="nil"/>
              <w:left w:val="single" w:color="auto" w:sz="8" w:space="0"/>
              <w:bottom w:val="single" w:color="auto" w:sz="8" w:space="0"/>
              <w:right w:val="single" w:color="auto" w:sz="8" w:space="0"/>
            </w:tcBorders>
            <w:shd w:val="clear" w:color="auto" w:fill="auto"/>
            <w:vAlign w:val="center"/>
          </w:tcPr>
          <w:p w14:paraId="2C4D7DC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586" w:type="pct"/>
            <w:tcBorders>
              <w:top w:val="nil"/>
              <w:left w:val="nil"/>
              <w:bottom w:val="single" w:color="auto" w:sz="8" w:space="0"/>
              <w:right w:val="single" w:color="auto" w:sz="8" w:space="0"/>
            </w:tcBorders>
            <w:shd w:val="clear" w:color="auto" w:fill="auto"/>
            <w:vAlign w:val="center"/>
          </w:tcPr>
          <w:p w14:paraId="1A32E1C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尾纤</w:t>
            </w:r>
          </w:p>
        </w:tc>
        <w:tc>
          <w:tcPr>
            <w:tcW w:w="407" w:type="pct"/>
            <w:tcBorders>
              <w:top w:val="nil"/>
              <w:left w:val="nil"/>
              <w:bottom w:val="single" w:color="auto" w:sz="8" w:space="0"/>
              <w:right w:val="single" w:color="auto" w:sz="8" w:space="0"/>
            </w:tcBorders>
            <w:shd w:val="clear" w:color="auto" w:fill="auto"/>
            <w:vAlign w:val="center"/>
          </w:tcPr>
          <w:p w14:paraId="36806E8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国产</w:t>
            </w:r>
          </w:p>
        </w:tc>
        <w:tc>
          <w:tcPr>
            <w:tcW w:w="696" w:type="pct"/>
            <w:tcBorders>
              <w:top w:val="nil"/>
              <w:left w:val="nil"/>
              <w:bottom w:val="single" w:color="auto" w:sz="8" w:space="0"/>
              <w:right w:val="single" w:color="auto" w:sz="8" w:space="0"/>
            </w:tcBorders>
            <w:shd w:val="clear" w:color="auto" w:fill="auto"/>
            <w:vAlign w:val="center"/>
          </w:tcPr>
          <w:p w14:paraId="29253C2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23" w:type="pct"/>
            <w:tcBorders>
              <w:top w:val="nil"/>
              <w:left w:val="nil"/>
              <w:bottom w:val="single" w:color="auto" w:sz="8" w:space="0"/>
              <w:right w:val="single" w:color="auto" w:sz="8" w:space="0"/>
            </w:tcBorders>
            <w:shd w:val="clear" w:color="auto" w:fill="auto"/>
            <w:vAlign w:val="center"/>
          </w:tcPr>
          <w:p w14:paraId="785FBAC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LC-LC单模尾纤</w:t>
            </w:r>
          </w:p>
        </w:tc>
        <w:tc>
          <w:tcPr>
            <w:tcW w:w="366" w:type="pct"/>
            <w:tcBorders>
              <w:top w:val="nil"/>
              <w:left w:val="nil"/>
              <w:bottom w:val="single" w:color="auto" w:sz="8" w:space="0"/>
              <w:right w:val="single" w:color="auto" w:sz="8" w:space="0"/>
            </w:tcBorders>
            <w:shd w:val="clear" w:color="auto" w:fill="auto"/>
            <w:vAlign w:val="center"/>
          </w:tcPr>
          <w:p w14:paraId="3E17383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条</w:t>
            </w:r>
          </w:p>
        </w:tc>
        <w:tc>
          <w:tcPr>
            <w:tcW w:w="443" w:type="pct"/>
            <w:tcBorders>
              <w:top w:val="nil"/>
              <w:left w:val="nil"/>
              <w:bottom w:val="single" w:color="auto" w:sz="8" w:space="0"/>
              <w:right w:val="single" w:color="auto" w:sz="8" w:space="0"/>
            </w:tcBorders>
            <w:shd w:val="clear" w:color="auto" w:fill="auto"/>
            <w:vAlign w:val="center"/>
          </w:tcPr>
          <w:p w14:paraId="08F0C4B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602" w:type="pct"/>
            <w:tcBorders>
              <w:top w:val="nil"/>
              <w:left w:val="nil"/>
              <w:bottom w:val="single" w:color="auto" w:sz="8" w:space="0"/>
              <w:right w:val="single" w:color="auto" w:sz="8" w:space="0"/>
            </w:tcBorders>
            <w:shd w:val="clear" w:color="auto" w:fill="auto"/>
            <w:vAlign w:val="center"/>
          </w:tcPr>
          <w:p w14:paraId="334B16D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2" w:type="pct"/>
            <w:tcBorders>
              <w:top w:val="nil"/>
              <w:left w:val="nil"/>
              <w:bottom w:val="single" w:color="auto" w:sz="8" w:space="0"/>
              <w:right w:val="single" w:color="auto" w:sz="8" w:space="0"/>
            </w:tcBorders>
            <w:shd w:val="clear" w:color="auto" w:fill="auto"/>
            <w:vAlign w:val="center"/>
          </w:tcPr>
          <w:p w14:paraId="347FF8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44E4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5" w:type="pct"/>
          <w:wAfter w:w="214" w:type="pct"/>
          <w:trHeight w:val="780" w:hRule="atLeast"/>
        </w:trPr>
        <w:tc>
          <w:tcPr>
            <w:tcW w:w="406" w:type="pct"/>
            <w:tcBorders>
              <w:top w:val="nil"/>
              <w:left w:val="single" w:color="auto" w:sz="8" w:space="0"/>
              <w:bottom w:val="single" w:color="auto" w:sz="8" w:space="0"/>
              <w:right w:val="single" w:color="auto" w:sz="8" w:space="0"/>
            </w:tcBorders>
            <w:shd w:val="clear" w:color="auto" w:fill="auto"/>
            <w:vAlign w:val="center"/>
          </w:tcPr>
          <w:p w14:paraId="31ED0FA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586" w:type="pct"/>
            <w:tcBorders>
              <w:top w:val="nil"/>
              <w:left w:val="nil"/>
              <w:bottom w:val="single" w:color="auto" w:sz="8" w:space="0"/>
              <w:right w:val="single" w:color="auto" w:sz="8" w:space="0"/>
            </w:tcBorders>
            <w:shd w:val="clear" w:color="auto" w:fill="auto"/>
            <w:vAlign w:val="center"/>
          </w:tcPr>
          <w:p w14:paraId="03BCD9C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光模块</w:t>
            </w:r>
          </w:p>
        </w:tc>
        <w:tc>
          <w:tcPr>
            <w:tcW w:w="407" w:type="pct"/>
            <w:tcBorders>
              <w:top w:val="nil"/>
              <w:left w:val="nil"/>
              <w:bottom w:val="single" w:color="auto" w:sz="8" w:space="0"/>
              <w:right w:val="single" w:color="auto" w:sz="8" w:space="0"/>
            </w:tcBorders>
            <w:shd w:val="clear" w:color="auto" w:fill="auto"/>
            <w:vAlign w:val="center"/>
          </w:tcPr>
          <w:p w14:paraId="1B14B95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华为</w:t>
            </w:r>
          </w:p>
        </w:tc>
        <w:tc>
          <w:tcPr>
            <w:tcW w:w="696" w:type="pct"/>
            <w:tcBorders>
              <w:top w:val="nil"/>
              <w:left w:val="nil"/>
              <w:bottom w:val="single" w:color="auto" w:sz="8" w:space="0"/>
              <w:right w:val="single" w:color="auto" w:sz="8" w:space="0"/>
            </w:tcBorders>
            <w:shd w:val="clear" w:color="auto" w:fill="auto"/>
            <w:vAlign w:val="center"/>
          </w:tcPr>
          <w:p w14:paraId="1CF572B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23" w:type="pct"/>
            <w:tcBorders>
              <w:top w:val="nil"/>
              <w:left w:val="nil"/>
              <w:bottom w:val="single" w:color="auto" w:sz="8" w:space="0"/>
              <w:right w:val="single" w:color="auto" w:sz="8" w:space="0"/>
            </w:tcBorders>
            <w:shd w:val="clear" w:color="auto" w:fill="auto"/>
            <w:vAlign w:val="center"/>
          </w:tcPr>
          <w:p w14:paraId="1A71D21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千兆以上单模光模块，LC接口</w:t>
            </w:r>
          </w:p>
        </w:tc>
        <w:tc>
          <w:tcPr>
            <w:tcW w:w="366" w:type="pct"/>
            <w:tcBorders>
              <w:top w:val="nil"/>
              <w:left w:val="nil"/>
              <w:bottom w:val="single" w:color="auto" w:sz="8" w:space="0"/>
              <w:right w:val="single" w:color="auto" w:sz="8" w:space="0"/>
            </w:tcBorders>
            <w:shd w:val="clear" w:color="auto" w:fill="auto"/>
            <w:vAlign w:val="center"/>
          </w:tcPr>
          <w:p w14:paraId="70E1624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43" w:type="pct"/>
            <w:tcBorders>
              <w:top w:val="nil"/>
              <w:left w:val="nil"/>
              <w:bottom w:val="single" w:color="auto" w:sz="8" w:space="0"/>
              <w:right w:val="single" w:color="auto" w:sz="8" w:space="0"/>
            </w:tcBorders>
            <w:shd w:val="clear" w:color="auto" w:fill="auto"/>
            <w:vAlign w:val="center"/>
          </w:tcPr>
          <w:p w14:paraId="6566BBA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602" w:type="pct"/>
            <w:tcBorders>
              <w:top w:val="nil"/>
              <w:left w:val="nil"/>
              <w:bottom w:val="single" w:color="auto" w:sz="8" w:space="0"/>
              <w:right w:val="single" w:color="auto" w:sz="8" w:space="0"/>
            </w:tcBorders>
            <w:shd w:val="clear" w:color="auto" w:fill="auto"/>
            <w:vAlign w:val="center"/>
          </w:tcPr>
          <w:p w14:paraId="7CAC31B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2" w:type="pct"/>
            <w:tcBorders>
              <w:top w:val="nil"/>
              <w:left w:val="nil"/>
              <w:bottom w:val="single" w:color="auto" w:sz="8" w:space="0"/>
              <w:right w:val="single" w:color="auto" w:sz="8" w:space="0"/>
            </w:tcBorders>
            <w:shd w:val="clear" w:color="auto" w:fill="auto"/>
            <w:vAlign w:val="center"/>
          </w:tcPr>
          <w:p w14:paraId="792A0AD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714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5" w:type="pct"/>
          <w:wAfter w:w="214" w:type="pct"/>
          <w:trHeight w:val="525" w:hRule="atLeast"/>
        </w:trPr>
        <w:tc>
          <w:tcPr>
            <w:tcW w:w="406" w:type="pct"/>
            <w:tcBorders>
              <w:top w:val="nil"/>
              <w:left w:val="single" w:color="auto" w:sz="8" w:space="0"/>
              <w:bottom w:val="single" w:color="auto" w:sz="8" w:space="0"/>
              <w:right w:val="single" w:color="auto" w:sz="8" w:space="0"/>
            </w:tcBorders>
            <w:shd w:val="clear" w:color="auto" w:fill="auto"/>
            <w:vAlign w:val="center"/>
          </w:tcPr>
          <w:p w14:paraId="47E69F5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586" w:type="pct"/>
            <w:tcBorders>
              <w:top w:val="nil"/>
              <w:left w:val="nil"/>
              <w:bottom w:val="single" w:color="auto" w:sz="8" w:space="0"/>
              <w:right w:val="single" w:color="auto" w:sz="8" w:space="0"/>
            </w:tcBorders>
            <w:shd w:val="clear" w:color="auto" w:fill="auto"/>
            <w:vAlign w:val="center"/>
          </w:tcPr>
          <w:p w14:paraId="1B3AE69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网线</w:t>
            </w:r>
          </w:p>
        </w:tc>
        <w:tc>
          <w:tcPr>
            <w:tcW w:w="407" w:type="pct"/>
            <w:tcBorders>
              <w:top w:val="nil"/>
              <w:left w:val="nil"/>
              <w:bottom w:val="single" w:color="auto" w:sz="8" w:space="0"/>
              <w:right w:val="single" w:color="auto" w:sz="8" w:space="0"/>
            </w:tcBorders>
            <w:shd w:val="clear" w:color="auto" w:fill="auto"/>
            <w:vAlign w:val="center"/>
          </w:tcPr>
          <w:p w14:paraId="3289154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海康</w:t>
            </w:r>
          </w:p>
        </w:tc>
        <w:tc>
          <w:tcPr>
            <w:tcW w:w="696" w:type="pct"/>
            <w:tcBorders>
              <w:top w:val="nil"/>
              <w:left w:val="nil"/>
              <w:bottom w:val="single" w:color="auto" w:sz="8" w:space="0"/>
              <w:right w:val="single" w:color="auto" w:sz="8" w:space="0"/>
            </w:tcBorders>
            <w:shd w:val="clear" w:color="auto" w:fill="auto"/>
            <w:vAlign w:val="center"/>
          </w:tcPr>
          <w:p w14:paraId="7DB4420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23" w:type="pct"/>
            <w:tcBorders>
              <w:top w:val="nil"/>
              <w:left w:val="nil"/>
              <w:bottom w:val="single" w:color="auto" w:sz="8" w:space="0"/>
              <w:right w:val="single" w:color="auto" w:sz="8" w:space="0"/>
            </w:tcBorders>
            <w:shd w:val="clear" w:color="auto" w:fill="auto"/>
            <w:vAlign w:val="center"/>
          </w:tcPr>
          <w:p w14:paraId="4F71413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超五类及以上</w:t>
            </w:r>
          </w:p>
        </w:tc>
        <w:tc>
          <w:tcPr>
            <w:tcW w:w="366" w:type="pct"/>
            <w:tcBorders>
              <w:top w:val="nil"/>
              <w:left w:val="nil"/>
              <w:bottom w:val="single" w:color="auto" w:sz="8" w:space="0"/>
              <w:right w:val="single" w:color="auto" w:sz="8" w:space="0"/>
            </w:tcBorders>
            <w:shd w:val="clear" w:color="auto" w:fill="auto"/>
            <w:vAlign w:val="center"/>
          </w:tcPr>
          <w:p w14:paraId="4D319C0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米</w:t>
            </w:r>
          </w:p>
        </w:tc>
        <w:tc>
          <w:tcPr>
            <w:tcW w:w="443" w:type="pct"/>
            <w:tcBorders>
              <w:top w:val="nil"/>
              <w:left w:val="nil"/>
              <w:bottom w:val="single" w:color="auto" w:sz="8" w:space="0"/>
              <w:right w:val="single" w:color="auto" w:sz="8" w:space="0"/>
            </w:tcBorders>
            <w:shd w:val="clear" w:color="auto" w:fill="auto"/>
            <w:vAlign w:val="center"/>
          </w:tcPr>
          <w:p w14:paraId="17B3436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9100</w:t>
            </w:r>
          </w:p>
        </w:tc>
        <w:tc>
          <w:tcPr>
            <w:tcW w:w="602" w:type="pct"/>
            <w:tcBorders>
              <w:top w:val="nil"/>
              <w:left w:val="nil"/>
              <w:bottom w:val="single" w:color="auto" w:sz="8" w:space="0"/>
              <w:right w:val="single" w:color="auto" w:sz="8" w:space="0"/>
            </w:tcBorders>
            <w:shd w:val="clear" w:color="auto" w:fill="auto"/>
            <w:vAlign w:val="center"/>
          </w:tcPr>
          <w:p w14:paraId="434B3EB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2" w:type="pct"/>
            <w:tcBorders>
              <w:top w:val="nil"/>
              <w:left w:val="nil"/>
              <w:bottom w:val="single" w:color="auto" w:sz="8" w:space="0"/>
              <w:right w:val="single" w:color="auto" w:sz="8" w:space="0"/>
            </w:tcBorders>
            <w:shd w:val="clear" w:color="auto" w:fill="auto"/>
            <w:vAlign w:val="center"/>
          </w:tcPr>
          <w:p w14:paraId="42580E1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733A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5" w:type="pct"/>
          <w:wAfter w:w="214" w:type="pct"/>
          <w:trHeight w:val="525" w:hRule="atLeast"/>
        </w:trPr>
        <w:tc>
          <w:tcPr>
            <w:tcW w:w="406" w:type="pct"/>
            <w:tcBorders>
              <w:top w:val="nil"/>
              <w:left w:val="single" w:color="auto" w:sz="8" w:space="0"/>
              <w:bottom w:val="single" w:color="auto" w:sz="8" w:space="0"/>
              <w:right w:val="single" w:color="auto" w:sz="8" w:space="0"/>
            </w:tcBorders>
            <w:shd w:val="clear" w:color="auto" w:fill="auto"/>
            <w:vAlign w:val="center"/>
          </w:tcPr>
          <w:p w14:paraId="25244D7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586" w:type="pct"/>
            <w:tcBorders>
              <w:top w:val="nil"/>
              <w:left w:val="nil"/>
              <w:bottom w:val="single" w:color="auto" w:sz="8" w:space="0"/>
              <w:right w:val="single" w:color="auto" w:sz="8" w:space="0"/>
            </w:tcBorders>
            <w:shd w:val="clear" w:color="auto" w:fill="auto"/>
            <w:vAlign w:val="center"/>
          </w:tcPr>
          <w:p w14:paraId="50AB732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六类模块面板</w:t>
            </w:r>
          </w:p>
        </w:tc>
        <w:tc>
          <w:tcPr>
            <w:tcW w:w="407" w:type="pct"/>
            <w:tcBorders>
              <w:top w:val="nil"/>
              <w:left w:val="nil"/>
              <w:bottom w:val="single" w:color="auto" w:sz="8" w:space="0"/>
              <w:right w:val="single" w:color="auto" w:sz="8" w:space="0"/>
            </w:tcBorders>
            <w:shd w:val="clear" w:color="auto" w:fill="auto"/>
            <w:vAlign w:val="center"/>
          </w:tcPr>
          <w:p w14:paraId="455AA7B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国产</w:t>
            </w:r>
          </w:p>
        </w:tc>
        <w:tc>
          <w:tcPr>
            <w:tcW w:w="696" w:type="pct"/>
            <w:tcBorders>
              <w:top w:val="nil"/>
              <w:left w:val="nil"/>
              <w:bottom w:val="single" w:color="auto" w:sz="8" w:space="0"/>
              <w:right w:val="single" w:color="auto" w:sz="8" w:space="0"/>
            </w:tcBorders>
            <w:shd w:val="clear" w:color="auto" w:fill="auto"/>
            <w:vAlign w:val="center"/>
          </w:tcPr>
          <w:p w14:paraId="5C52108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23" w:type="pct"/>
            <w:tcBorders>
              <w:top w:val="nil"/>
              <w:left w:val="nil"/>
              <w:bottom w:val="single" w:color="auto" w:sz="8" w:space="0"/>
              <w:right w:val="single" w:color="auto" w:sz="8" w:space="0"/>
            </w:tcBorders>
            <w:shd w:val="clear" w:color="auto" w:fill="auto"/>
            <w:vAlign w:val="center"/>
          </w:tcPr>
          <w:p w14:paraId="3543994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86型，免打信息模块</w:t>
            </w:r>
          </w:p>
        </w:tc>
        <w:tc>
          <w:tcPr>
            <w:tcW w:w="366" w:type="pct"/>
            <w:tcBorders>
              <w:top w:val="nil"/>
              <w:left w:val="nil"/>
              <w:bottom w:val="single" w:color="auto" w:sz="8" w:space="0"/>
              <w:right w:val="single" w:color="auto" w:sz="8" w:space="0"/>
            </w:tcBorders>
            <w:shd w:val="clear" w:color="auto" w:fill="auto"/>
            <w:vAlign w:val="center"/>
          </w:tcPr>
          <w:p w14:paraId="1017E3E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43" w:type="pct"/>
            <w:tcBorders>
              <w:top w:val="nil"/>
              <w:left w:val="nil"/>
              <w:bottom w:val="single" w:color="auto" w:sz="8" w:space="0"/>
              <w:right w:val="single" w:color="auto" w:sz="8" w:space="0"/>
            </w:tcBorders>
            <w:shd w:val="clear" w:color="auto" w:fill="auto"/>
            <w:vAlign w:val="center"/>
          </w:tcPr>
          <w:p w14:paraId="6FE25C5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234</w:t>
            </w:r>
          </w:p>
        </w:tc>
        <w:tc>
          <w:tcPr>
            <w:tcW w:w="602" w:type="pct"/>
            <w:tcBorders>
              <w:top w:val="nil"/>
              <w:left w:val="nil"/>
              <w:bottom w:val="single" w:color="auto" w:sz="8" w:space="0"/>
              <w:right w:val="single" w:color="auto" w:sz="8" w:space="0"/>
            </w:tcBorders>
            <w:shd w:val="clear" w:color="auto" w:fill="auto"/>
            <w:vAlign w:val="center"/>
          </w:tcPr>
          <w:p w14:paraId="3B2FECF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2" w:type="pct"/>
            <w:tcBorders>
              <w:top w:val="nil"/>
              <w:left w:val="nil"/>
              <w:bottom w:val="single" w:color="auto" w:sz="8" w:space="0"/>
              <w:right w:val="single" w:color="auto" w:sz="8" w:space="0"/>
            </w:tcBorders>
            <w:shd w:val="clear" w:color="auto" w:fill="auto"/>
            <w:vAlign w:val="center"/>
          </w:tcPr>
          <w:p w14:paraId="79AB95F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1EF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5" w:type="pct"/>
          <w:wAfter w:w="214" w:type="pct"/>
          <w:trHeight w:val="1035" w:hRule="atLeast"/>
        </w:trPr>
        <w:tc>
          <w:tcPr>
            <w:tcW w:w="406" w:type="pct"/>
            <w:tcBorders>
              <w:top w:val="nil"/>
              <w:left w:val="single" w:color="auto" w:sz="8" w:space="0"/>
              <w:bottom w:val="single" w:color="auto" w:sz="8" w:space="0"/>
              <w:right w:val="single" w:color="auto" w:sz="8" w:space="0"/>
            </w:tcBorders>
            <w:shd w:val="clear" w:color="auto" w:fill="auto"/>
            <w:vAlign w:val="center"/>
          </w:tcPr>
          <w:p w14:paraId="6D38F4C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586" w:type="pct"/>
            <w:tcBorders>
              <w:top w:val="nil"/>
              <w:left w:val="nil"/>
              <w:bottom w:val="single" w:color="auto" w:sz="8" w:space="0"/>
              <w:right w:val="single" w:color="auto" w:sz="8" w:space="0"/>
            </w:tcBorders>
            <w:shd w:val="clear" w:color="auto" w:fill="auto"/>
            <w:vAlign w:val="center"/>
          </w:tcPr>
          <w:p w14:paraId="2313ACB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安装调试</w:t>
            </w:r>
          </w:p>
        </w:tc>
        <w:tc>
          <w:tcPr>
            <w:tcW w:w="407" w:type="pct"/>
            <w:tcBorders>
              <w:top w:val="nil"/>
              <w:left w:val="nil"/>
              <w:bottom w:val="single" w:color="auto" w:sz="8" w:space="0"/>
              <w:right w:val="single" w:color="auto" w:sz="8" w:space="0"/>
            </w:tcBorders>
            <w:shd w:val="clear" w:color="auto" w:fill="auto"/>
            <w:vAlign w:val="center"/>
          </w:tcPr>
          <w:p w14:paraId="20D5690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96" w:type="pct"/>
            <w:tcBorders>
              <w:top w:val="nil"/>
              <w:left w:val="nil"/>
              <w:bottom w:val="single" w:color="auto" w:sz="8" w:space="0"/>
              <w:right w:val="single" w:color="auto" w:sz="8" w:space="0"/>
            </w:tcBorders>
            <w:shd w:val="clear" w:color="auto" w:fill="auto"/>
            <w:vAlign w:val="center"/>
          </w:tcPr>
          <w:p w14:paraId="46499BF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23" w:type="pct"/>
            <w:tcBorders>
              <w:top w:val="nil"/>
              <w:left w:val="nil"/>
              <w:bottom w:val="single" w:color="auto" w:sz="8" w:space="0"/>
              <w:right w:val="single" w:color="auto" w:sz="8" w:space="0"/>
            </w:tcBorders>
            <w:shd w:val="clear" w:color="auto" w:fill="auto"/>
            <w:vAlign w:val="center"/>
          </w:tcPr>
          <w:p w14:paraId="7EC9436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光纤铺设，拉网线到各信息点，网络调试</w:t>
            </w:r>
          </w:p>
        </w:tc>
        <w:tc>
          <w:tcPr>
            <w:tcW w:w="366" w:type="pct"/>
            <w:tcBorders>
              <w:top w:val="nil"/>
              <w:left w:val="nil"/>
              <w:bottom w:val="single" w:color="auto" w:sz="8" w:space="0"/>
              <w:right w:val="single" w:color="auto" w:sz="8" w:space="0"/>
            </w:tcBorders>
            <w:shd w:val="clear" w:color="auto" w:fill="auto"/>
            <w:vAlign w:val="center"/>
          </w:tcPr>
          <w:p w14:paraId="2F1815F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443" w:type="pct"/>
            <w:tcBorders>
              <w:top w:val="nil"/>
              <w:left w:val="nil"/>
              <w:bottom w:val="single" w:color="auto" w:sz="8" w:space="0"/>
              <w:right w:val="single" w:color="auto" w:sz="8" w:space="0"/>
            </w:tcBorders>
            <w:shd w:val="clear" w:color="auto" w:fill="auto"/>
            <w:vAlign w:val="center"/>
          </w:tcPr>
          <w:p w14:paraId="1715EF0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602" w:type="pct"/>
            <w:tcBorders>
              <w:top w:val="nil"/>
              <w:left w:val="nil"/>
              <w:bottom w:val="single" w:color="auto" w:sz="8" w:space="0"/>
              <w:right w:val="single" w:color="auto" w:sz="8" w:space="0"/>
            </w:tcBorders>
            <w:shd w:val="clear" w:color="auto" w:fill="auto"/>
            <w:vAlign w:val="center"/>
          </w:tcPr>
          <w:p w14:paraId="3BAF56F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2" w:type="pct"/>
            <w:tcBorders>
              <w:top w:val="nil"/>
              <w:left w:val="nil"/>
              <w:bottom w:val="single" w:color="auto" w:sz="8" w:space="0"/>
              <w:right w:val="single" w:color="auto" w:sz="8" w:space="0"/>
            </w:tcBorders>
            <w:shd w:val="clear" w:color="auto" w:fill="auto"/>
            <w:vAlign w:val="center"/>
          </w:tcPr>
          <w:p w14:paraId="3CEF48F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5397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5" w:type="pct"/>
          <w:wAfter w:w="214" w:type="pct"/>
          <w:trHeight w:val="525" w:hRule="atLeast"/>
        </w:trPr>
        <w:tc>
          <w:tcPr>
            <w:tcW w:w="406" w:type="pct"/>
            <w:tcBorders>
              <w:top w:val="nil"/>
              <w:left w:val="single" w:color="auto" w:sz="8" w:space="0"/>
              <w:bottom w:val="single" w:color="auto" w:sz="8" w:space="0"/>
              <w:right w:val="single" w:color="auto" w:sz="8" w:space="0"/>
            </w:tcBorders>
            <w:shd w:val="clear" w:color="auto" w:fill="auto"/>
            <w:vAlign w:val="center"/>
          </w:tcPr>
          <w:p w14:paraId="21E2039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586" w:type="pct"/>
            <w:tcBorders>
              <w:top w:val="nil"/>
              <w:left w:val="nil"/>
              <w:bottom w:val="single" w:color="auto" w:sz="8" w:space="0"/>
              <w:right w:val="single" w:color="auto" w:sz="8" w:space="0"/>
            </w:tcBorders>
            <w:shd w:val="clear" w:color="auto" w:fill="auto"/>
            <w:vAlign w:val="center"/>
          </w:tcPr>
          <w:p w14:paraId="32F6919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线槽、安装材料</w:t>
            </w:r>
          </w:p>
        </w:tc>
        <w:tc>
          <w:tcPr>
            <w:tcW w:w="407" w:type="pct"/>
            <w:tcBorders>
              <w:top w:val="nil"/>
              <w:left w:val="nil"/>
              <w:bottom w:val="single" w:color="auto" w:sz="8" w:space="0"/>
              <w:right w:val="single" w:color="auto" w:sz="8" w:space="0"/>
            </w:tcBorders>
            <w:shd w:val="clear" w:color="auto" w:fill="auto"/>
            <w:vAlign w:val="center"/>
          </w:tcPr>
          <w:p w14:paraId="34DAA5E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96" w:type="pct"/>
            <w:tcBorders>
              <w:top w:val="nil"/>
              <w:left w:val="nil"/>
              <w:bottom w:val="single" w:color="auto" w:sz="8" w:space="0"/>
              <w:right w:val="single" w:color="auto" w:sz="8" w:space="0"/>
            </w:tcBorders>
            <w:shd w:val="clear" w:color="auto" w:fill="auto"/>
            <w:vAlign w:val="center"/>
          </w:tcPr>
          <w:p w14:paraId="5E0BF2B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23" w:type="pct"/>
            <w:tcBorders>
              <w:top w:val="nil"/>
              <w:left w:val="nil"/>
              <w:bottom w:val="single" w:color="auto" w:sz="8" w:space="0"/>
              <w:right w:val="single" w:color="auto" w:sz="8" w:space="0"/>
            </w:tcBorders>
            <w:shd w:val="clear" w:color="auto" w:fill="auto"/>
            <w:vAlign w:val="center"/>
          </w:tcPr>
          <w:p w14:paraId="0A63B4A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4分/6分PVC线槽</w:t>
            </w:r>
          </w:p>
        </w:tc>
        <w:tc>
          <w:tcPr>
            <w:tcW w:w="366" w:type="pct"/>
            <w:tcBorders>
              <w:top w:val="nil"/>
              <w:left w:val="nil"/>
              <w:bottom w:val="single" w:color="auto" w:sz="8" w:space="0"/>
              <w:right w:val="single" w:color="auto" w:sz="8" w:space="0"/>
            </w:tcBorders>
            <w:shd w:val="clear" w:color="auto" w:fill="auto"/>
            <w:vAlign w:val="center"/>
          </w:tcPr>
          <w:p w14:paraId="3C3C233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批</w:t>
            </w:r>
          </w:p>
        </w:tc>
        <w:tc>
          <w:tcPr>
            <w:tcW w:w="443" w:type="pct"/>
            <w:tcBorders>
              <w:top w:val="nil"/>
              <w:left w:val="nil"/>
              <w:bottom w:val="single" w:color="auto" w:sz="8" w:space="0"/>
              <w:right w:val="single" w:color="auto" w:sz="8" w:space="0"/>
            </w:tcBorders>
            <w:shd w:val="clear" w:color="auto" w:fill="auto"/>
            <w:vAlign w:val="center"/>
          </w:tcPr>
          <w:p w14:paraId="467B435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602" w:type="pct"/>
            <w:tcBorders>
              <w:top w:val="nil"/>
              <w:left w:val="nil"/>
              <w:bottom w:val="single" w:color="auto" w:sz="8" w:space="0"/>
              <w:right w:val="single" w:color="auto" w:sz="8" w:space="0"/>
            </w:tcBorders>
            <w:shd w:val="clear" w:color="auto" w:fill="auto"/>
            <w:vAlign w:val="center"/>
          </w:tcPr>
          <w:p w14:paraId="7015F62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02" w:type="pct"/>
            <w:tcBorders>
              <w:top w:val="nil"/>
              <w:left w:val="nil"/>
              <w:bottom w:val="single" w:color="auto" w:sz="8" w:space="0"/>
              <w:right w:val="single" w:color="auto" w:sz="8" w:space="0"/>
            </w:tcBorders>
            <w:shd w:val="clear" w:color="auto" w:fill="auto"/>
            <w:vAlign w:val="center"/>
          </w:tcPr>
          <w:p w14:paraId="28F8FF7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14:paraId="6ED0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55" w:type="pct"/>
          <w:wAfter w:w="214" w:type="pct"/>
          <w:trHeight w:val="612" w:hRule="atLeast"/>
        </w:trPr>
        <w:tc>
          <w:tcPr>
            <w:tcW w:w="4732" w:type="pct"/>
            <w:gridSpan w:val="9"/>
            <w:tcBorders>
              <w:top w:val="single" w:color="auto" w:sz="8" w:space="0"/>
              <w:left w:val="single" w:color="auto" w:sz="8" w:space="0"/>
              <w:bottom w:val="single" w:color="auto" w:sz="8" w:space="0"/>
              <w:right w:val="single" w:color="000000" w:sz="8" w:space="0"/>
            </w:tcBorders>
            <w:shd w:val="clear" w:color="auto" w:fill="auto"/>
            <w:vAlign w:val="center"/>
          </w:tcPr>
          <w:p w14:paraId="0E40310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合计（各项小计之和）：</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元</w:t>
            </w:r>
          </w:p>
        </w:tc>
      </w:tr>
    </w:tbl>
    <w:p w14:paraId="1E7A71DA">
      <w:pPr>
        <w:spacing w:line="360" w:lineRule="auto"/>
        <w:rPr>
          <w:rFonts w:ascii="宋体" w:hAnsi="宋体"/>
          <w:b/>
          <w:spacing w:val="4"/>
          <w:szCs w:val="21"/>
        </w:rPr>
      </w:pPr>
      <w:r>
        <w:rPr>
          <w:rFonts w:hint="eastAsia" w:ascii="宋体" w:hAnsi="宋体"/>
          <w:b/>
          <w:spacing w:val="4"/>
          <w:szCs w:val="21"/>
        </w:rPr>
        <w:t>注：</w:t>
      </w:r>
    </w:p>
    <w:p w14:paraId="422AAFDD">
      <w:pPr>
        <w:pStyle w:val="44"/>
        <w:numPr>
          <w:ilvl w:val="0"/>
          <w:numId w:val="26"/>
        </w:numPr>
        <w:shd w:val="clear" w:color="auto" w:fill="FFFFFF"/>
        <w:spacing w:before="0" w:beforeAutospacing="0" w:after="0" w:afterAutospacing="0" w:line="360" w:lineRule="auto"/>
        <w:rPr>
          <w:b/>
          <w:bCs/>
          <w:color w:val="000000"/>
          <w:sz w:val="21"/>
          <w:szCs w:val="21"/>
          <w:u w:val="single"/>
        </w:rPr>
      </w:pPr>
      <w:r>
        <w:rPr>
          <w:rFonts w:hint="eastAsia"/>
          <w:b/>
          <w:bCs/>
          <w:color w:val="000000"/>
          <w:sz w:val="21"/>
          <w:szCs w:val="21"/>
          <w:u w:val="single"/>
        </w:rPr>
        <w:t>供应商必须按报价表的格式填写，不得增加或删除表格内容。除金额或项目要求填写的内容外，不得擅自改动报价表内容，</w:t>
      </w:r>
      <w:r>
        <w:rPr>
          <w:rFonts w:hint="eastAsia"/>
          <w:b/>
          <w:bCs/>
          <w:color w:val="000000"/>
          <w:sz w:val="21"/>
          <w:szCs w:val="21"/>
        </w:rPr>
        <w:t>否则将有可能影响成交结果，不推荐为成交候选人；</w:t>
      </w:r>
    </w:p>
    <w:p w14:paraId="47BD271F">
      <w:pPr>
        <w:pStyle w:val="44"/>
        <w:numPr>
          <w:ilvl w:val="0"/>
          <w:numId w:val="26"/>
        </w:numPr>
        <w:shd w:val="clear" w:color="auto" w:fill="FFFFFF"/>
        <w:spacing w:before="0" w:beforeAutospacing="0" w:after="0" w:afterAutospacing="0" w:line="360" w:lineRule="auto"/>
        <w:rPr>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2406F1FB">
      <w:pPr>
        <w:pStyle w:val="44"/>
        <w:numPr>
          <w:ilvl w:val="0"/>
          <w:numId w:val="26"/>
        </w:numPr>
        <w:shd w:val="clear" w:color="auto" w:fill="FFFFFF"/>
        <w:spacing w:before="0" w:beforeAutospacing="0" w:after="0" w:afterAutospacing="0" w:line="360" w:lineRule="auto"/>
        <w:rPr>
          <w:b/>
          <w:color w:val="000000"/>
          <w:sz w:val="21"/>
          <w:szCs w:val="21"/>
        </w:rPr>
      </w:pPr>
      <w:r>
        <w:rPr>
          <w:rFonts w:hint="eastAsia"/>
          <w:b/>
          <w:color w:val="000000"/>
          <w:sz w:val="21"/>
          <w:szCs w:val="21"/>
        </w:rPr>
        <w:t>平台上报价与报价表合计不一致的，以报价表报价（经价格核准后的价格）为准</w:t>
      </w:r>
      <w:r>
        <w:rPr>
          <w:rFonts w:hint="eastAsia"/>
          <w:b/>
          <w:bCs/>
          <w:color w:val="000000"/>
          <w:sz w:val="21"/>
          <w:szCs w:val="21"/>
          <w:shd w:val="clear" w:color="auto" w:fill="FFFFFF"/>
        </w:rPr>
        <w:t>；</w:t>
      </w:r>
    </w:p>
    <w:p w14:paraId="09D08F1A">
      <w:pPr>
        <w:pStyle w:val="44"/>
        <w:numPr>
          <w:ilvl w:val="0"/>
          <w:numId w:val="26"/>
        </w:numPr>
        <w:shd w:val="clear" w:color="auto" w:fill="FFFFFF"/>
        <w:spacing w:before="0" w:beforeAutospacing="0" w:after="0" w:afterAutospacing="0" w:line="360" w:lineRule="auto"/>
        <w:rPr>
          <w:b/>
          <w:color w:val="000000"/>
          <w:sz w:val="21"/>
          <w:szCs w:val="21"/>
        </w:rPr>
      </w:pPr>
      <w:r>
        <w:rPr>
          <w:rFonts w:hint="eastAsia"/>
          <w:b/>
          <w:color w:val="000000"/>
          <w:sz w:val="21"/>
          <w:szCs w:val="21"/>
        </w:rPr>
        <w:t>供应商报价表必须加盖公章，否则视作无效报价；</w:t>
      </w:r>
    </w:p>
    <w:p w14:paraId="4C1A34B2">
      <w:pPr>
        <w:pStyle w:val="44"/>
        <w:numPr>
          <w:ilvl w:val="0"/>
          <w:numId w:val="26"/>
        </w:numPr>
        <w:shd w:val="clear" w:color="auto" w:fill="FFFFFF"/>
        <w:spacing w:before="0" w:beforeAutospacing="0" w:after="0" w:afterAutospacing="0" w:line="360" w:lineRule="auto"/>
        <w:rPr>
          <w:b/>
          <w:color w:val="000000"/>
          <w:sz w:val="21"/>
          <w:szCs w:val="21"/>
        </w:rPr>
      </w:pPr>
      <w:r>
        <w:rPr>
          <w:rFonts w:hint="eastAsia"/>
          <w:b/>
          <w:color w:val="000000"/>
          <w:sz w:val="21"/>
          <w:szCs w:val="21"/>
        </w:rPr>
        <w:t>报价的小数点后保留2位有效数。</w:t>
      </w:r>
    </w:p>
    <w:p w14:paraId="1882721A">
      <w:pPr>
        <w:pStyle w:val="44"/>
        <w:shd w:val="clear" w:color="auto" w:fill="FFFFFF"/>
        <w:spacing w:before="0" w:beforeAutospacing="0" w:after="0" w:afterAutospacing="0" w:line="360" w:lineRule="auto"/>
        <w:ind w:left="420"/>
        <w:rPr>
          <w:b/>
          <w:color w:val="000000" w:themeColor="text1"/>
          <w:sz w:val="21"/>
          <w:szCs w:val="21"/>
        </w:rPr>
      </w:pPr>
    </w:p>
    <w:p w14:paraId="4E8C7FCC">
      <w:pPr>
        <w:wordWrap w:val="0"/>
        <w:spacing w:line="360" w:lineRule="auto"/>
        <w:ind w:right="218"/>
        <w:jc w:val="right"/>
        <w:rPr>
          <w:rFonts w:ascii="宋体" w:hAnsi="宋体" w:eastAsia="宋体" w:cs="宋体"/>
          <w:color w:val="000000" w:themeColor="text1"/>
          <w:spacing w:val="4"/>
          <w:szCs w:val="21"/>
        </w:rPr>
      </w:pPr>
    </w:p>
    <w:p w14:paraId="268D5F8B">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供应商名称（</w:t>
      </w:r>
      <w:r>
        <w:rPr>
          <w:rFonts w:hint="eastAsia" w:ascii="宋体" w:hAnsi="宋体" w:eastAsia="宋体" w:cs="宋体"/>
          <w:color w:val="000000" w:themeColor="text1"/>
          <w:szCs w:val="21"/>
        </w:rPr>
        <w:t>单位盖</w:t>
      </w:r>
      <w:r>
        <w:rPr>
          <w:rFonts w:hint="eastAsia" w:ascii="宋体" w:hAnsi="宋体" w:eastAsia="宋体" w:cs="宋体"/>
          <w:color w:val="000000" w:themeColor="text1"/>
          <w:spacing w:val="4"/>
          <w:szCs w:val="21"/>
        </w:rPr>
        <w:t>公章）：</w:t>
      </w:r>
      <w:r>
        <w:rPr>
          <w:rFonts w:hint="eastAsia" w:ascii="宋体" w:hAnsi="宋体" w:eastAsia="宋体" w:cs="宋体"/>
          <w:color w:val="000000" w:themeColor="text1"/>
          <w:spacing w:val="4"/>
          <w:szCs w:val="21"/>
          <w:u w:val="single"/>
        </w:rPr>
        <w:t xml:space="preserve">          </w:t>
      </w:r>
    </w:p>
    <w:p w14:paraId="488989F1">
      <w:pPr>
        <w:spacing w:line="360" w:lineRule="auto"/>
        <w:ind w:firstLine="105" w:firstLineChars="50"/>
        <w:jc w:val="right"/>
        <w:rPr>
          <w:rFonts w:ascii="宋体" w:hAnsi="宋体" w:eastAsia="宋体" w:cs="宋体"/>
          <w:color w:val="000000" w:themeColor="text1"/>
          <w:szCs w:val="21"/>
          <w:u w:val="single"/>
        </w:rPr>
      </w:pPr>
    </w:p>
    <w:p w14:paraId="2777D14F">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日期：</w:t>
      </w:r>
      <w:r>
        <w:rPr>
          <w:rFonts w:hint="eastAsia" w:ascii="宋体" w:hAnsi="宋体" w:eastAsia="宋体" w:cs="宋体"/>
          <w:color w:val="000000" w:themeColor="text1"/>
          <w:spacing w:val="4"/>
          <w:szCs w:val="21"/>
          <w:u w:val="single"/>
        </w:rPr>
        <w:t xml:space="preserve">          </w:t>
      </w:r>
    </w:p>
    <w:p w14:paraId="7693C410">
      <w:pPr>
        <w:pStyle w:val="4"/>
        <w:spacing w:before="0" w:after="0"/>
        <w:jc w:val="center"/>
        <w:rPr>
          <w:rFonts w:ascii="宋体" w:hAnsi="宋体" w:eastAsia="宋体" w:cs="宋体"/>
          <w:color w:val="000000" w:themeColor="text1"/>
        </w:rPr>
      </w:pPr>
      <w:r>
        <w:rPr>
          <w:rFonts w:ascii="宋体" w:hAnsi="宋体" w:eastAsia="宋体" w:cs="宋体"/>
          <w:color w:val="000000" w:themeColor="text1"/>
        </w:rPr>
        <w:br w:type="page"/>
      </w:r>
      <w:r>
        <w:rPr>
          <w:rFonts w:hint="eastAsia" w:ascii="宋体" w:hAnsi="宋体" w:eastAsia="宋体" w:cs="宋体"/>
          <w:color w:val="000000" w:themeColor="text1"/>
        </w:rPr>
        <w:t>采购需求书响应声明函</w:t>
      </w:r>
    </w:p>
    <w:p w14:paraId="6F866A21">
      <w:pPr>
        <w:spacing w:line="360" w:lineRule="auto"/>
        <w:rPr>
          <w:rFonts w:ascii="宋体" w:hAnsi="宋体" w:eastAsia="宋体" w:cs="宋体"/>
          <w:b/>
          <w:color w:val="000000" w:themeColor="text1"/>
          <w:szCs w:val="21"/>
        </w:rPr>
      </w:pPr>
      <w:r>
        <w:rPr>
          <w:rFonts w:hint="eastAsia" w:ascii="宋体" w:hAnsi="宋体" w:eastAsia="宋体" w:cs="宋体"/>
          <w:b/>
          <w:color w:val="000000" w:themeColor="text1"/>
          <w:szCs w:val="21"/>
        </w:rPr>
        <w:t>致：广东省广裕集团肇庆祥达实业有限公司、</w:t>
      </w:r>
      <w:r>
        <w:rPr>
          <w:rFonts w:hint="eastAsia" w:ascii="宋体" w:hAnsi="宋体" w:eastAsia="宋体" w:cs="宋体"/>
          <w:b/>
          <w:color w:val="000000" w:themeColor="text1"/>
        </w:rPr>
        <w:t>采联国际招标采购集团有限公司</w:t>
      </w:r>
    </w:p>
    <w:p w14:paraId="5255C756">
      <w:pPr>
        <w:spacing w:line="360" w:lineRule="auto"/>
        <w:rPr>
          <w:rFonts w:ascii="宋体" w:hAnsi="宋体" w:eastAsia="宋体" w:cs="宋体"/>
          <w:color w:val="000000" w:themeColor="text1"/>
          <w:lang w:val="zh-CN"/>
        </w:rPr>
      </w:pPr>
    </w:p>
    <w:p w14:paraId="49567361">
      <w:pPr>
        <w:snapToGrid w:val="0"/>
        <w:spacing w:line="360" w:lineRule="auto"/>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关于贵单位、贵司发布</w:t>
      </w:r>
      <w:r>
        <w:rPr>
          <w:rFonts w:hint="eastAsia" w:ascii="宋体" w:hAnsi="宋体" w:eastAsia="宋体" w:cs="宋体"/>
          <w:b/>
          <w:bCs/>
          <w:color w:val="000000" w:themeColor="text1"/>
          <w:szCs w:val="32"/>
          <w:u w:val="single"/>
        </w:rPr>
        <w:t>广东省广裕集团肇庆祥达实业有限公司生产管理系统配套设备</w:t>
      </w:r>
      <w:r>
        <w:rPr>
          <w:rFonts w:hint="eastAsia" w:ascii="宋体" w:hAnsi="宋体" w:eastAsia="宋体" w:cs="宋体"/>
          <w:color w:val="000000" w:themeColor="text1"/>
          <w:szCs w:val="21"/>
        </w:rPr>
        <w:t>的竞价公告，本公司（企业）愿意参加竞价活动，并作出如下声明：</w:t>
      </w:r>
    </w:p>
    <w:p w14:paraId="4D7A58F0">
      <w:pPr>
        <w:pStyle w:val="70"/>
        <w:tabs>
          <w:tab w:val="left" w:pos="426"/>
        </w:tabs>
        <w:snapToGrid w:val="0"/>
        <w:spacing w:line="360" w:lineRule="auto"/>
        <w:ind w:firstLineChars="0"/>
        <w:rPr>
          <w:rFonts w:ascii="宋体" w:hAnsi="宋体" w:cs="宋体"/>
          <w:color w:val="000000" w:themeColor="text1"/>
        </w:rPr>
      </w:pPr>
      <w:r>
        <w:rPr>
          <w:rFonts w:hint="eastAsia" w:ascii="宋体" w:hAnsi="宋体" w:cs="宋体"/>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2AA4D5C">
      <w:pPr>
        <w:pStyle w:val="70"/>
        <w:tabs>
          <w:tab w:val="left" w:pos="426"/>
        </w:tabs>
        <w:snapToGrid w:val="0"/>
        <w:spacing w:line="360" w:lineRule="auto"/>
        <w:ind w:firstLineChars="0"/>
        <w:rPr>
          <w:rFonts w:ascii="宋体" w:hAnsi="宋体" w:cs="宋体"/>
          <w:color w:val="000000" w:themeColor="text1"/>
        </w:rPr>
      </w:pPr>
      <w:r>
        <w:rPr>
          <w:rFonts w:hint="eastAsia" w:ascii="宋体" w:hAnsi="宋体" w:cs="宋体"/>
          <w:color w:val="000000" w:themeColor="text1"/>
        </w:rPr>
        <w:t>本公司（企业）承诺在本次采购活动中，如有违法、违规、弄虚作假行为，所造成的损失、不良后果及法律责任，一律由我公司（企业）承担。</w:t>
      </w:r>
    </w:p>
    <w:p w14:paraId="7CB24CDB">
      <w:pPr>
        <w:autoSpaceDE w:val="0"/>
        <w:autoSpaceDN w:val="0"/>
        <w:adjustRightInd w:val="0"/>
        <w:spacing w:line="360" w:lineRule="auto"/>
        <w:ind w:firstLine="413" w:firstLineChars="196"/>
        <w:rPr>
          <w:rFonts w:ascii="宋体" w:hAnsi="宋体" w:eastAsia="宋体" w:cs="宋体"/>
          <w:b/>
          <w:color w:val="000000" w:themeColor="text1"/>
        </w:rPr>
      </w:pPr>
      <w:r>
        <w:rPr>
          <w:rFonts w:hint="eastAsia" w:ascii="宋体" w:hAnsi="宋体" w:eastAsia="宋体" w:cs="宋体"/>
          <w:b/>
          <w:color w:val="000000" w:themeColor="text1"/>
        </w:rPr>
        <w:t>备注：</w:t>
      </w:r>
    </w:p>
    <w:p w14:paraId="3D697F5C">
      <w:pPr>
        <w:pStyle w:val="60"/>
        <w:numPr>
          <w:ilvl w:val="0"/>
          <w:numId w:val="27"/>
        </w:numPr>
        <w:autoSpaceDE w:val="0"/>
        <w:autoSpaceDN w:val="0"/>
        <w:adjustRightInd w:val="0"/>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rPr>
        <w:t>本声明函必须提供且内容不得擅自删改，否则视为响应无效。</w:t>
      </w:r>
    </w:p>
    <w:p w14:paraId="38B79AB8">
      <w:pPr>
        <w:pStyle w:val="60"/>
        <w:numPr>
          <w:ilvl w:val="0"/>
          <w:numId w:val="27"/>
        </w:numPr>
        <w:snapToGrid w:val="0"/>
        <w:spacing w:line="360" w:lineRule="auto"/>
        <w:ind w:firstLineChars="0"/>
        <w:rPr>
          <w:rFonts w:ascii="宋体" w:hAnsi="宋体" w:eastAsia="宋体" w:cs="宋体"/>
          <w:color w:val="000000" w:themeColor="text1"/>
          <w:szCs w:val="21"/>
        </w:rPr>
      </w:pPr>
      <w:r>
        <w:rPr>
          <w:rFonts w:hint="eastAsia" w:ascii="宋体" w:hAnsi="宋体" w:eastAsia="宋体" w:cs="宋体"/>
          <w:color w:val="000000" w:themeColor="text1"/>
          <w:szCs w:val="21"/>
        </w:rPr>
        <w:t>本声明函如有虚假或与事实不符的，作无效报价处理。</w:t>
      </w:r>
    </w:p>
    <w:p w14:paraId="324AE54B">
      <w:pPr>
        <w:widowControl/>
        <w:spacing w:line="360" w:lineRule="auto"/>
        <w:jc w:val="left"/>
        <w:rPr>
          <w:rFonts w:ascii="宋体" w:hAnsi="宋体" w:eastAsia="宋体" w:cs="宋体"/>
          <w:b/>
          <w:bCs/>
          <w:color w:val="000000" w:themeColor="text1"/>
          <w:kern w:val="0"/>
          <w:sz w:val="32"/>
          <w:szCs w:val="32"/>
        </w:rPr>
      </w:pPr>
    </w:p>
    <w:p w14:paraId="7C67D7BF">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供应商名称（</w:t>
      </w:r>
      <w:r>
        <w:rPr>
          <w:rFonts w:hint="eastAsia" w:ascii="宋体" w:hAnsi="宋体" w:eastAsia="宋体" w:cs="宋体"/>
          <w:color w:val="000000" w:themeColor="text1"/>
          <w:szCs w:val="21"/>
        </w:rPr>
        <w:t>单位盖</w:t>
      </w:r>
      <w:r>
        <w:rPr>
          <w:rFonts w:hint="eastAsia" w:ascii="宋体" w:hAnsi="宋体" w:eastAsia="宋体" w:cs="宋体"/>
          <w:color w:val="000000" w:themeColor="text1"/>
          <w:spacing w:val="4"/>
          <w:szCs w:val="21"/>
        </w:rPr>
        <w:t>公章）：</w:t>
      </w:r>
      <w:r>
        <w:rPr>
          <w:rFonts w:hint="eastAsia" w:ascii="宋体" w:hAnsi="宋体" w:eastAsia="宋体" w:cs="宋体"/>
          <w:color w:val="000000" w:themeColor="text1"/>
          <w:spacing w:val="4"/>
          <w:szCs w:val="21"/>
          <w:u w:val="single"/>
        </w:rPr>
        <w:t xml:space="preserve">          </w:t>
      </w:r>
    </w:p>
    <w:p w14:paraId="7359F8A1">
      <w:pPr>
        <w:spacing w:line="360" w:lineRule="auto"/>
        <w:ind w:firstLine="105" w:firstLineChars="50"/>
        <w:jc w:val="right"/>
        <w:rPr>
          <w:rFonts w:ascii="宋体" w:hAnsi="宋体" w:eastAsia="宋体" w:cs="宋体"/>
          <w:color w:val="000000" w:themeColor="text1"/>
          <w:szCs w:val="21"/>
          <w:u w:val="single"/>
        </w:rPr>
      </w:pPr>
    </w:p>
    <w:p w14:paraId="166DA492">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日期：</w:t>
      </w:r>
      <w:r>
        <w:rPr>
          <w:rFonts w:hint="eastAsia" w:ascii="宋体" w:hAnsi="宋体" w:eastAsia="宋体" w:cs="宋体"/>
          <w:color w:val="000000" w:themeColor="text1"/>
          <w:spacing w:val="4"/>
          <w:szCs w:val="21"/>
          <w:u w:val="single"/>
        </w:rPr>
        <w:t xml:space="preserve">          </w:t>
      </w:r>
    </w:p>
    <w:p w14:paraId="0B593A89">
      <w:pPr>
        <w:widowControl/>
        <w:spacing w:line="360" w:lineRule="auto"/>
        <w:jc w:val="right"/>
        <w:rPr>
          <w:rFonts w:ascii="宋体" w:hAnsi="宋体" w:eastAsia="宋体" w:cs="宋体"/>
          <w:b/>
          <w:bCs/>
          <w:color w:val="000000" w:themeColor="text1"/>
          <w:kern w:val="0"/>
          <w:sz w:val="32"/>
          <w:szCs w:val="32"/>
          <w:lang w:val="zh-CN"/>
        </w:rPr>
      </w:pPr>
    </w:p>
    <w:p w14:paraId="62D58BCD">
      <w:pPr>
        <w:spacing w:line="360" w:lineRule="auto"/>
        <w:rPr>
          <w:rFonts w:ascii="宋体" w:hAnsi="宋体" w:eastAsia="宋体" w:cs="宋体"/>
          <w:color w:val="000000" w:themeColor="text1"/>
        </w:rPr>
      </w:pPr>
    </w:p>
    <w:p w14:paraId="0E20F155">
      <w:pPr>
        <w:widowControl/>
        <w:spacing w:line="360" w:lineRule="auto"/>
        <w:jc w:val="left"/>
        <w:rPr>
          <w:rFonts w:ascii="宋体" w:hAnsi="宋体" w:eastAsia="宋体" w:cs="宋体"/>
          <w:b/>
          <w:bCs/>
          <w:color w:val="000000" w:themeColor="text1"/>
          <w:kern w:val="0"/>
          <w:sz w:val="32"/>
          <w:szCs w:val="32"/>
          <w:lang w:val="zh-CN"/>
        </w:rPr>
      </w:pPr>
      <w:r>
        <w:rPr>
          <w:rFonts w:hint="eastAsia" w:ascii="宋体" w:hAnsi="宋体" w:eastAsia="宋体" w:cs="宋体"/>
          <w:color w:val="000000" w:themeColor="text1"/>
        </w:rPr>
        <w:br w:type="page"/>
      </w:r>
    </w:p>
    <w:p w14:paraId="009D9A66">
      <w:pPr>
        <w:pStyle w:val="4"/>
        <w:spacing w:before="0" w:after="0"/>
        <w:jc w:val="center"/>
        <w:rPr>
          <w:rFonts w:ascii="宋体" w:hAnsi="宋体" w:eastAsia="宋体" w:cs="宋体"/>
          <w:color w:val="000000" w:themeColor="text1"/>
        </w:rPr>
      </w:pPr>
      <w:r>
        <w:rPr>
          <w:rFonts w:hint="eastAsia" w:ascii="宋体" w:hAnsi="宋体" w:eastAsia="宋体" w:cs="宋体"/>
          <w:color w:val="000000" w:themeColor="text1"/>
        </w:rPr>
        <w:t>供应商资格声明函</w:t>
      </w:r>
    </w:p>
    <w:p w14:paraId="39B26455">
      <w:pPr>
        <w:rPr>
          <w:rFonts w:ascii="宋体" w:hAnsi="宋体" w:eastAsia="宋体" w:cs="宋体"/>
          <w:b/>
          <w:color w:val="000000" w:themeColor="text1"/>
          <w:szCs w:val="24"/>
        </w:rPr>
      </w:pPr>
    </w:p>
    <w:p w14:paraId="3118AEE2">
      <w:pPr>
        <w:rPr>
          <w:rFonts w:ascii="宋体" w:hAnsi="宋体" w:eastAsia="宋体" w:cs="宋体"/>
          <w:b/>
          <w:color w:val="000000" w:themeColor="text1"/>
          <w:szCs w:val="24"/>
        </w:rPr>
      </w:pPr>
      <w:r>
        <w:rPr>
          <w:rFonts w:hint="eastAsia" w:ascii="宋体" w:hAnsi="宋体" w:eastAsia="宋体" w:cs="宋体"/>
          <w:b/>
          <w:color w:val="000000" w:themeColor="text1"/>
          <w:szCs w:val="21"/>
        </w:rPr>
        <w:t>致：</w:t>
      </w:r>
      <w:r>
        <w:rPr>
          <w:rFonts w:hint="eastAsia" w:ascii="宋体" w:hAnsi="宋体" w:eastAsia="宋体" w:cs="宋体"/>
          <w:b/>
          <w:color w:val="000000" w:themeColor="text1"/>
          <w:szCs w:val="24"/>
        </w:rPr>
        <w:t>广东省广裕集团肇庆祥达实业有限公司、</w:t>
      </w:r>
      <w:r>
        <w:rPr>
          <w:rFonts w:hint="eastAsia" w:ascii="宋体" w:hAnsi="宋体" w:eastAsia="宋体" w:cs="宋体"/>
          <w:b/>
          <w:color w:val="000000" w:themeColor="text1"/>
        </w:rPr>
        <w:t>采联国际招标采购集团有限公司</w:t>
      </w:r>
      <w:r>
        <w:rPr>
          <w:rFonts w:hint="eastAsia" w:ascii="宋体" w:hAnsi="宋体" w:eastAsia="宋体" w:cs="宋体"/>
          <w:b/>
          <w:color w:val="000000" w:themeColor="text1"/>
          <w:szCs w:val="24"/>
        </w:rPr>
        <w:t>：</w:t>
      </w:r>
    </w:p>
    <w:p w14:paraId="4FD51D8C">
      <w:pPr>
        <w:rPr>
          <w:rFonts w:ascii="宋体" w:hAnsi="宋体" w:eastAsia="宋体" w:cs="宋体"/>
          <w:b/>
          <w:color w:val="000000" w:themeColor="text1"/>
          <w:szCs w:val="24"/>
        </w:rPr>
      </w:pPr>
    </w:p>
    <w:p w14:paraId="4245E6EB">
      <w:pPr>
        <w:snapToGrid w:val="0"/>
        <w:spacing w:line="360" w:lineRule="auto"/>
        <w:ind w:firstLine="424" w:firstLineChars="202"/>
        <w:rPr>
          <w:rFonts w:ascii="宋体" w:hAnsi="宋体" w:eastAsia="宋体" w:cs="宋体"/>
          <w:color w:val="000000" w:themeColor="text1"/>
          <w:szCs w:val="24"/>
        </w:rPr>
      </w:pPr>
      <w:r>
        <w:rPr>
          <w:rFonts w:hint="eastAsia" w:ascii="宋体" w:hAnsi="宋体" w:eastAsia="宋体" w:cs="宋体"/>
          <w:color w:val="000000" w:themeColor="text1"/>
          <w:szCs w:val="24"/>
        </w:rPr>
        <w:t>关于贵单位、贵司发布</w:t>
      </w:r>
      <w:r>
        <w:rPr>
          <w:rFonts w:hint="eastAsia" w:ascii="宋体" w:hAnsi="宋体" w:eastAsia="宋体" w:cs="宋体"/>
          <w:b/>
          <w:bCs/>
          <w:color w:val="000000" w:themeColor="text1"/>
          <w:szCs w:val="32"/>
          <w:u w:val="single"/>
        </w:rPr>
        <w:t>广东省广裕集团肇庆祥达实业有限公司生产管理系统配套设备</w:t>
      </w:r>
      <w:r>
        <w:rPr>
          <w:rFonts w:hint="eastAsia" w:ascii="宋体" w:hAnsi="宋体" w:eastAsia="宋体" w:cs="宋体"/>
          <w:color w:val="000000" w:themeColor="text1"/>
          <w:szCs w:val="24"/>
        </w:rPr>
        <w:t>的竞价公告，本公司（企业）愿意参加竞价活动，并作出如下声明：</w:t>
      </w:r>
    </w:p>
    <w:p w14:paraId="1CEC31C8">
      <w:pPr>
        <w:snapToGrid w:val="0"/>
        <w:spacing w:line="360" w:lineRule="auto"/>
        <w:ind w:firstLine="420" w:firstLineChars="200"/>
        <w:rPr>
          <w:rFonts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59C71656">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（一）具有独立承担民事责任的能力；</w:t>
      </w:r>
    </w:p>
    <w:p w14:paraId="05C7FB93">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（二）具有良好的商业信誉和健全的财务会计制度；</w:t>
      </w:r>
    </w:p>
    <w:p w14:paraId="697CD4F5">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439E21F2">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491D5893">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174F5BB9">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（六）法律、行政法规规定的其他条件。</w:t>
      </w:r>
    </w:p>
    <w:p w14:paraId="0CC0E8E9">
      <w:pPr>
        <w:snapToGrid w:val="0"/>
        <w:spacing w:line="360" w:lineRule="auto"/>
        <w:ind w:firstLine="424" w:firstLineChars="202"/>
        <w:rPr>
          <w:rFonts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04E39AE9">
      <w:pPr>
        <w:snapToGrid w:val="0"/>
        <w:spacing w:line="360" w:lineRule="auto"/>
        <w:ind w:firstLine="424" w:firstLineChars="202"/>
        <w:rPr>
          <w:rFonts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401609CD">
      <w:pPr>
        <w:snapToGrid w:val="0"/>
        <w:spacing w:line="360" w:lineRule="auto"/>
        <w:ind w:firstLine="424" w:firstLineChars="202"/>
        <w:rPr>
          <w:rFonts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47904C65">
      <w:pPr>
        <w:spacing w:line="360" w:lineRule="auto"/>
        <w:ind w:firstLine="420"/>
        <w:rPr>
          <w:rFonts w:ascii="宋体" w:hAnsi="宋体" w:eastAsia="宋体"/>
          <w:szCs w:val="21"/>
        </w:rPr>
      </w:pPr>
      <w:r>
        <w:rPr>
          <w:rFonts w:hint="eastAsia" w:ascii="宋体" w:hAnsi="宋体" w:eastAsia="宋体"/>
          <w:szCs w:val="21"/>
        </w:rPr>
        <w:t>特此声明！</w:t>
      </w:r>
    </w:p>
    <w:p w14:paraId="1C5465A0">
      <w:pPr>
        <w:autoSpaceDE w:val="0"/>
        <w:autoSpaceDN w:val="0"/>
        <w:adjustRightInd w:val="0"/>
        <w:spacing w:line="360" w:lineRule="auto"/>
        <w:ind w:firstLine="413" w:firstLineChars="196"/>
        <w:rPr>
          <w:rFonts w:ascii="宋体" w:hAnsi="宋体" w:eastAsia="宋体" w:cs="宋体"/>
          <w:b/>
          <w:color w:val="000000" w:themeColor="text1"/>
        </w:rPr>
      </w:pPr>
      <w:r>
        <w:rPr>
          <w:rFonts w:hint="eastAsia" w:ascii="宋体" w:hAnsi="宋体" w:eastAsia="宋体" w:cs="宋体"/>
          <w:b/>
          <w:color w:val="000000" w:themeColor="text1"/>
        </w:rPr>
        <w:t>备注：</w:t>
      </w:r>
    </w:p>
    <w:p w14:paraId="1D951C0B">
      <w:pPr>
        <w:pStyle w:val="60"/>
        <w:numPr>
          <w:ilvl w:val="0"/>
          <w:numId w:val="28"/>
        </w:numPr>
        <w:autoSpaceDE w:val="0"/>
        <w:autoSpaceDN w:val="0"/>
        <w:adjustRightInd w:val="0"/>
        <w:spacing w:line="360" w:lineRule="auto"/>
        <w:ind w:firstLineChars="0"/>
        <w:rPr>
          <w:rFonts w:ascii="宋体" w:hAnsi="宋体" w:eastAsia="宋体" w:cs="宋体"/>
          <w:color w:val="000000" w:themeColor="text1"/>
        </w:rPr>
      </w:pPr>
      <w:r>
        <w:rPr>
          <w:rFonts w:hint="eastAsia" w:ascii="宋体" w:hAnsi="宋体" w:eastAsia="宋体" w:cs="宋体"/>
          <w:color w:val="000000" w:themeColor="text1"/>
        </w:rPr>
        <w:t>本声明函必须提供且内容不得擅自删改，否则视为响应无效。</w:t>
      </w:r>
    </w:p>
    <w:p w14:paraId="2B423913">
      <w:pPr>
        <w:pStyle w:val="60"/>
        <w:numPr>
          <w:ilvl w:val="0"/>
          <w:numId w:val="28"/>
        </w:numPr>
        <w:snapToGrid w:val="0"/>
        <w:spacing w:line="360" w:lineRule="auto"/>
        <w:ind w:firstLineChars="0"/>
        <w:rPr>
          <w:rFonts w:ascii="宋体" w:hAnsi="宋体" w:eastAsia="宋体" w:cs="宋体"/>
          <w:color w:val="000000" w:themeColor="text1"/>
          <w:szCs w:val="21"/>
        </w:rPr>
      </w:pPr>
      <w:r>
        <w:rPr>
          <w:rFonts w:hint="eastAsia" w:ascii="宋体" w:hAnsi="宋体" w:eastAsia="宋体" w:cs="宋体"/>
          <w:color w:val="000000" w:themeColor="text1"/>
          <w:szCs w:val="21"/>
        </w:rPr>
        <w:t>本声明函如有虚假或与事实不符的，作无效报价处理。</w:t>
      </w:r>
    </w:p>
    <w:p w14:paraId="4A474EBF">
      <w:pPr>
        <w:pStyle w:val="60"/>
        <w:tabs>
          <w:tab w:val="left" w:pos="1200"/>
        </w:tabs>
        <w:snapToGrid w:val="0"/>
        <w:spacing w:line="360" w:lineRule="auto"/>
        <w:ind w:left="1200" w:firstLine="0" w:firstLineChars="0"/>
        <w:rPr>
          <w:rFonts w:ascii="宋体" w:hAnsi="宋体" w:eastAsia="宋体" w:cs="宋体"/>
          <w:color w:val="000000" w:themeColor="text1"/>
          <w:szCs w:val="21"/>
        </w:rPr>
      </w:pPr>
    </w:p>
    <w:p w14:paraId="45522E19">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供应商名称（</w:t>
      </w:r>
      <w:r>
        <w:rPr>
          <w:rFonts w:hint="eastAsia" w:ascii="宋体" w:hAnsi="宋体" w:eastAsia="宋体" w:cs="宋体"/>
          <w:color w:val="000000" w:themeColor="text1"/>
          <w:szCs w:val="21"/>
        </w:rPr>
        <w:t>单位盖</w:t>
      </w:r>
      <w:r>
        <w:rPr>
          <w:rFonts w:hint="eastAsia" w:ascii="宋体" w:hAnsi="宋体" w:eastAsia="宋体" w:cs="宋体"/>
          <w:color w:val="000000" w:themeColor="text1"/>
          <w:spacing w:val="4"/>
          <w:szCs w:val="21"/>
        </w:rPr>
        <w:t>公章）：</w:t>
      </w:r>
      <w:r>
        <w:rPr>
          <w:rFonts w:hint="eastAsia" w:ascii="宋体" w:hAnsi="宋体" w:eastAsia="宋体" w:cs="宋体"/>
          <w:color w:val="000000" w:themeColor="text1"/>
          <w:spacing w:val="4"/>
          <w:szCs w:val="21"/>
          <w:u w:val="single"/>
        </w:rPr>
        <w:t xml:space="preserve">          </w:t>
      </w:r>
    </w:p>
    <w:p w14:paraId="25FBE52F">
      <w:pPr>
        <w:spacing w:line="360" w:lineRule="auto"/>
        <w:ind w:firstLine="105" w:firstLineChars="50"/>
        <w:jc w:val="right"/>
        <w:rPr>
          <w:rFonts w:ascii="宋体" w:hAnsi="宋体" w:eastAsia="宋体" w:cs="宋体"/>
          <w:color w:val="000000" w:themeColor="text1"/>
          <w:szCs w:val="21"/>
          <w:u w:val="single"/>
        </w:rPr>
      </w:pPr>
    </w:p>
    <w:p w14:paraId="09119D11">
      <w:pPr>
        <w:wordWrap w:val="0"/>
        <w:spacing w:line="360" w:lineRule="auto"/>
        <w:jc w:val="right"/>
        <w:rPr>
          <w:rFonts w:ascii="宋体" w:hAnsi="宋体" w:eastAsia="宋体" w:cs="宋体"/>
          <w:color w:val="000000" w:themeColor="text1"/>
          <w:szCs w:val="21"/>
          <w:u w:val="single"/>
        </w:rPr>
      </w:pPr>
      <w:r>
        <w:rPr>
          <w:rFonts w:hint="eastAsia" w:ascii="宋体" w:hAnsi="宋体" w:eastAsia="宋体" w:cs="宋体"/>
          <w:color w:val="000000" w:themeColor="text1"/>
          <w:spacing w:val="4"/>
          <w:szCs w:val="21"/>
        </w:rPr>
        <w:t>日期：</w:t>
      </w:r>
      <w:r>
        <w:rPr>
          <w:rFonts w:hint="eastAsia" w:ascii="宋体" w:hAnsi="宋体" w:eastAsia="宋体" w:cs="宋体"/>
          <w:color w:val="000000" w:themeColor="text1"/>
          <w:spacing w:val="4"/>
          <w:szCs w:val="21"/>
          <w:u w:val="single"/>
        </w:rPr>
        <w:t xml:space="preserve">          </w:t>
      </w:r>
    </w:p>
    <w:p w14:paraId="2A0AA01C">
      <w:pPr>
        <w:spacing w:line="360" w:lineRule="auto"/>
        <w:rPr>
          <w:rFonts w:ascii="宋体" w:hAnsi="宋体" w:eastAsia="宋体" w:cs="宋体"/>
          <w:color w:val="000000" w:themeColor="text1"/>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decorative"/>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Helv">
    <w:altName w:val="Segoe Print"/>
    <w:panose1 w:val="020B0604020202030204"/>
    <w:charset w:val="00"/>
    <w:family w:val="swiss"/>
    <w:pitch w:val="default"/>
    <w:sig w:usb0="00000000" w:usb1="00000000" w:usb2="00000000" w:usb3="00000000" w:csb0="00000001"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3A00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C3FC">
    <w:pPr>
      <w:pStyle w:val="3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
    <w:nsid w:val="DA1CE022"/>
    <w:multiLevelType w:val="singleLevel"/>
    <w:tmpl w:val="DA1CE022"/>
    <w:lvl w:ilvl="0" w:tentative="0">
      <w:start w:val="1"/>
      <w:numFmt w:val="decimal"/>
      <w:suff w:val="nothing"/>
      <w:lvlText w:val="%1．"/>
      <w:lvlJc w:val="left"/>
      <w:pPr>
        <w:ind w:left="0" w:firstLine="400"/>
      </w:pPr>
      <w:rPr>
        <w:rFonts w:hint="default"/>
        <w:b w:val="0"/>
        <w:bCs w:val="0"/>
      </w:rPr>
    </w:lvl>
  </w:abstractNum>
  <w:abstractNum w:abstractNumId="3">
    <w:nsid w:val="DC24D562"/>
    <w:multiLevelType w:val="singleLevel"/>
    <w:tmpl w:val="DC24D562"/>
    <w:lvl w:ilvl="0" w:tentative="0">
      <w:start w:val="1"/>
      <w:numFmt w:val="decimal"/>
      <w:suff w:val="nothing"/>
      <w:lvlText w:val="%1．"/>
      <w:lvlJc w:val="left"/>
      <w:pPr>
        <w:ind w:left="0" w:firstLine="400"/>
      </w:pPr>
      <w:rPr>
        <w:rFonts w:hint="default"/>
      </w:rPr>
    </w:lvl>
  </w:abstractNum>
  <w:abstractNum w:abstractNumId="4">
    <w:nsid w:val="EB7D485F"/>
    <w:multiLevelType w:val="singleLevel"/>
    <w:tmpl w:val="EB7D485F"/>
    <w:lvl w:ilvl="0" w:tentative="0">
      <w:start w:val="1"/>
      <w:numFmt w:val="decimal"/>
      <w:suff w:val="nothing"/>
      <w:lvlText w:val="%1．"/>
      <w:lvlJc w:val="left"/>
      <w:pPr>
        <w:ind w:left="0" w:firstLine="400"/>
      </w:pPr>
      <w:rPr>
        <w:rFonts w:hint="default"/>
        <w:b w:val="0"/>
        <w:bCs w:val="0"/>
      </w:rPr>
    </w:lvl>
  </w:abstractNum>
  <w:abstractNum w:abstractNumId="5">
    <w:nsid w:val="F09CFC33"/>
    <w:multiLevelType w:val="singleLevel"/>
    <w:tmpl w:val="F09CFC33"/>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6">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7">
    <w:nsid w:val="F4E25012"/>
    <w:multiLevelType w:val="multilevel"/>
    <w:tmpl w:val="F4E25012"/>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6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1">
    <w:nsid w:val="055A27C5"/>
    <w:multiLevelType w:val="singleLevel"/>
    <w:tmpl w:val="055A27C5"/>
    <w:lvl w:ilvl="0" w:tentative="0">
      <w:start w:val="1"/>
      <w:numFmt w:val="decimal"/>
      <w:suff w:val="nothing"/>
      <w:lvlText w:val="%1．"/>
      <w:lvlJc w:val="left"/>
      <w:pPr>
        <w:ind w:left="0" w:firstLine="400"/>
      </w:pPr>
      <w:rPr>
        <w:rFonts w:hint="default"/>
      </w:rPr>
    </w:lvl>
  </w:abstractNum>
  <w:abstractNum w:abstractNumId="12">
    <w:nsid w:val="0CDEBF6C"/>
    <w:multiLevelType w:val="singleLevel"/>
    <w:tmpl w:val="0CDEBF6C"/>
    <w:lvl w:ilvl="0" w:tentative="0">
      <w:start w:val="1"/>
      <w:numFmt w:val="decimal"/>
      <w:suff w:val="nothing"/>
      <w:lvlText w:val="%1．"/>
      <w:lvlJc w:val="left"/>
      <w:pPr>
        <w:ind w:left="0" w:firstLine="400"/>
      </w:pPr>
      <w:rPr>
        <w:rFonts w:hint="default"/>
      </w:rPr>
    </w:lvl>
  </w:abstractNum>
  <w:abstractNum w:abstractNumId="13">
    <w:nsid w:val="1579B33C"/>
    <w:multiLevelType w:val="singleLevel"/>
    <w:tmpl w:val="1579B33C"/>
    <w:lvl w:ilvl="0" w:tentative="0">
      <w:start w:val="1"/>
      <w:numFmt w:val="decimal"/>
      <w:suff w:val="nothing"/>
      <w:lvlText w:val="%1．"/>
      <w:lvlJc w:val="left"/>
      <w:pPr>
        <w:ind w:left="167" w:firstLine="400"/>
      </w:pPr>
      <w:rPr>
        <w:rFonts w:hint="default" w:ascii="宋体" w:hAnsi="宋体" w:eastAsia="宋体" w:cs="宋体"/>
        <w:sz w:val="21"/>
        <w:szCs w:val="21"/>
      </w:rPr>
    </w:lvl>
  </w:abstractNum>
  <w:abstractNum w:abstractNumId="14">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5">
    <w:nsid w:val="27DC7C6E"/>
    <w:multiLevelType w:val="singleLevel"/>
    <w:tmpl w:val="27DC7C6E"/>
    <w:lvl w:ilvl="0" w:tentative="0">
      <w:start w:val="1"/>
      <w:numFmt w:val="decimal"/>
      <w:suff w:val="nothing"/>
      <w:lvlText w:val="%1．"/>
      <w:lvlJc w:val="left"/>
      <w:pPr>
        <w:ind w:left="0" w:firstLine="400"/>
      </w:pPr>
      <w:rPr>
        <w:rFonts w:hint="default"/>
        <w:b w:val="0"/>
        <w:bCs w:val="0"/>
      </w:rPr>
    </w:lvl>
  </w:abstractNum>
  <w:abstractNum w:abstractNumId="16">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8A256F1"/>
    <w:multiLevelType w:val="singleLevel"/>
    <w:tmpl w:val="28A256F1"/>
    <w:lvl w:ilvl="0" w:tentative="0">
      <w:start w:val="1"/>
      <w:numFmt w:val="decimal"/>
      <w:suff w:val="nothing"/>
      <w:lvlText w:val="%1．"/>
      <w:lvlJc w:val="left"/>
      <w:pPr>
        <w:ind w:left="0" w:firstLine="400"/>
      </w:pPr>
      <w:rPr>
        <w:rFonts w:hint="default"/>
      </w:rPr>
    </w:lvl>
  </w:abstractNum>
  <w:abstractNum w:abstractNumId="18">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3A6A3A75"/>
    <w:multiLevelType w:val="singleLevel"/>
    <w:tmpl w:val="3A6A3A75"/>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0">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1">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2">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4BF3D59"/>
    <w:multiLevelType w:val="multilevel"/>
    <w:tmpl w:val="64BF3D59"/>
    <w:lvl w:ilvl="0" w:tentative="0">
      <w:start w:val="1"/>
      <w:numFmt w:val="decimal"/>
      <w:pStyle w:val="138"/>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6CA379B1"/>
    <w:multiLevelType w:val="multilevel"/>
    <w:tmpl w:val="6CA379B1"/>
    <w:lvl w:ilvl="0" w:tentative="0">
      <w:start w:val="1"/>
      <w:numFmt w:val="chineseCountingThousand"/>
      <w:pStyle w:val="134"/>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6E19083E"/>
    <w:multiLevelType w:val="multilevel"/>
    <w:tmpl w:val="6E19083E"/>
    <w:lvl w:ilvl="0" w:tentative="0">
      <w:start w:val="1"/>
      <w:numFmt w:val="decimal"/>
      <w:suff w:val="space"/>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79FFC418"/>
    <w:multiLevelType w:val="singleLevel"/>
    <w:tmpl w:val="79FFC418"/>
    <w:lvl w:ilvl="0" w:tentative="0">
      <w:start w:val="1"/>
      <w:numFmt w:val="decimal"/>
      <w:suff w:val="nothing"/>
      <w:lvlText w:val="%1．"/>
      <w:lvlJc w:val="left"/>
      <w:pPr>
        <w:ind w:left="0" w:firstLine="400"/>
      </w:pPr>
      <w:rPr>
        <w:rFonts w:hint="default"/>
        <w:b w:val="0"/>
        <w:bCs w:val="0"/>
      </w:rPr>
    </w:lvl>
  </w:abstractNum>
  <w:abstractNum w:abstractNumId="27">
    <w:nsid w:val="7AD14EC6"/>
    <w:multiLevelType w:val="singleLevel"/>
    <w:tmpl w:val="7AD14EC6"/>
    <w:lvl w:ilvl="0" w:tentative="0">
      <w:start w:val="1"/>
      <w:numFmt w:val="decimal"/>
      <w:suff w:val="nothing"/>
      <w:lvlText w:val="%1．"/>
      <w:lvlJc w:val="left"/>
      <w:pPr>
        <w:ind w:left="0" w:firstLine="400"/>
      </w:pPr>
      <w:rPr>
        <w:rFonts w:hint="default"/>
        <w:b w:val="0"/>
        <w:bCs w:val="0"/>
      </w:rPr>
    </w:lvl>
  </w:abstractNum>
  <w:num w:numId="1">
    <w:abstractNumId w:val="8"/>
  </w:num>
  <w:num w:numId="2">
    <w:abstractNumId w:val="24"/>
  </w:num>
  <w:num w:numId="3">
    <w:abstractNumId w:val="23"/>
  </w:num>
  <w:num w:numId="4">
    <w:abstractNumId w:val="22"/>
  </w:num>
  <w:num w:numId="5">
    <w:abstractNumId w:val="6"/>
  </w:num>
  <w:num w:numId="6">
    <w:abstractNumId w:val="20"/>
  </w:num>
  <w:num w:numId="7">
    <w:abstractNumId w:val="1"/>
  </w:num>
  <w:num w:numId="8">
    <w:abstractNumId w:val="9"/>
  </w:num>
  <w:num w:numId="9">
    <w:abstractNumId w:val="13"/>
  </w:num>
  <w:num w:numId="10">
    <w:abstractNumId w:val="14"/>
  </w:num>
  <w:num w:numId="11">
    <w:abstractNumId w:val="19"/>
  </w:num>
  <w:num w:numId="12">
    <w:abstractNumId w:val="5"/>
  </w:num>
  <w:num w:numId="13">
    <w:abstractNumId w:val="0"/>
  </w:num>
  <w:num w:numId="14">
    <w:abstractNumId w:val="10"/>
  </w:num>
  <w:num w:numId="15">
    <w:abstractNumId w:val="16"/>
  </w:num>
  <w:num w:numId="16">
    <w:abstractNumId w:val="7"/>
  </w:num>
  <w:num w:numId="17">
    <w:abstractNumId w:val="17"/>
  </w:num>
  <w:num w:numId="18">
    <w:abstractNumId w:val="3"/>
  </w:num>
  <w:num w:numId="19">
    <w:abstractNumId w:val="12"/>
  </w:num>
  <w:num w:numId="20">
    <w:abstractNumId w:val="11"/>
  </w:num>
  <w:num w:numId="21">
    <w:abstractNumId w:val="15"/>
  </w:num>
  <w:num w:numId="22">
    <w:abstractNumId w:val="4"/>
  </w:num>
  <w:num w:numId="23">
    <w:abstractNumId w:val="2"/>
  </w:num>
  <w:num w:numId="24">
    <w:abstractNumId w:val="27"/>
  </w:num>
  <w:num w:numId="25">
    <w:abstractNumId w:val="26"/>
  </w:num>
  <w:num w:numId="26">
    <w:abstractNumId w:val="25"/>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603670"/>
    <w:rsid w:val="000020F5"/>
    <w:rsid w:val="0000298A"/>
    <w:rsid w:val="00004B1E"/>
    <w:rsid w:val="00011A82"/>
    <w:rsid w:val="000163AB"/>
    <w:rsid w:val="00026DD2"/>
    <w:rsid w:val="00027036"/>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50B"/>
    <w:rsid w:val="000B1662"/>
    <w:rsid w:val="000B39FE"/>
    <w:rsid w:val="000B3F59"/>
    <w:rsid w:val="000B74EA"/>
    <w:rsid w:val="000C4F0F"/>
    <w:rsid w:val="000C5ABD"/>
    <w:rsid w:val="000C7F10"/>
    <w:rsid w:val="000D0DFA"/>
    <w:rsid w:val="000E1199"/>
    <w:rsid w:val="000E2971"/>
    <w:rsid w:val="000E4C42"/>
    <w:rsid w:val="000F1249"/>
    <w:rsid w:val="000F423D"/>
    <w:rsid w:val="000F5CD4"/>
    <w:rsid w:val="000F60D8"/>
    <w:rsid w:val="0010235B"/>
    <w:rsid w:val="00107E2D"/>
    <w:rsid w:val="00110D31"/>
    <w:rsid w:val="00111B57"/>
    <w:rsid w:val="0011546B"/>
    <w:rsid w:val="0011556A"/>
    <w:rsid w:val="00115AF7"/>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56C6"/>
    <w:rsid w:val="002103E2"/>
    <w:rsid w:val="00215FE5"/>
    <w:rsid w:val="00217AFF"/>
    <w:rsid w:val="00220312"/>
    <w:rsid w:val="002208E8"/>
    <w:rsid w:val="00220DEC"/>
    <w:rsid w:val="002379C7"/>
    <w:rsid w:val="0024051A"/>
    <w:rsid w:val="0024390D"/>
    <w:rsid w:val="00251790"/>
    <w:rsid w:val="00253352"/>
    <w:rsid w:val="00262DAA"/>
    <w:rsid w:val="0026399A"/>
    <w:rsid w:val="0026528E"/>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A4B24"/>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20AFB"/>
    <w:rsid w:val="004211A3"/>
    <w:rsid w:val="004215C6"/>
    <w:rsid w:val="00425F66"/>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66460"/>
    <w:rsid w:val="00671A00"/>
    <w:rsid w:val="00672130"/>
    <w:rsid w:val="00673379"/>
    <w:rsid w:val="0067437D"/>
    <w:rsid w:val="006779F7"/>
    <w:rsid w:val="00680244"/>
    <w:rsid w:val="006817FD"/>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D213E"/>
    <w:rsid w:val="006D5FC6"/>
    <w:rsid w:val="006D7E04"/>
    <w:rsid w:val="00700C51"/>
    <w:rsid w:val="00702847"/>
    <w:rsid w:val="00704006"/>
    <w:rsid w:val="00704031"/>
    <w:rsid w:val="00704043"/>
    <w:rsid w:val="00704C21"/>
    <w:rsid w:val="007056A1"/>
    <w:rsid w:val="007059E9"/>
    <w:rsid w:val="00706AD4"/>
    <w:rsid w:val="0071097B"/>
    <w:rsid w:val="007128C2"/>
    <w:rsid w:val="00713BF5"/>
    <w:rsid w:val="0071491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1766"/>
    <w:rsid w:val="00772ED2"/>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3466"/>
    <w:rsid w:val="00825FF0"/>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47FAD"/>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4B91"/>
    <w:rsid w:val="00A253E3"/>
    <w:rsid w:val="00A258AD"/>
    <w:rsid w:val="00A30C64"/>
    <w:rsid w:val="00A33A88"/>
    <w:rsid w:val="00A35A63"/>
    <w:rsid w:val="00A444BF"/>
    <w:rsid w:val="00A45A6D"/>
    <w:rsid w:val="00A464C4"/>
    <w:rsid w:val="00A570A9"/>
    <w:rsid w:val="00A63E3D"/>
    <w:rsid w:val="00A82740"/>
    <w:rsid w:val="00A9272D"/>
    <w:rsid w:val="00AA2719"/>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F04FE"/>
    <w:rsid w:val="00BF568B"/>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C17D4"/>
    <w:rsid w:val="00CD0F08"/>
    <w:rsid w:val="00CD143C"/>
    <w:rsid w:val="00CD52F9"/>
    <w:rsid w:val="00CD57F2"/>
    <w:rsid w:val="00CE4ACD"/>
    <w:rsid w:val="00CE71FC"/>
    <w:rsid w:val="00CF1563"/>
    <w:rsid w:val="00CF2666"/>
    <w:rsid w:val="00CF498C"/>
    <w:rsid w:val="00CF59AA"/>
    <w:rsid w:val="00CF6FBA"/>
    <w:rsid w:val="00CF740A"/>
    <w:rsid w:val="00D002F2"/>
    <w:rsid w:val="00D015A2"/>
    <w:rsid w:val="00D02213"/>
    <w:rsid w:val="00D10E67"/>
    <w:rsid w:val="00D2020D"/>
    <w:rsid w:val="00D218DD"/>
    <w:rsid w:val="00D221F4"/>
    <w:rsid w:val="00D232A7"/>
    <w:rsid w:val="00D24487"/>
    <w:rsid w:val="00D30631"/>
    <w:rsid w:val="00D30F45"/>
    <w:rsid w:val="00D32910"/>
    <w:rsid w:val="00D36B47"/>
    <w:rsid w:val="00D4308A"/>
    <w:rsid w:val="00D44C86"/>
    <w:rsid w:val="00D467C0"/>
    <w:rsid w:val="00D52312"/>
    <w:rsid w:val="00D533A7"/>
    <w:rsid w:val="00D533FC"/>
    <w:rsid w:val="00D53A7E"/>
    <w:rsid w:val="00D54790"/>
    <w:rsid w:val="00D61271"/>
    <w:rsid w:val="00D638E3"/>
    <w:rsid w:val="00D7179D"/>
    <w:rsid w:val="00D71805"/>
    <w:rsid w:val="00D72607"/>
    <w:rsid w:val="00D7660B"/>
    <w:rsid w:val="00D80314"/>
    <w:rsid w:val="00D8277B"/>
    <w:rsid w:val="00D827CD"/>
    <w:rsid w:val="00D82EF0"/>
    <w:rsid w:val="00D834B2"/>
    <w:rsid w:val="00D91FD6"/>
    <w:rsid w:val="00D9501D"/>
    <w:rsid w:val="00D953AB"/>
    <w:rsid w:val="00D95437"/>
    <w:rsid w:val="00D95FC8"/>
    <w:rsid w:val="00D96CBE"/>
    <w:rsid w:val="00DA5447"/>
    <w:rsid w:val="00DA5F2F"/>
    <w:rsid w:val="00DA677A"/>
    <w:rsid w:val="00DD147B"/>
    <w:rsid w:val="00DD1F0C"/>
    <w:rsid w:val="00DD2C2A"/>
    <w:rsid w:val="00DD3557"/>
    <w:rsid w:val="00DD3F36"/>
    <w:rsid w:val="00DD4221"/>
    <w:rsid w:val="00DD6373"/>
    <w:rsid w:val="00DE0BAD"/>
    <w:rsid w:val="00DF706C"/>
    <w:rsid w:val="00E01F9F"/>
    <w:rsid w:val="00E0484B"/>
    <w:rsid w:val="00E06F98"/>
    <w:rsid w:val="00E07AB9"/>
    <w:rsid w:val="00E127FA"/>
    <w:rsid w:val="00E255DD"/>
    <w:rsid w:val="00E300EB"/>
    <w:rsid w:val="00E33E2A"/>
    <w:rsid w:val="00E3421A"/>
    <w:rsid w:val="00E34EB3"/>
    <w:rsid w:val="00E4552F"/>
    <w:rsid w:val="00E456ED"/>
    <w:rsid w:val="00E46F4E"/>
    <w:rsid w:val="00E52B0C"/>
    <w:rsid w:val="00E63355"/>
    <w:rsid w:val="00E64B2E"/>
    <w:rsid w:val="00E70313"/>
    <w:rsid w:val="00E737BB"/>
    <w:rsid w:val="00E74107"/>
    <w:rsid w:val="00E81F84"/>
    <w:rsid w:val="00E84F37"/>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61FE"/>
    <w:rsid w:val="00F4747C"/>
    <w:rsid w:val="00F5165D"/>
    <w:rsid w:val="00F523A2"/>
    <w:rsid w:val="00F52B7E"/>
    <w:rsid w:val="00F61DA9"/>
    <w:rsid w:val="00F67233"/>
    <w:rsid w:val="00F67ABD"/>
    <w:rsid w:val="00F705B7"/>
    <w:rsid w:val="00F71BEE"/>
    <w:rsid w:val="00F743B8"/>
    <w:rsid w:val="00F74919"/>
    <w:rsid w:val="00F80B08"/>
    <w:rsid w:val="00FA5D03"/>
    <w:rsid w:val="00FB0A0D"/>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16A6C79"/>
    <w:rsid w:val="01702465"/>
    <w:rsid w:val="02181129"/>
    <w:rsid w:val="02655D6D"/>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446AEB"/>
    <w:rsid w:val="0B515A26"/>
    <w:rsid w:val="0B571438"/>
    <w:rsid w:val="0C5602B0"/>
    <w:rsid w:val="0C72525B"/>
    <w:rsid w:val="0C96145B"/>
    <w:rsid w:val="0CBC3BE7"/>
    <w:rsid w:val="0CBE46E5"/>
    <w:rsid w:val="0D040750"/>
    <w:rsid w:val="0D5D1325"/>
    <w:rsid w:val="0D8A1656"/>
    <w:rsid w:val="0DB2138B"/>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11113"/>
    <w:rsid w:val="11551A52"/>
    <w:rsid w:val="115A3E79"/>
    <w:rsid w:val="11B60016"/>
    <w:rsid w:val="11EA7CDE"/>
    <w:rsid w:val="127D190F"/>
    <w:rsid w:val="12A4611E"/>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DFD6480"/>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CC7E8F"/>
    <w:rsid w:val="25F767DC"/>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8F0281"/>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05BDF"/>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B6480A"/>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A3573F"/>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ED6E7E"/>
    <w:rsid w:val="59F36CDF"/>
    <w:rsid w:val="5A410F44"/>
    <w:rsid w:val="5A494331"/>
    <w:rsid w:val="5A601E9A"/>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3F4DE3"/>
    <w:rsid w:val="5E4C0B1A"/>
    <w:rsid w:val="5E6C042B"/>
    <w:rsid w:val="5E7C233A"/>
    <w:rsid w:val="5E7E1860"/>
    <w:rsid w:val="5E905572"/>
    <w:rsid w:val="5EBF1885"/>
    <w:rsid w:val="5F0026B1"/>
    <w:rsid w:val="5F1A2F16"/>
    <w:rsid w:val="5F9E1458"/>
    <w:rsid w:val="60CF21A4"/>
    <w:rsid w:val="610374C0"/>
    <w:rsid w:val="61251AAF"/>
    <w:rsid w:val="617F6D8C"/>
    <w:rsid w:val="61AA518D"/>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766B95"/>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C43066"/>
    <w:rsid w:val="7DFD6003"/>
    <w:rsid w:val="7E550395"/>
    <w:rsid w:val="7EAB113D"/>
    <w:rsid w:val="7F6000C3"/>
    <w:rsid w:val="7F926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5"/>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1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91"/>
    <w:unhideWhenUsed/>
    <w:qFormat/>
    <w:uiPriority w:val="0"/>
    <w:pPr>
      <w:keepNext/>
      <w:keepLines/>
      <w:spacing w:before="260" w:after="260" w:line="413" w:lineRule="auto"/>
      <w:outlineLvl w:val="2"/>
    </w:pPr>
    <w:rPr>
      <w:b/>
      <w:sz w:val="32"/>
    </w:rPr>
  </w:style>
  <w:style w:type="paragraph" w:styleId="6">
    <w:name w:val="heading 4"/>
    <w:basedOn w:val="1"/>
    <w:next w:val="1"/>
    <w:link w:val="140"/>
    <w:qFormat/>
    <w:uiPriority w:val="0"/>
    <w:pPr>
      <w:ind w:firstLine="680"/>
      <w:outlineLvl w:val="3"/>
    </w:pPr>
    <w:rPr>
      <w:rFonts w:ascii="宋体" w:hAnsi="Times New Roman" w:eastAsia="宋体" w:cs="Times New Roman"/>
      <w:sz w:val="28"/>
      <w:szCs w:val="20"/>
    </w:rPr>
  </w:style>
  <w:style w:type="paragraph" w:styleId="7">
    <w:name w:val="heading 5"/>
    <w:basedOn w:val="1"/>
    <w:next w:val="1"/>
    <w:link w:val="141"/>
    <w:qFormat/>
    <w:uiPriority w:val="0"/>
    <w:pPr>
      <w:ind w:firstLine="567"/>
      <w:outlineLvl w:val="4"/>
    </w:pPr>
    <w:rPr>
      <w:rFonts w:ascii="Times New Roman" w:hAnsi="Times New Roman" w:eastAsia="宋体" w:cs="Times New Roman"/>
      <w:sz w:val="28"/>
      <w:szCs w:val="20"/>
    </w:rPr>
  </w:style>
  <w:style w:type="paragraph" w:styleId="8">
    <w:name w:val="heading 6"/>
    <w:basedOn w:val="1"/>
    <w:next w:val="1"/>
    <w:link w:val="142"/>
    <w:qFormat/>
    <w:uiPriority w:val="0"/>
    <w:pPr>
      <w:ind w:firstLine="680"/>
      <w:outlineLvl w:val="5"/>
    </w:pPr>
    <w:rPr>
      <w:rFonts w:ascii="Times New Roman" w:hAnsi="Times New Roman" w:eastAsia="宋体" w:cs="Times New Roman"/>
      <w:sz w:val="28"/>
      <w:szCs w:val="20"/>
    </w:rPr>
  </w:style>
  <w:style w:type="paragraph" w:styleId="9">
    <w:name w:val="heading 7"/>
    <w:basedOn w:val="1"/>
    <w:next w:val="10"/>
    <w:link w:val="143"/>
    <w:qFormat/>
    <w:uiPriority w:val="0"/>
    <w:pPr>
      <w:keepNext/>
      <w:tabs>
        <w:tab w:val="left" w:pos="360"/>
      </w:tabs>
      <w:autoSpaceDE w:val="0"/>
      <w:autoSpaceDN w:val="0"/>
      <w:adjustRightInd w:val="0"/>
      <w:spacing w:before="240" w:after="64" w:line="319" w:lineRule="auto"/>
      <w:outlineLvl w:val="6"/>
    </w:pPr>
    <w:rPr>
      <w:rFonts w:ascii="宋体" w:hAnsi="Times New Roman" w:eastAsia="宋体" w:cs="Times New Roman"/>
      <w:b/>
      <w:color w:val="000000"/>
      <w:sz w:val="24"/>
      <w:szCs w:val="20"/>
    </w:rPr>
  </w:style>
  <w:style w:type="paragraph" w:styleId="11">
    <w:name w:val="heading 8"/>
    <w:basedOn w:val="1"/>
    <w:next w:val="10"/>
    <w:link w:val="144"/>
    <w:qFormat/>
    <w:uiPriority w:val="0"/>
    <w:pPr>
      <w:keepNext/>
      <w:tabs>
        <w:tab w:val="left" w:pos="360"/>
      </w:tabs>
      <w:autoSpaceDE w:val="0"/>
      <w:autoSpaceDN w:val="0"/>
      <w:adjustRightInd w:val="0"/>
      <w:spacing w:before="240" w:after="64" w:line="319" w:lineRule="auto"/>
      <w:outlineLvl w:val="7"/>
    </w:pPr>
    <w:rPr>
      <w:rFonts w:ascii="Arial" w:hAnsi="Arial" w:eastAsia="黑体" w:cs="Times New Roman"/>
      <w:color w:val="000000"/>
      <w:sz w:val="24"/>
      <w:szCs w:val="20"/>
    </w:rPr>
  </w:style>
  <w:style w:type="paragraph" w:styleId="12">
    <w:name w:val="heading 9"/>
    <w:basedOn w:val="1"/>
    <w:next w:val="10"/>
    <w:link w:val="145"/>
    <w:qFormat/>
    <w:uiPriority w:val="0"/>
    <w:pPr>
      <w:keepNext/>
      <w:tabs>
        <w:tab w:val="left" w:pos="360"/>
      </w:tabs>
      <w:autoSpaceDE w:val="0"/>
      <w:autoSpaceDN w:val="0"/>
      <w:adjustRightInd w:val="0"/>
      <w:spacing w:before="240" w:after="64" w:line="319" w:lineRule="auto"/>
      <w:outlineLvl w:val="8"/>
    </w:pPr>
    <w:rPr>
      <w:rFonts w:ascii="Arial" w:hAnsi="Arial" w:eastAsia="黑体" w:cs="Times New Roman"/>
      <w:color w:val="000000"/>
      <w:sz w:val="24"/>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color w:val="000000"/>
      <w:kern w:val="0"/>
      <w:szCs w:val="20"/>
    </w:rPr>
  </w:style>
  <w:style w:type="paragraph" w:styleId="10">
    <w:name w:val="Normal Indent"/>
    <w:basedOn w:val="1"/>
    <w:link w:val="155"/>
    <w:unhideWhenUsed/>
    <w:qFormat/>
    <w:uiPriority w:val="0"/>
    <w:pPr>
      <w:spacing w:line="60" w:lineRule="auto"/>
      <w:ind w:firstLine="420" w:firstLineChars="200"/>
    </w:pPr>
    <w:rPr>
      <w:rFonts w:ascii="Times New Roman" w:hAnsi="Times New Roman" w:eastAsia="宋体" w:cs="Times New Roman"/>
      <w:szCs w:val="24"/>
    </w:rPr>
  </w:style>
  <w:style w:type="paragraph" w:styleId="13">
    <w:name w:val="toc 7"/>
    <w:basedOn w:val="1"/>
    <w:next w:val="1"/>
    <w:qFormat/>
    <w:uiPriority w:val="0"/>
    <w:pPr>
      <w:ind w:left="1260"/>
      <w:jc w:val="left"/>
    </w:pPr>
    <w:rPr>
      <w:rFonts w:ascii="Times New Roman" w:hAnsi="Times New Roman" w:eastAsia="宋体" w:cs="Times New Roman"/>
      <w:sz w:val="18"/>
      <w:szCs w:val="18"/>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rFonts w:ascii="Times New Roman" w:hAnsi="Times New Roman" w:eastAsia="宋体" w:cs="Times New Roman"/>
      <w:szCs w:val="20"/>
    </w:rPr>
  </w:style>
  <w:style w:type="paragraph" w:styleId="16">
    <w:name w:val="Document Map"/>
    <w:basedOn w:val="1"/>
    <w:link w:val="146"/>
    <w:qFormat/>
    <w:uiPriority w:val="0"/>
    <w:pPr>
      <w:shd w:val="clear" w:color="auto" w:fill="000080"/>
    </w:pPr>
    <w:rPr>
      <w:rFonts w:ascii="Times New Roman" w:hAnsi="Times New Roman" w:eastAsia="宋体" w:cs="Times New Roman"/>
      <w:szCs w:val="24"/>
    </w:rPr>
  </w:style>
  <w:style w:type="paragraph" w:styleId="17">
    <w:name w:val="annotation text"/>
    <w:basedOn w:val="1"/>
    <w:link w:val="116"/>
    <w:unhideWhenUsed/>
    <w:qFormat/>
    <w:uiPriority w:val="0"/>
    <w:pPr>
      <w:jc w:val="left"/>
    </w:pPr>
    <w:rPr>
      <w:rFonts w:ascii="Times New Roman" w:hAnsi="Times New Roman" w:eastAsia="宋体" w:cs="Times New Roman"/>
      <w:szCs w:val="24"/>
    </w:rPr>
  </w:style>
  <w:style w:type="paragraph" w:styleId="18">
    <w:name w:val="Body Text 3"/>
    <w:basedOn w:val="1"/>
    <w:link w:val="147"/>
    <w:qFormat/>
    <w:uiPriority w:val="0"/>
    <w:pPr>
      <w:spacing w:line="400" w:lineRule="atLeast"/>
    </w:pPr>
    <w:rPr>
      <w:rFonts w:ascii="宋体" w:hAnsi="宋体" w:eastAsia="宋体" w:cs="Times New Roman"/>
      <w:color w:val="800080"/>
      <w:sz w:val="24"/>
      <w:szCs w:val="24"/>
    </w:rPr>
  </w:style>
  <w:style w:type="paragraph" w:styleId="19">
    <w:name w:val="Body Text"/>
    <w:basedOn w:val="1"/>
    <w:next w:val="1"/>
    <w:link w:val="121"/>
    <w:unhideWhenUsed/>
    <w:qFormat/>
    <w:uiPriority w:val="0"/>
    <w:pPr>
      <w:spacing w:after="120"/>
    </w:pPr>
  </w:style>
  <w:style w:type="paragraph" w:styleId="20">
    <w:name w:val="Body Text Indent"/>
    <w:basedOn w:val="1"/>
    <w:next w:val="21"/>
    <w:link w:val="118"/>
    <w:unhideWhenUsed/>
    <w:qFormat/>
    <w:uiPriority w:val="0"/>
    <w:pPr>
      <w:spacing w:after="120"/>
      <w:ind w:left="420" w:leftChars="200"/>
    </w:p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Times New Roman" w:hAnsi="Times New Roman" w:eastAsia="宋体" w:cs="Times New Roman"/>
      <w:szCs w:val="24"/>
    </w:rPr>
  </w:style>
  <w:style w:type="paragraph" w:styleId="23">
    <w:name w:val="Block Text"/>
    <w:basedOn w:val="1"/>
    <w:qFormat/>
    <w:uiPriority w:val="0"/>
    <w:pPr>
      <w:widowControl/>
      <w:autoSpaceDE w:val="0"/>
      <w:autoSpaceDN w:val="0"/>
      <w:adjustRightInd w:val="0"/>
      <w:spacing w:line="315" w:lineRule="atLeast"/>
      <w:ind w:left="-540" w:right="893"/>
      <w:jc w:val="left"/>
      <w:textAlignment w:val="bottom"/>
    </w:pPr>
    <w:rPr>
      <w:rFonts w:ascii="宋体" w:hAnsi="Times New Roman" w:eastAsia="宋体" w:cs="Times New Roman"/>
      <w:kern w:val="0"/>
      <w:sz w:val="28"/>
      <w:szCs w:val="20"/>
    </w:rPr>
  </w:style>
  <w:style w:type="paragraph" w:styleId="24">
    <w:name w:val="toc 5"/>
    <w:basedOn w:val="1"/>
    <w:next w:val="1"/>
    <w:qFormat/>
    <w:uiPriority w:val="0"/>
    <w:pPr>
      <w:ind w:left="840"/>
      <w:jc w:val="left"/>
    </w:pPr>
    <w:rPr>
      <w:rFonts w:ascii="Times New Roman" w:hAnsi="Times New Roman" w:eastAsia="宋体" w:cs="Times New Roman"/>
      <w:sz w:val="18"/>
      <w:szCs w:val="18"/>
    </w:rPr>
  </w:style>
  <w:style w:type="paragraph" w:styleId="25">
    <w:name w:val="toc 3"/>
    <w:basedOn w:val="1"/>
    <w:next w:val="1"/>
    <w:qFormat/>
    <w:uiPriority w:val="0"/>
    <w:pPr>
      <w:ind w:left="420"/>
      <w:jc w:val="left"/>
    </w:pPr>
    <w:rPr>
      <w:rFonts w:ascii="Times New Roman" w:hAnsi="Times New Roman" w:eastAsia="宋体" w:cs="Times New Roman"/>
      <w:i/>
      <w:iCs/>
      <w:sz w:val="20"/>
      <w:szCs w:val="20"/>
    </w:rPr>
  </w:style>
  <w:style w:type="paragraph" w:styleId="26">
    <w:name w:val="Plain Text"/>
    <w:basedOn w:val="1"/>
    <w:link w:val="90"/>
    <w:qFormat/>
    <w:uiPriority w:val="0"/>
    <w:rPr>
      <w:rFonts w:ascii="宋体" w:hAnsi="Courier New" w:eastAsia="宋体" w:cs="Times New Roman"/>
      <w:kern w:val="0"/>
      <w:sz w:val="20"/>
      <w:szCs w:val="21"/>
    </w:rPr>
  </w:style>
  <w:style w:type="paragraph" w:styleId="27">
    <w:name w:val="toc 8"/>
    <w:basedOn w:val="1"/>
    <w:next w:val="1"/>
    <w:qFormat/>
    <w:uiPriority w:val="0"/>
    <w:pPr>
      <w:ind w:left="1470"/>
      <w:jc w:val="left"/>
    </w:pPr>
    <w:rPr>
      <w:rFonts w:ascii="Times New Roman" w:hAnsi="Times New Roman" w:eastAsia="宋体" w:cs="Times New Roman"/>
      <w:sz w:val="18"/>
      <w:szCs w:val="18"/>
    </w:rPr>
  </w:style>
  <w:style w:type="paragraph" w:styleId="28">
    <w:name w:val="Date"/>
    <w:basedOn w:val="1"/>
    <w:next w:val="1"/>
    <w:link w:val="148"/>
    <w:qFormat/>
    <w:uiPriority w:val="0"/>
    <w:rPr>
      <w:rFonts w:ascii="宋体" w:hAnsi="Times New Roman" w:eastAsia="宋体" w:cs="Times New Roman"/>
      <w:kern w:val="0"/>
      <w:sz w:val="24"/>
      <w:szCs w:val="20"/>
    </w:rPr>
  </w:style>
  <w:style w:type="paragraph" w:styleId="29">
    <w:name w:val="Body Text Indent 2"/>
    <w:basedOn w:val="1"/>
    <w:link w:val="149"/>
    <w:qFormat/>
    <w:uiPriority w:val="0"/>
    <w:pPr>
      <w:widowControl/>
      <w:spacing w:line="360" w:lineRule="auto"/>
      <w:ind w:left="784"/>
      <w:jc w:val="left"/>
    </w:pPr>
    <w:rPr>
      <w:rFonts w:ascii="Times New Roman" w:hAnsi="Times New Roman" w:eastAsia="宋体" w:cs="Times New Roman"/>
      <w:kern w:val="0"/>
      <w:szCs w:val="20"/>
    </w:rPr>
  </w:style>
  <w:style w:type="paragraph" w:styleId="30">
    <w:name w:val="Balloon Text"/>
    <w:basedOn w:val="1"/>
    <w:link w:val="62"/>
    <w:unhideWhenUsed/>
    <w:qFormat/>
    <w:uiPriority w:val="0"/>
    <w:rPr>
      <w:sz w:val="18"/>
      <w:szCs w:val="18"/>
    </w:rPr>
  </w:style>
  <w:style w:type="paragraph" w:styleId="31">
    <w:name w:val="footer"/>
    <w:basedOn w:val="1"/>
    <w:link w:val="86"/>
    <w:unhideWhenUsed/>
    <w:qFormat/>
    <w:uiPriority w:val="99"/>
    <w:pPr>
      <w:tabs>
        <w:tab w:val="center" w:pos="4153"/>
        <w:tab w:val="right" w:pos="8306"/>
      </w:tabs>
      <w:snapToGrid w:val="0"/>
      <w:jc w:val="left"/>
    </w:pPr>
    <w:rPr>
      <w:sz w:val="18"/>
      <w:szCs w:val="18"/>
    </w:rPr>
  </w:style>
  <w:style w:type="paragraph" w:styleId="32">
    <w:name w:val="header"/>
    <w:basedOn w:val="1"/>
    <w:link w:val="131"/>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pPr>
      <w:spacing w:line="400" w:lineRule="exact"/>
      <w:jc w:val="center"/>
    </w:pPr>
    <w:rPr>
      <w:rFonts w:hint="eastAsia" w:ascii="宋体" w:hAnsi="宋体" w:eastAsia="宋体" w:cs="Times New Roman"/>
      <w:b/>
      <w:bCs/>
    </w:rPr>
  </w:style>
  <w:style w:type="paragraph" w:styleId="34">
    <w:name w:val="toc 4"/>
    <w:basedOn w:val="1"/>
    <w:next w:val="1"/>
    <w:qFormat/>
    <w:uiPriority w:val="0"/>
    <w:pPr>
      <w:ind w:left="630"/>
      <w:jc w:val="left"/>
    </w:pPr>
    <w:rPr>
      <w:rFonts w:ascii="Times New Roman" w:hAnsi="Times New Roman" w:eastAsia="宋体" w:cs="Times New Roman"/>
      <w:sz w:val="18"/>
      <w:szCs w:val="18"/>
    </w:rPr>
  </w:style>
  <w:style w:type="paragraph" w:styleId="35">
    <w:name w:val="index heading"/>
    <w:basedOn w:val="1"/>
    <w:next w:val="36"/>
    <w:qFormat/>
    <w:uiPriority w:val="0"/>
    <w:rPr>
      <w:rFonts w:ascii="Times New Roman" w:hAnsi="Times New Roman" w:eastAsia="宋体" w:cs="Times New Roman"/>
      <w:szCs w:val="20"/>
    </w:rPr>
  </w:style>
  <w:style w:type="paragraph" w:styleId="36">
    <w:name w:val="index 1"/>
    <w:basedOn w:val="1"/>
    <w:next w:val="1"/>
    <w:unhideWhenUsed/>
    <w:qFormat/>
    <w:uiPriority w:val="0"/>
  </w:style>
  <w:style w:type="paragraph" w:styleId="37">
    <w:name w:val="footnote text"/>
    <w:basedOn w:val="1"/>
    <w:link w:val="103"/>
    <w:semiHidden/>
    <w:unhideWhenUsed/>
    <w:qFormat/>
    <w:uiPriority w:val="99"/>
    <w:pPr>
      <w:snapToGrid w:val="0"/>
      <w:jc w:val="left"/>
    </w:pPr>
    <w:rPr>
      <w:sz w:val="18"/>
    </w:rPr>
  </w:style>
  <w:style w:type="paragraph" w:styleId="38">
    <w:name w:val="toc 6"/>
    <w:basedOn w:val="1"/>
    <w:next w:val="1"/>
    <w:qFormat/>
    <w:uiPriority w:val="0"/>
    <w:pPr>
      <w:ind w:left="1050"/>
      <w:jc w:val="left"/>
    </w:pPr>
    <w:rPr>
      <w:rFonts w:ascii="Times New Roman" w:hAnsi="Times New Roman" w:eastAsia="宋体" w:cs="Times New Roman"/>
      <w:sz w:val="18"/>
      <w:szCs w:val="18"/>
    </w:rPr>
  </w:style>
  <w:style w:type="paragraph" w:styleId="39">
    <w:name w:val="Body Text Indent 3"/>
    <w:basedOn w:val="1"/>
    <w:link w:val="123"/>
    <w:unhideWhenUsed/>
    <w:qFormat/>
    <w:uiPriority w:val="0"/>
    <w:pPr>
      <w:spacing w:after="120"/>
      <w:ind w:left="420" w:leftChars="200"/>
    </w:pPr>
    <w:rPr>
      <w:rFonts w:hint="eastAsia" w:ascii="等线" w:hAnsi="等线" w:eastAsia="等线" w:cs="Times New Roman"/>
      <w:sz w:val="16"/>
      <w:szCs w:val="16"/>
    </w:rPr>
  </w:style>
  <w:style w:type="paragraph" w:styleId="40">
    <w:name w:val="toc 2"/>
    <w:basedOn w:val="1"/>
    <w:next w:val="1"/>
    <w:unhideWhenUsed/>
    <w:qFormat/>
    <w:uiPriority w:val="0"/>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41">
    <w:name w:val="toc 9"/>
    <w:basedOn w:val="1"/>
    <w:next w:val="1"/>
    <w:qFormat/>
    <w:uiPriority w:val="0"/>
    <w:pPr>
      <w:ind w:left="1680"/>
      <w:jc w:val="left"/>
    </w:pPr>
    <w:rPr>
      <w:rFonts w:ascii="Times New Roman" w:hAnsi="Times New Roman" w:eastAsia="宋体" w:cs="Times New Roman"/>
      <w:sz w:val="18"/>
      <w:szCs w:val="18"/>
    </w:rPr>
  </w:style>
  <w:style w:type="paragraph" w:styleId="42">
    <w:name w:val="Body Text 2"/>
    <w:basedOn w:val="1"/>
    <w:link w:val="150"/>
    <w:qFormat/>
    <w:uiPriority w:val="0"/>
    <w:pPr>
      <w:tabs>
        <w:tab w:val="left" w:pos="0"/>
      </w:tabs>
      <w:spacing w:line="400" w:lineRule="atLeast"/>
    </w:pPr>
    <w:rPr>
      <w:rFonts w:ascii="Arial" w:hAnsi="Arial" w:eastAsia="宋体" w:cs="Times New Roman"/>
      <w:color w:val="000000"/>
      <w:szCs w:val="24"/>
    </w:rPr>
  </w:style>
  <w:style w:type="paragraph" w:styleId="43">
    <w:name w:val="HTML Preformatted"/>
    <w:basedOn w:val="1"/>
    <w:link w:val="1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44">
    <w:name w:val="Normal (Web)"/>
    <w:basedOn w:val="1"/>
    <w:link w:val="117"/>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5">
    <w:name w:val="Title"/>
    <w:basedOn w:val="1"/>
    <w:next w:val="1"/>
    <w:link w:val="102"/>
    <w:qFormat/>
    <w:uiPriority w:val="0"/>
    <w:pPr>
      <w:spacing w:before="240" w:after="60"/>
      <w:jc w:val="center"/>
      <w:outlineLvl w:val="0"/>
    </w:pPr>
    <w:rPr>
      <w:rFonts w:eastAsia="宋体" w:asciiTheme="majorHAnsi" w:hAnsiTheme="majorHAnsi" w:cstheme="majorBidi"/>
      <w:b/>
      <w:bCs/>
      <w:sz w:val="32"/>
      <w:szCs w:val="32"/>
    </w:rPr>
  </w:style>
  <w:style w:type="paragraph" w:styleId="46">
    <w:name w:val="annotation subject"/>
    <w:basedOn w:val="17"/>
    <w:next w:val="17"/>
    <w:link w:val="63"/>
    <w:unhideWhenUsed/>
    <w:qFormat/>
    <w:uiPriority w:val="0"/>
    <w:rPr>
      <w:b/>
      <w:bCs/>
    </w:rPr>
  </w:style>
  <w:style w:type="paragraph" w:styleId="47">
    <w:name w:val="Body Text First Indent"/>
    <w:basedOn w:val="19"/>
    <w:link w:val="124"/>
    <w:unhideWhenUsed/>
    <w:qFormat/>
    <w:uiPriority w:val="0"/>
    <w:pPr>
      <w:ind w:firstLine="420" w:firstLineChars="100"/>
    </w:pPr>
    <w:rPr>
      <w:rFonts w:ascii="Calibri" w:hAnsi="Calibri" w:eastAsia="宋体" w:cs="Times New Roman"/>
    </w:rPr>
  </w:style>
  <w:style w:type="paragraph" w:styleId="48">
    <w:name w:val="Body Text First Indent 2"/>
    <w:basedOn w:val="20"/>
    <w:next w:val="1"/>
    <w:link w:val="77"/>
    <w:semiHidden/>
    <w:unhideWhenUsed/>
    <w:qFormat/>
    <w:uiPriority w:val="99"/>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basedOn w:val="51"/>
    <w:unhideWhenUsed/>
    <w:qFormat/>
    <w:uiPriority w:val="0"/>
    <w:rPr>
      <w:sz w:val="21"/>
      <w:szCs w:val="21"/>
    </w:rPr>
  </w:style>
  <w:style w:type="character" w:styleId="57">
    <w:name w:val="footnote reference"/>
    <w:basedOn w:val="51"/>
    <w:semiHidden/>
    <w:unhideWhenUsed/>
    <w:uiPriority w:val="99"/>
    <w:rPr>
      <w:vertAlign w:val="superscript"/>
    </w:rPr>
  </w:style>
  <w:style w:type="character" w:customStyle="1" w:styleId="58">
    <w:name w:val="页眉 字符"/>
    <w:basedOn w:val="51"/>
    <w:qFormat/>
    <w:uiPriority w:val="0"/>
    <w:rPr>
      <w:sz w:val="18"/>
      <w:szCs w:val="18"/>
    </w:rPr>
  </w:style>
  <w:style w:type="character" w:customStyle="1" w:styleId="59">
    <w:name w:val="页脚 字符"/>
    <w:basedOn w:val="51"/>
    <w:qFormat/>
    <w:uiPriority w:val="99"/>
    <w:rPr>
      <w:sz w:val="18"/>
      <w:szCs w:val="18"/>
    </w:rPr>
  </w:style>
  <w:style w:type="paragraph" w:styleId="60">
    <w:name w:val="List Paragraph"/>
    <w:basedOn w:val="1"/>
    <w:link w:val="68"/>
    <w:qFormat/>
    <w:uiPriority w:val="99"/>
    <w:pPr>
      <w:ind w:firstLine="420" w:firstLineChars="200"/>
    </w:pPr>
  </w:style>
  <w:style w:type="character" w:customStyle="1" w:styleId="61">
    <w:name w:val="批注文字 字符"/>
    <w:basedOn w:val="51"/>
    <w:qFormat/>
    <w:uiPriority w:val="0"/>
  </w:style>
  <w:style w:type="character" w:customStyle="1" w:styleId="62">
    <w:name w:val="批注框文本 Char"/>
    <w:basedOn w:val="51"/>
    <w:link w:val="30"/>
    <w:semiHidden/>
    <w:qFormat/>
    <w:uiPriority w:val="99"/>
    <w:rPr>
      <w:sz w:val="18"/>
      <w:szCs w:val="18"/>
    </w:rPr>
  </w:style>
  <w:style w:type="character" w:customStyle="1" w:styleId="63">
    <w:name w:val="批注主题 Char"/>
    <w:basedOn w:val="61"/>
    <w:link w:val="46"/>
    <w:semiHidden/>
    <w:qFormat/>
    <w:uiPriority w:val="99"/>
    <w:rPr>
      <w:b/>
      <w:bCs/>
    </w:rPr>
  </w:style>
  <w:style w:type="character" w:customStyle="1" w:styleId="64">
    <w:name w:val="标题 Char"/>
    <w:basedOn w:val="51"/>
    <w:qFormat/>
    <w:uiPriority w:val="0"/>
    <w:rPr>
      <w:rFonts w:eastAsia="宋体" w:asciiTheme="majorHAnsi" w:hAnsiTheme="majorHAnsi" w:cstheme="majorBidi"/>
      <w:b/>
      <w:bCs/>
      <w:sz w:val="32"/>
      <w:szCs w:val="32"/>
    </w:rPr>
  </w:style>
  <w:style w:type="character" w:customStyle="1" w:styleId="65">
    <w:name w:val="标题 2 字符"/>
    <w:basedOn w:val="51"/>
    <w:qFormat/>
    <w:uiPriority w:val="0"/>
    <w:rPr>
      <w:rFonts w:ascii="Arial" w:hAnsi="Arial" w:eastAsia="黑体" w:cs="Times New Roman"/>
      <w:b/>
      <w:bCs/>
      <w:sz w:val="32"/>
      <w:szCs w:val="32"/>
    </w:rPr>
  </w:style>
  <w:style w:type="character" w:customStyle="1" w:styleId="66">
    <w:name w:val="纯文本 字符"/>
    <w:basedOn w:val="51"/>
    <w:qFormat/>
    <w:uiPriority w:val="0"/>
    <w:rPr>
      <w:rFonts w:ascii="宋体" w:hAnsi="Courier New" w:eastAsia="宋体" w:cs="Times New Roman"/>
      <w:kern w:val="0"/>
      <w:sz w:val="20"/>
      <w:szCs w:val="21"/>
    </w:rPr>
  </w:style>
  <w:style w:type="paragraph" w:customStyle="1" w:styleId="67">
    <w:name w:val="图"/>
    <w:basedOn w:val="1"/>
    <w:qFormat/>
    <w:uiPriority w:val="0"/>
    <w:pPr>
      <w:keepNext/>
      <w:autoSpaceDE w:val="0"/>
      <w:adjustRightInd w:val="0"/>
      <w:spacing w:line="360" w:lineRule="auto"/>
      <w:jc w:val="center"/>
      <w:textAlignment w:val="center"/>
    </w:pPr>
    <w:rPr>
      <w:rFonts w:ascii="宋体" w:hAnsi="宋体" w:eastAsia="宋体" w:cs="Times New Roman"/>
      <w:snapToGrid w:val="0"/>
      <w:spacing w:val="20"/>
      <w:kern w:val="0"/>
      <w:szCs w:val="21"/>
    </w:rPr>
  </w:style>
  <w:style w:type="character" w:customStyle="1" w:styleId="68">
    <w:name w:val="列出段落 Char3"/>
    <w:link w:val="60"/>
    <w:qFormat/>
    <w:uiPriority w:val="99"/>
  </w:style>
  <w:style w:type="paragraph" w:customStyle="1" w:styleId="6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70">
    <w:name w:val="列出段落1"/>
    <w:basedOn w:val="1"/>
    <w:link w:val="71"/>
    <w:qFormat/>
    <w:uiPriority w:val="34"/>
    <w:pPr>
      <w:ind w:firstLine="420" w:firstLineChars="200"/>
    </w:pPr>
    <w:rPr>
      <w:rFonts w:ascii="Times New Roman" w:hAnsi="Times New Roman" w:eastAsia="宋体" w:cs="Times New Roman"/>
      <w:szCs w:val="21"/>
    </w:rPr>
  </w:style>
  <w:style w:type="character" w:customStyle="1" w:styleId="71">
    <w:name w:val="List Paragraph Char"/>
    <w:link w:val="70"/>
    <w:qFormat/>
    <w:locked/>
    <w:uiPriority w:val="99"/>
    <w:rPr>
      <w:rFonts w:ascii="Times New Roman" w:hAnsi="Times New Roman" w:eastAsia="宋体" w:cs="Times New Roman"/>
      <w:szCs w:val="21"/>
    </w:rPr>
  </w:style>
  <w:style w:type="paragraph" w:customStyle="1" w:styleId="72">
    <w:name w:val="_Style 121"/>
    <w:basedOn w:val="1"/>
    <w:next w:val="60"/>
    <w:qFormat/>
    <w:uiPriority w:val="34"/>
    <w:pPr>
      <w:ind w:firstLine="420" w:firstLineChars="200"/>
    </w:pPr>
    <w:rPr>
      <w:rFonts w:ascii="Calibri" w:hAnsi="Calibri" w:eastAsia="宋体" w:cs="Times New Roman"/>
    </w:rPr>
  </w:style>
  <w:style w:type="paragraph" w:customStyle="1" w:styleId="7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5">
    <w:name w:val="纯文本 Char1"/>
    <w:qFormat/>
    <w:uiPriority w:val="0"/>
    <w:rPr>
      <w:rFonts w:ascii="宋体" w:hAnsi="Courier New" w:eastAsia="宋体" w:cs="Times New Roman"/>
      <w:kern w:val="0"/>
      <w:sz w:val="20"/>
      <w:szCs w:val="21"/>
    </w:rPr>
  </w:style>
  <w:style w:type="character" w:customStyle="1" w:styleId="76">
    <w:name w:val="正文文本缩进 字符"/>
    <w:basedOn w:val="51"/>
    <w:qFormat/>
    <w:uiPriority w:val="0"/>
    <w:rPr>
      <w:kern w:val="2"/>
      <w:sz w:val="21"/>
      <w:szCs w:val="24"/>
    </w:rPr>
  </w:style>
  <w:style w:type="character" w:customStyle="1" w:styleId="77">
    <w:name w:val="正文首行缩进 2 Char"/>
    <w:basedOn w:val="76"/>
    <w:link w:val="48"/>
    <w:qFormat/>
    <w:uiPriority w:val="0"/>
    <w:rPr>
      <w:kern w:val="2"/>
      <w:sz w:val="21"/>
      <w:szCs w:val="24"/>
    </w:rPr>
  </w:style>
  <w:style w:type="paragraph" w:customStyle="1" w:styleId="78">
    <w:name w:val="msolistparagraph"/>
    <w:basedOn w:val="1"/>
    <w:qFormat/>
    <w:uiPriority w:val="0"/>
    <w:pPr>
      <w:ind w:firstLine="420" w:firstLineChars="200"/>
    </w:pPr>
    <w:rPr>
      <w:rFonts w:ascii="Times New Roman" w:hAnsi="Times New Roman" w:eastAsia="宋体" w:cs="Times New Roman"/>
    </w:rPr>
  </w:style>
  <w:style w:type="character" w:customStyle="1" w:styleId="79">
    <w:name w:val="列出段落 Char"/>
    <w:basedOn w:val="51"/>
    <w:qFormat/>
    <w:uiPriority w:val="34"/>
    <w:rPr>
      <w:kern w:val="2"/>
      <w:sz w:val="21"/>
      <w:szCs w:val="22"/>
    </w:rPr>
  </w:style>
  <w:style w:type="character" w:customStyle="1" w:styleId="80">
    <w:name w:val="正文文本 字符"/>
    <w:basedOn w:val="51"/>
    <w:qFormat/>
    <w:uiPriority w:val="0"/>
    <w:rPr>
      <w:rFonts w:hint="default" w:ascii="Calibri" w:hAnsi="Calibri" w:eastAsia="宋体" w:cs="Times New Roman"/>
      <w:kern w:val="2"/>
      <w:sz w:val="21"/>
      <w:szCs w:val="22"/>
    </w:rPr>
  </w:style>
  <w:style w:type="character" w:customStyle="1" w:styleId="81">
    <w:name w:val="纯文本 Char"/>
    <w:basedOn w:val="51"/>
    <w:qFormat/>
    <w:uiPriority w:val="99"/>
    <w:rPr>
      <w:rFonts w:hint="eastAsia" w:ascii="宋体" w:hAnsi="Courier New" w:eastAsia="宋体" w:cs="宋体"/>
      <w:szCs w:val="21"/>
    </w:rPr>
  </w:style>
  <w:style w:type="paragraph" w:customStyle="1" w:styleId="82">
    <w:name w:val="_Style 116"/>
    <w:basedOn w:val="1"/>
    <w:next w:val="60"/>
    <w:qFormat/>
    <w:uiPriority w:val="99"/>
    <w:pPr>
      <w:ind w:firstLine="420" w:firstLineChars="200"/>
    </w:pPr>
    <w:rPr>
      <w:kern w:val="0"/>
      <w:sz w:val="20"/>
      <w:szCs w:val="20"/>
    </w:rPr>
  </w:style>
  <w:style w:type="character" w:customStyle="1" w:styleId="83">
    <w:name w:val="普通(网站) 字符"/>
    <w:basedOn w:val="51"/>
    <w:qFormat/>
    <w:uiPriority w:val="0"/>
    <w:rPr>
      <w:rFonts w:hint="eastAsia" w:ascii="宋体" w:hAnsi="宋体" w:eastAsia="宋体" w:cs="宋体"/>
      <w:sz w:val="24"/>
      <w:szCs w:val="24"/>
    </w:rPr>
  </w:style>
  <w:style w:type="character" w:customStyle="1" w:styleId="84">
    <w:name w:val="批注文字 Char"/>
    <w:basedOn w:val="51"/>
    <w:qFormat/>
    <w:uiPriority w:val="99"/>
    <w:rPr>
      <w:kern w:val="2"/>
      <w:sz w:val="21"/>
      <w:szCs w:val="24"/>
    </w:rPr>
  </w:style>
  <w:style w:type="character" w:customStyle="1" w:styleId="85">
    <w:name w:val="标题 1 Char"/>
    <w:basedOn w:val="51"/>
    <w:link w:val="3"/>
    <w:qFormat/>
    <w:uiPriority w:val="0"/>
    <w:rPr>
      <w:b/>
      <w:bCs/>
      <w:kern w:val="44"/>
      <w:sz w:val="44"/>
      <w:szCs w:val="44"/>
    </w:rPr>
  </w:style>
  <w:style w:type="character" w:customStyle="1" w:styleId="86">
    <w:name w:val="页脚 Char"/>
    <w:basedOn w:val="51"/>
    <w:link w:val="31"/>
    <w:qFormat/>
    <w:uiPriority w:val="0"/>
    <w:rPr>
      <w:kern w:val="2"/>
      <w:sz w:val="18"/>
      <w:szCs w:val="18"/>
    </w:rPr>
  </w:style>
  <w:style w:type="character" w:customStyle="1" w:styleId="87">
    <w:name w:val="页眉 字符1"/>
    <w:basedOn w:val="51"/>
    <w:qFormat/>
    <w:uiPriority w:val="0"/>
    <w:rPr>
      <w:kern w:val="2"/>
      <w:sz w:val="18"/>
      <w:szCs w:val="18"/>
    </w:rPr>
  </w:style>
  <w:style w:type="character" w:customStyle="1" w:styleId="88">
    <w:name w:val="标题 2 字符1"/>
    <w:basedOn w:val="51"/>
    <w:qFormat/>
    <w:uiPriority w:val="0"/>
    <w:rPr>
      <w:rFonts w:hint="default" w:ascii="Cambria" w:hAnsi="Cambria" w:eastAsia="Cambria" w:cs="Cambria"/>
      <w:b/>
      <w:bCs/>
      <w:kern w:val="2"/>
      <w:sz w:val="32"/>
      <w:szCs w:val="32"/>
    </w:rPr>
  </w:style>
  <w:style w:type="character" w:customStyle="1" w:styleId="89">
    <w:name w:val="列出段落 Char1"/>
    <w:basedOn w:val="51"/>
    <w:qFormat/>
    <w:uiPriority w:val="0"/>
    <w:rPr>
      <w:rFonts w:hint="default" w:ascii="Calibri" w:hAnsi="Calibri" w:cs="Calibri"/>
      <w:kern w:val="2"/>
      <w:sz w:val="21"/>
      <w:szCs w:val="22"/>
    </w:rPr>
  </w:style>
  <w:style w:type="character" w:customStyle="1" w:styleId="90">
    <w:name w:val="纯文本 Char2"/>
    <w:basedOn w:val="51"/>
    <w:link w:val="26"/>
    <w:qFormat/>
    <w:uiPriority w:val="0"/>
    <w:rPr>
      <w:rFonts w:hint="eastAsia" w:ascii="宋体" w:hAnsi="Courier New" w:eastAsia="宋体" w:cs="宋体"/>
      <w:szCs w:val="21"/>
      <w:lang w:val="zh-CN"/>
    </w:rPr>
  </w:style>
  <w:style w:type="character" w:customStyle="1" w:styleId="91">
    <w:name w:val="标题 3 Char"/>
    <w:basedOn w:val="51"/>
    <w:link w:val="5"/>
    <w:qFormat/>
    <w:uiPriority w:val="0"/>
    <w:rPr>
      <w:b/>
      <w:bCs/>
      <w:kern w:val="2"/>
      <w:sz w:val="32"/>
      <w:szCs w:val="32"/>
    </w:rPr>
  </w:style>
  <w:style w:type="paragraph" w:customStyle="1" w:styleId="92">
    <w:name w:val="列表段落2"/>
    <w:basedOn w:val="1"/>
    <w:qFormat/>
    <w:uiPriority w:val="0"/>
    <w:pPr>
      <w:ind w:firstLine="420" w:firstLineChars="200"/>
    </w:pPr>
    <w:rPr>
      <w:rFonts w:ascii="Times New Roman" w:hAnsi="Times New Roman" w:eastAsia="宋体" w:cs="Times New Roman"/>
      <w:szCs w:val="24"/>
    </w:rPr>
  </w:style>
  <w:style w:type="character" w:customStyle="1" w:styleId="93">
    <w:name w:val="正文文本首行缩进 字符"/>
    <w:qFormat/>
    <w:uiPriority w:val="0"/>
    <w:rPr>
      <w:rFonts w:hint="default" w:ascii="Calibri" w:hAnsi="Calibri" w:eastAsia="宋体" w:cs="Times New Roman"/>
      <w:kern w:val="2"/>
      <w:sz w:val="21"/>
      <w:szCs w:val="22"/>
    </w:rPr>
  </w:style>
  <w:style w:type="paragraph" w:customStyle="1" w:styleId="94">
    <w:name w:val="p0"/>
    <w:basedOn w:val="1"/>
    <w:qFormat/>
    <w:uiPriority w:val="0"/>
    <w:pPr>
      <w:widowControl/>
    </w:pPr>
    <w:rPr>
      <w:rFonts w:ascii="Calibri" w:hAnsi="Calibri" w:eastAsia="宋体" w:cs="Times New Roman"/>
      <w:kern w:val="0"/>
      <w:szCs w:val="21"/>
    </w:rPr>
  </w:style>
  <w:style w:type="character" w:customStyle="1" w:styleId="95">
    <w:name w:val="font51"/>
    <w:basedOn w:val="51"/>
    <w:qFormat/>
    <w:uiPriority w:val="0"/>
    <w:rPr>
      <w:rFonts w:hint="eastAsia" w:ascii="宋体" w:hAnsi="宋体" w:eastAsia="宋体" w:cs="宋体"/>
      <w:color w:val="000000"/>
      <w:sz w:val="21"/>
      <w:szCs w:val="21"/>
      <w:u w:val="none"/>
    </w:rPr>
  </w:style>
  <w:style w:type="character" w:customStyle="1" w:styleId="96">
    <w:name w:val="列表段落 字符2"/>
    <w:basedOn w:val="51"/>
    <w:qFormat/>
    <w:uiPriority w:val="0"/>
  </w:style>
  <w:style w:type="character" w:customStyle="1" w:styleId="97">
    <w:name w:val="NormalCharacter"/>
    <w:basedOn w:val="51"/>
    <w:qFormat/>
    <w:uiPriority w:val="0"/>
  </w:style>
  <w:style w:type="character" w:customStyle="1" w:styleId="98">
    <w:name w:val="font31"/>
    <w:basedOn w:val="51"/>
    <w:qFormat/>
    <w:uiPriority w:val="0"/>
    <w:rPr>
      <w:rFonts w:hint="default" w:ascii="Times New Roman" w:hAnsi="Times New Roman" w:cs="Times New Roman"/>
      <w:color w:val="000000"/>
      <w:sz w:val="21"/>
      <w:szCs w:val="21"/>
      <w:u w:val="none"/>
    </w:rPr>
  </w:style>
  <w:style w:type="character" w:customStyle="1" w:styleId="99">
    <w:name w:val="font21"/>
    <w:basedOn w:val="51"/>
    <w:qFormat/>
    <w:uiPriority w:val="0"/>
    <w:rPr>
      <w:rFonts w:hint="eastAsia" w:ascii="宋体" w:hAnsi="宋体" w:eastAsia="宋体" w:cs="宋体"/>
      <w:color w:val="000000"/>
      <w:sz w:val="24"/>
      <w:szCs w:val="24"/>
      <w:u w:val="none"/>
    </w:rPr>
  </w:style>
  <w:style w:type="character" w:customStyle="1" w:styleId="100">
    <w:name w:val="font11"/>
    <w:basedOn w:val="51"/>
    <w:qFormat/>
    <w:uiPriority w:val="0"/>
    <w:rPr>
      <w:rFonts w:hint="eastAsia" w:ascii="宋体" w:hAnsi="宋体" w:eastAsia="宋体" w:cs="宋体"/>
      <w:color w:val="000000"/>
      <w:sz w:val="21"/>
      <w:szCs w:val="21"/>
      <w:u w:val="none"/>
    </w:rPr>
  </w:style>
  <w:style w:type="character" w:customStyle="1" w:styleId="101">
    <w:name w:val="纯文本 字符1"/>
    <w:basedOn w:val="51"/>
    <w:qFormat/>
    <w:uiPriority w:val="0"/>
    <w:rPr>
      <w:rFonts w:hint="eastAsia" w:ascii="宋体" w:hAnsi="Courier New" w:eastAsia="宋体" w:cs="宋体"/>
      <w:szCs w:val="21"/>
    </w:rPr>
  </w:style>
  <w:style w:type="character" w:customStyle="1" w:styleId="102">
    <w:name w:val="标题 Char1"/>
    <w:basedOn w:val="51"/>
    <w:link w:val="45"/>
    <w:qFormat/>
    <w:uiPriority w:val="0"/>
    <w:rPr>
      <w:rFonts w:hint="default" w:ascii="Cambria" w:hAnsi="Cambria" w:eastAsia="Cambria" w:cs="Times New Roman"/>
      <w:b/>
      <w:bCs/>
      <w:kern w:val="2"/>
      <w:sz w:val="32"/>
      <w:szCs w:val="32"/>
    </w:rPr>
  </w:style>
  <w:style w:type="character" w:customStyle="1" w:styleId="103">
    <w:name w:val="脚注文本 Char"/>
    <w:basedOn w:val="51"/>
    <w:link w:val="37"/>
    <w:qFormat/>
    <w:uiPriority w:val="0"/>
    <w:rPr>
      <w:rFonts w:hint="eastAsia" w:ascii="宋体" w:hAnsi="宋体" w:eastAsia="宋体" w:cs="Times New Roman"/>
      <w:kern w:val="2"/>
      <w:sz w:val="24"/>
      <w:szCs w:val="18"/>
    </w:rPr>
  </w:style>
  <w:style w:type="character" w:customStyle="1" w:styleId="104">
    <w:name w:val="脚注文本 Char1"/>
    <w:basedOn w:val="51"/>
    <w:qFormat/>
    <w:uiPriority w:val="0"/>
    <w:rPr>
      <w:rFonts w:hint="default" w:ascii="Calibri" w:hAnsi="Calibri" w:eastAsia="宋体" w:cs="Times New Roman"/>
      <w:kern w:val="2"/>
      <w:sz w:val="18"/>
      <w:szCs w:val="18"/>
    </w:rPr>
  </w:style>
  <w:style w:type="character" w:customStyle="1" w:styleId="105">
    <w:name w:val="列表段落 字符1"/>
    <w:basedOn w:val="51"/>
    <w:qFormat/>
    <w:uiPriority w:val="0"/>
  </w:style>
  <w:style w:type="paragraph" w:customStyle="1" w:styleId="106">
    <w:name w:val="Table Paragraph"/>
    <w:basedOn w:val="1"/>
    <w:qFormat/>
    <w:uiPriority w:val="0"/>
    <w:rPr>
      <w:rFonts w:hint="eastAsia" w:ascii="宋体" w:hAnsi="宋体" w:eastAsia="宋体" w:cs="Times New Roman"/>
      <w:szCs w:val="24"/>
    </w:rPr>
  </w:style>
  <w:style w:type="character" w:customStyle="1" w:styleId="107">
    <w:name w:val="font41"/>
    <w:basedOn w:val="51"/>
    <w:qFormat/>
    <w:uiPriority w:val="0"/>
    <w:rPr>
      <w:rFonts w:hint="eastAsia" w:ascii="宋体" w:hAnsi="宋体" w:eastAsia="宋体" w:cs="宋体"/>
      <w:color w:val="FF0000"/>
      <w:sz w:val="24"/>
      <w:szCs w:val="24"/>
      <w:u w:val="none"/>
    </w:rPr>
  </w:style>
  <w:style w:type="character" w:customStyle="1" w:styleId="108">
    <w:name w:val="font91"/>
    <w:basedOn w:val="51"/>
    <w:qFormat/>
    <w:uiPriority w:val="0"/>
    <w:rPr>
      <w:rFonts w:hint="default" w:ascii="Times New Roman" w:hAnsi="Times New Roman" w:cs="Times New Roman"/>
      <w:color w:val="000000"/>
      <w:sz w:val="21"/>
      <w:szCs w:val="21"/>
      <w:u w:val="none"/>
    </w:rPr>
  </w:style>
  <w:style w:type="paragraph" w:customStyle="1" w:styleId="109">
    <w:name w:val="正文_0_0"/>
    <w:basedOn w:val="1"/>
    <w:qFormat/>
    <w:uiPriority w:val="0"/>
    <w:rPr>
      <w:rFonts w:ascii="Calibri" w:hAnsi="Calibri" w:eastAsia="宋体" w:cs="Times New Roman"/>
    </w:rPr>
  </w:style>
  <w:style w:type="character" w:customStyle="1" w:styleId="110">
    <w:name w:val="批注文字 字符1"/>
    <w:basedOn w:val="51"/>
    <w:qFormat/>
    <w:uiPriority w:val="0"/>
    <w:rPr>
      <w:szCs w:val="24"/>
    </w:rPr>
  </w:style>
  <w:style w:type="character" w:customStyle="1" w:styleId="111">
    <w:name w:val="列表段落 字符"/>
    <w:basedOn w:val="51"/>
    <w:qFormat/>
    <w:uiPriority w:val="0"/>
    <w:rPr>
      <w:rFonts w:hint="default" w:ascii="Calibri" w:hAnsi="Calibri" w:cs="Calibri"/>
      <w:kern w:val="2"/>
      <w:sz w:val="21"/>
      <w:szCs w:val="22"/>
    </w:rPr>
  </w:style>
  <w:style w:type="paragraph" w:customStyle="1" w:styleId="112">
    <w:name w:val="_Style 24"/>
    <w:basedOn w:val="1"/>
    <w:qFormat/>
    <w:uiPriority w:val="0"/>
    <w:pPr>
      <w:ind w:firstLine="420" w:firstLineChars="200"/>
    </w:pPr>
    <w:rPr>
      <w:rFonts w:ascii="Calibri" w:hAnsi="Calibri" w:eastAsia="宋体" w:cs="Times New Roman"/>
    </w:rPr>
  </w:style>
  <w:style w:type="character" w:customStyle="1" w:styleId="113">
    <w:name w:val="列表段落 字符3"/>
    <w:basedOn w:val="51"/>
    <w:qFormat/>
    <w:uiPriority w:val="0"/>
    <w:rPr>
      <w:rFonts w:hint="default" w:ascii="Calibri" w:hAnsi="Calibri" w:eastAsia="宋体" w:cs="Times New Roman"/>
      <w:kern w:val="2"/>
      <w:sz w:val="21"/>
      <w:szCs w:val="22"/>
    </w:rPr>
  </w:style>
  <w:style w:type="character" w:customStyle="1" w:styleId="114">
    <w:name w:val="列出段落 Char2"/>
    <w:basedOn w:val="51"/>
    <w:qFormat/>
    <w:uiPriority w:val="0"/>
    <w:rPr>
      <w:rFonts w:hint="default" w:ascii="Calibri" w:hAnsi="Calibri" w:eastAsia="宋体" w:cs="Times New Roman"/>
      <w:kern w:val="2"/>
      <w:sz w:val="21"/>
      <w:szCs w:val="22"/>
    </w:rPr>
  </w:style>
  <w:style w:type="character" w:customStyle="1" w:styleId="115">
    <w:name w:val="标题 2 Char1"/>
    <w:basedOn w:val="51"/>
    <w:link w:val="4"/>
    <w:qFormat/>
    <w:uiPriority w:val="0"/>
    <w:rPr>
      <w:rFonts w:hint="default" w:ascii="Arial" w:hAnsi="Arial" w:eastAsia="黑体" w:cs="Arial"/>
      <w:b/>
      <w:bCs/>
      <w:kern w:val="2"/>
      <w:sz w:val="32"/>
      <w:szCs w:val="32"/>
    </w:rPr>
  </w:style>
  <w:style w:type="character" w:customStyle="1" w:styleId="116">
    <w:name w:val="批注文字 Char1"/>
    <w:basedOn w:val="51"/>
    <w:link w:val="17"/>
    <w:qFormat/>
    <w:uiPriority w:val="0"/>
    <w:rPr>
      <w:kern w:val="2"/>
      <w:sz w:val="21"/>
      <w:szCs w:val="24"/>
    </w:rPr>
  </w:style>
  <w:style w:type="character" w:customStyle="1" w:styleId="117">
    <w:name w:val="普通(网站) Char"/>
    <w:basedOn w:val="51"/>
    <w:link w:val="44"/>
    <w:qFormat/>
    <w:uiPriority w:val="0"/>
    <w:rPr>
      <w:rFonts w:hint="eastAsia" w:ascii="宋体" w:hAnsi="宋体" w:eastAsia="宋体" w:cs="宋体"/>
      <w:sz w:val="24"/>
      <w:szCs w:val="24"/>
    </w:rPr>
  </w:style>
  <w:style w:type="character" w:customStyle="1" w:styleId="118">
    <w:name w:val="正文文本缩进 Char"/>
    <w:basedOn w:val="51"/>
    <w:link w:val="20"/>
    <w:qFormat/>
    <w:uiPriority w:val="0"/>
    <w:rPr>
      <w:kern w:val="2"/>
      <w:sz w:val="21"/>
      <w:szCs w:val="22"/>
    </w:rPr>
  </w:style>
  <w:style w:type="paragraph" w:customStyle="1" w:styleId="119">
    <w:name w:val="正文文本首行缩进 21"/>
    <w:basedOn w:val="20"/>
    <w:qFormat/>
    <w:uiPriority w:val="0"/>
    <w:pPr>
      <w:ind w:firstLine="420" w:firstLineChars="200"/>
    </w:pPr>
    <w:rPr>
      <w:rFonts w:ascii="Times New Roman" w:hAnsi="Times New Roman" w:eastAsia="宋体" w:cs="Times New Roman"/>
      <w:kern w:val="0"/>
      <w:sz w:val="20"/>
      <w:szCs w:val="20"/>
    </w:rPr>
  </w:style>
  <w:style w:type="paragraph" w:customStyle="1" w:styleId="120">
    <w:name w:val="_Style 5"/>
    <w:basedOn w:val="1"/>
    <w:next w:val="1"/>
    <w:qFormat/>
    <w:uiPriority w:val="0"/>
    <w:pPr>
      <w:ind w:firstLine="420" w:firstLineChars="200"/>
    </w:pPr>
    <w:rPr>
      <w:rFonts w:ascii="Times New Roman" w:hAnsi="Times New Roman" w:eastAsia="宋体" w:cs="Times New Roman"/>
    </w:rPr>
  </w:style>
  <w:style w:type="character" w:customStyle="1" w:styleId="121">
    <w:name w:val="正文文本 Char"/>
    <w:basedOn w:val="51"/>
    <w:link w:val="19"/>
    <w:qFormat/>
    <w:uiPriority w:val="0"/>
    <w:rPr>
      <w:rFonts w:hint="default" w:ascii="Calibri" w:hAnsi="Calibri" w:eastAsia="宋体" w:cs="Times New Roman"/>
      <w:kern w:val="2"/>
      <w:sz w:val="21"/>
      <w:szCs w:val="22"/>
    </w:rPr>
  </w:style>
  <w:style w:type="paragraph" w:customStyle="1" w:styleId="122">
    <w:name w:val="列表段落1"/>
    <w:basedOn w:val="1"/>
    <w:qFormat/>
    <w:uiPriority w:val="0"/>
    <w:pPr>
      <w:ind w:firstLine="420" w:firstLineChars="200"/>
    </w:pPr>
    <w:rPr>
      <w:rFonts w:hint="eastAsia" w:ascii="等线" w:hAnsi="等线" w:eastAsia="等线" w:cs="Times New Roman"/>
    </w:rPr>
  </w:style>
  <w:style w:type="character" w:customStyle="1" w:styleId="123">
    <w:name w:val="正文文本缩进 3 Char"/>
    <w:basedOn w:val="51"/>
    <w:link w:val="39"/>
    <w:qFormat/>
    <w:uiPriority w:val="0"/>
    <w:rPr>
      <w:rFonts w:hint="eastAsia" w:ascii="等线" w:hAnsi="等线" w:eastAsia="等线" w:cs="等线"/>
      <w:kern w:val="2"/>
      <w:sz w:val="16"/>
      <w:szCs w:val="16"/>
    </w:rPr>
  </w:style>
  <w:style w:type="character" w:customStyle="1" w:styleId="124">
    <w:name w:val="正文首行缩进 Char"/>
    <w:link w:val="47"/>
    <w:qFormat/>
    <w:uiPriority w:val="0"/>
    <w:rPr>
      <w:rFonts w:hint="default" w:ascii="Calibri" w:hAnsi="Calibri" w:eastAsia="楷体_GB2312" w:cs="Calibri"/>
      <w:kern w:val="2"/>
      <w:sz w:val="32"/>
      <w:szCs w:val="22"/>
    </w:rPr>
  </w:style>
  <w:style w:type="character" w:customStyle="1" w:styleId="125">
    <w:name w:val="表格文字 Char"/>
    <w:basedOn w:val="51"/>
    <w:link w:val="126"/>
    <w:qFormat/>
    <w:uiPriority w:val="0"/>
    <w:rPr>
      <w:bCs/>
      <w:spacing w:val="10"/>
      <w:sz w:val="24"/>
    </w:rPr>
  </w:style>
  <w:style w:type="paragraph" w:customStyle="1" w:styleId="126">
    <w:name w:val="表格文字"/>
    <w:basedOn w:val="1"/>
    <w:link w:val="12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27">
    <w:name w:val="_Style 3"/>
    <w:basedOn w:val="1"/>
    <w:qFormat/>
    <w:uiPriority w:val="0"/>
    <w:rPr>
      <w:rFonts w:ascii="Times New Roman" w:hAnsi="Times New Roman" w:eastAsia="宋体" w:cs="Times New Roman"/>
    </w:rPr>
  </w:style>
  <w:style w:type="paragraph" w:customStyle="1" w:styleId="128">
    <w:name w:val="列表段落3"/>
    <w:basedOn w:val="1"/>
    <w:qFormat/>
    <w:uiPriority w:val="0"/>
    <w:pPr>
      <w:ind w:firstLine="420" w:firstLineChars="200"/>
    </w:pPr>
    <w:rPr>
      <w:rFonts w:ascii="Calibri" w:hAnsi="Calibri" w:eastAsia="宋体" w:cs="Times New Roman"/>
    </w:rPr>
  </w:style>
  <w:style w:type="character" w:customStyle="1" w:styleId="129">
    <w:name w:val="15"/>
    <w:basedOn w:val="51"/>
    <w:qFormat/>
    <w:uiPriority w:val="0"/>
    <w:rPr>
      <w:rFonts w:hint="default" w:ascii="Times New Roman" w:hAnsi="Times New Roman" w:cs="Times New Roman"/>
      <w:b/>
      <w:bCs/>
    </w:rPr>
  </w:style>
  <w:style w:type="character" w:customStyle="1" w:styleId="130">
    <w:name w:val="正文首行缩进 2 Char1"/>
    <w:basedOn w:val="51"/>
    <w:qFormat/>
    <w:uiPriority w:val="0"/>
  </w:style>
  <w:style w:type="character" w:customStyle="1" w:styleId="131">
    <w:name w:val="页眉 Char"/>
    <w:basedOn w:val="51"/>
    <w:link w:val="32"/>
    <w:qFormat/>
    <w:uiPriority w:val="0"/>
    <w:rPr>
      <w:sz w:val="18"/>
      <w:szCs w:val="18"/>
    </w:rPr>
  </w:style>
  <w:style w:type="character" w:customStyle="1" w:styleId="132">
    <w:name w:val="页眉 Char1"/>
    <w:qFormat/>
    <w:uiPriority w:val="99"/>
    <w:rPr>
      <w:sz w:val="18"/>
      <w:szCs w:val="18"/>
      <w:lang w:val="zh-CN" w:eastAsia="zh-CN"/>
    </w:rPr>
  </w:style>
  <w:style w:type="character" w:customStyle="1" w:styleId="133">
    <w:name w:val="标题 2 Char"/>
    <w:basedOn w:val="51"/>
    <w:qFormat/>
    <w:uiPriority w:val="0"/>
    <w:rPr>
      <w:rFonts w:ascii="Arial" w:hAnsi="Arial" w:eastAsia="黑体" w:cs="Times New Roman"/>
      <w:b/>
      <w:bCs/>
      <w:sz w:val="32"/>
      <w:szCs w:val="32"/>
    </w:rPr>
  </w:style>
  <w:style w:type="paragraph" w:customStyle="1" w:styleId="134">
    <w:name w:val="正文1"/>
    <w:basedOn w:val="1"/>
    <w:qFormat/>
    <w:uiPriority w:val="0"/>
    <w:pPr>
      <w:widowControl/>
      <w:numPr>
        <w:ilvl w:val="0"/>
        <w:numId w:val="2"/>
      </w:numPr>
      <w:overflowPunct w:val="0"/>
      <w:autoSpaceDE w:val="0"/>
      <w:autoSpaceDN w:val="0"/>
      <w:adjustRightInd w:val="0"/>
      <w:spacing w:line="360" w:lineRule="auto"/>
      <w:textAlignment w:val="baseline"/>
    </w:pPr>
    <w:rPr>
      <w:rFonts w:ascii="宋体" w:hAnsi="Calibri" w:eastAsia="宋体" w:cs="Times New Roman"/>
      <w:kern w:val="0"/>
      <w:szCs w:val="20"/>
    </w:rPr>
  </w:style>
  <w:style w:type="paragraph" w:customStyle="1" w:styleId="135">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36">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37">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8">
    <w:name w:val="列出段落2"/>
    <w:basedOn w:val="1"/>
    <w:qFormat/>
    <w:uiPriority w:val="0"/>
    <w:pPr>
      <w:numPr>
        <w:ilvl w:val="0"/>
        <w:numId w:val="3"/>
      </w:numPr>
      <w:autoSpaceDE w:val="0"/>
      <w:spacing w:line="360" w:lineRule="auto"/>
    </w:pPr>
    <w:rPr>
      <w:rFonts w:ascii="宋体" w:hAnsi="宋体" w:eastAsia="宋体" w:cs="Times New Roman"/>
      <w:szCs w:val="21"/>
    </w:rPr>
  </w:style>
  <w:style w:type="paragraph" w:customStyle="1" w:styleId="13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40">
    <w:name w:val="标题 4 Char"/>
    <w:basedOn w:val="51"/>
    <w:link w:val="6"/>
    <w:qFormat/>
    <w:uiPriority w:val="0"/>
    <w:rPr>
      <w:rFonts w:ascii="宋体"/>
      <w:kern w:val="2"/>
      <w:sz w:val="28"/>
    </w:rPr>
  </w:style>
  <w:style w:type="character" w:customStyle="1" w:styleId="141">
    <w:name w:val="标题 5 Char"/>
    <w:basedOn w:val="51"/>
    <w:link w:val="7"/>
    <w:qFormat/>
    <w:uiPriority w:val="0"/>
    <w:rPr>
      <w:kern w:val="2"/>
      <w:sz w:val="28"/>
    </w:rPr>
  </w:style>
  <w:style w:type="character" w:customStyle="1" w:styleId="142">
    <w:name w:val="标题 6 Char"/>
    <w:basedOn w:val="51"/>
    <w:link w:val="8"/>
    <w:qFormat/>
    <w:uiPriority w:val="0"/>
    <w:rPr>
      <w:kern w:val="2"/>
      <w:sz w:val="28"/>
    </w:rPr>
  </w:style>
  <w:style w:type="character" w:customStyle="1" w:styleId="143">
    <w:name w:val="标题 7 Char"/>
    <w:basedOn w:val="51"/>
    <w:link w:val="9"/>
    <w:qFormat/>
    <w:uiPriority w:val="0"/>
    <w:rPr>
      <w:rFonts w:ascii="宋体"/>
      <w:b/>
      <w:color w:val="000000"/>
      <w:kern w:val="2"/>
      <w:sz w:val="24"/>
    </w:rPr>
  </w:style>
  <w:style w:type="character" w:customStyle="1" w:styleId="144">
    <w:name w:val="标题 8 Char"/>
    <w:basedOn w:val="51"/>
    <w:link w:val="11"/>
    <w:qFormat/>
    <w:uiPriority w:val="0"/>
    <w:rPr>
      <w:rFonts w:ascii="Arial" w:hAnsi="Arial" w:eastAsia="黑体"/>
      <w:color w:val="000000"/>
      <w:kern w:val="2"/>
      <w:sz w:val="24"/>
    </w:rPr>
  </w:style>
  <w:style w:type="character" w:customStyle="1" w:styleId="145">
    <w:name w:val="标题 9 Char"/>
    <w:basedOn w:val="51"/>
    <w:link w:val="12"/>
    <w:qFormat/>
    <w:uiPriority w:val="0"/>
    <w:rPr>
      <w:rFonts w:ascii="Arial" w:hAnsi="Arial" w:eastAsia="黑体"/>
      <w:color w:val="000000"/>
      <w:kern w:val="2"/>
      <w:sz w:val="24"/>
    </w:rPr>
  </w:style>
  <w:style w:type="character" w:customStyle="1" w:styleId="146">
    <w:name w:val="文档结构图 Char"/>
    <w:basedOn w:val="51"/>
    <w:link w:val="16"/>
    <w:qFormat/>
    <w:uiPriority w:val="0"/>
    <w:rPr>
      <w:kern w:val="2"/>
      <w:sz w:val="21"/>
      <w:szCs w:val="24"/>
      <w:shd w:val="clear" w:color="auto" w:fill="000080"/>
    </w:rPr>
  </w:style>
  <w:style w:type="character" w:customStyle="1" w:styleId="147">
    <w:name w:val="正文文本 3 Char"/>
    <w:basedOn w:val="51"/>
    <w:link w:val="18"/>
    <w:qFormat/>
    <w:uiPriority w:val="0"/>
    <w:rPr>
      <w:rFonts w:ascii="宋体" w:hAnsi="宋体"/>
      <w:color w:val="800080"/>
      <w:kern w:val="2"/>
      <w:sz w:val="24"/>
      <w:szCs w:val="24"/>
    </w:rPr>
  </w:style>
  <w:style w:type="character" w:customStyle="1" w:styleId="148">
    <w:name w:val="日期 Char"/>
    <w:basedOn w:val="51"/>
    <w:link w:val="28"/>
    <w:qFormat/>
    <w:uiPriority w:val="0"/>
    <w:rPr>
      <w:rFonts w:ascii="宋体"/>
      <w:sz w:val="24"/>
    </w:rPr>
  </w:style>
  <w:style w:type="character" w:customStyle="1" w:styleId="149">
    <w:name w:val="正文文本缩进 2 Char"/>
    <w:basedOn w:val="51"/>
    <w:link w:val="29"/>
    <w:qFormat/>
    <w:uiPriority w:val="0"/>
    <w:rPr>
      <w:sz w:val="21"/>
    </w:rPr>
  </w:style>
  <w:style w:type="character" w:customStyle="1" w:styleId="150">
    <w:name w:val="正文文本 2 Char"/>
    <w:basedOn w:val="51"/>
    <w:link w:val="42"/>
    <w:qFormat/>
    <w:uiPriority w:val="0"/>
    <w:rPr>
      <w:rFonts w:ascii="Arial" w:hAnsi="Arial"/>
      <w:color w:val="000000"/>
      <w:kern w:val="2"/>
      <w:sz w:val="21"/>
      <w:szCs w:val="24"/>
    </w:rPr>
  </w:style>
  <w:style w:type="character" w:customStyle="1" w:styleId="151">
    <w:name w:val="HTML 预设格式 Char"/>
    <w:basedOn w:val="51"/>
    <w:link w:val="43"/>
    <w:qFormat/>
    <w:uiPriority w:val="0"/>
    <w:rPr>
      <w:rFonts w:ascii="宋体" w:hAnsi="宋体" w:cs="宋体"/>
      <w:color w:val="000000"/>
      <w:sz w:val="24"/>
      <w:szCs w:val="24"/>
    </w:rPr>
  </w:style>
  <w:style w:type="paragraph" w:customStyle="1" w:styleId="152">
    <w:name w:val="Char2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53">
    <w:name w:val="Char Char1 Char Char Char Char Char Char Char"/>
    <w:basedOn w:val="1"/>
    <w:qFormat/>
    <w:uiPriority w:val="0"/>
    <w:pPr>
      <w:widowControl/>
      <w:spacing w:after="160" w:line="240" w:lineRule="exact"/>
      <w:jc w:val="left"/>
    </w:pPr>
    <w:rPr>
      <w:rFonts w:ascii="Calibri" w:hAnsi="Calibri" w:eastAsia="宋体" w:cs="Times New Roman"/>
      <w:szCs w:val="24"/>
    </w:rPr>
  </w:style>
  <w:style w:type="character" w:customStyle="1" w:styleId="154">
    <w:name w:val="para"/>
    <w:basedOn w:val="51"/>
    <w:qFormat/>
    <w:uiPriority w:val="0"/>
  </w:style>
  <w:style w:type="character" w:customStyle="1" w:styleId="155">
    <w:name w:val="正文缩进 Char"/>
    <w:link w:val="10"/>
    <w:qFormat/>
    <w:uiPriority w:val="0"/>
    <w:rPr>
      <w:kern w:val="2"/>
      <w:sz w:val="21"/>
      <w:szCs w:val="24"/>
    </w:rPr>
  </w:style>
  <w:style w:type="character" w:customStyle="1" w:styleId="156">
    <w:name w:val="article1"/>
    <w:qFormat/>
    <w:uiPriority w:val="0"/>
    <w:rPr>
      <w:sz w:val="30"/>
      <w:szCs w:val="30"/>
    </w:rPr>
  </w:style>
  <w:style w:type="character" w:customStyle="1" w:styleId="157">
    <w:name w:val="普通文字1 Char"/>
    <w:qFormat/>
    <w:uiPriority w:val="0"/>
    <w:rPr>
      <w:rFonts w:ascii="宋体" w:hAnsi="Courier New" w:eastAsia="宋体"/>
      <w:kern w:val="2"/>
      <w:sz w:val="21"/>
      <w:lang w:val="en-US" w:eastAsia="zh-CN" w:bidi="ar-SA"/>
    </w:rPr>
  </w:style>
  <w:style w:type="character" w:customStyle="1" w:styleId="158">
    <w:name w:val="±íÕýÎÄ Char"/>
    <w:qFormat/>
    <w:uiPriority w:val="0"/>
    <w:rPr>
      <w:rFonts w:eastAsia="宋体"/>
      <w:lang w:val="en-US" w:eastAsia="zh-CN" w:bidi="ar-SA"/>
    </w:rPr>
  </w:style>
  <w:style w:type="character" w:customStyle="1" w:styleId="159">
    <w:name w:val="标题1"/>
    <w:basedOn w:val="51"/>
    <w:qFormat/>
    <w:uiPriority w:val="0"/>
  </w:style>
  <w:style w:type="character" w:customStyle="1" w:styleId="160">
    <w:name w:val="Char1 Char Char Char"/>
    <w:link w:val="161"/>
    <w:qFormat/>
    <w:uiPriority w:val="0"/>
    <w:rPr>
      <w:rFonts w:ascii="Verdana" w:hAnsi="Verdana" w:eastAsia="仿宋_GB2312"/>
      <w:sz w:val="24"/>
      <w:lang w:eastAsia="en-US"/>
    </w:rPr>
  </w:style>
  <w:style w:type="paragraph" w:customStyle="1" w:styleId="161">
    <w:name w:val="Char1 Char Char"/>
    <w:basedOn w:val="1"/>
    <w:link w:val="160"/>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2">
    <w:name w:val="样式 标准正文 + 宋体 Char"/>
    <w:link w:val="163"/>
    <w:qFormat/>
    <w:uiPriority w:val="0"/>
    <w:rPr>
      <w:rFonts w:ascii="宋体" w:hAnsi="宋体"/>
      <w:kern w:val="2"/>
      <w:sz w:val="24"/>
      <w:szCs w:val="24"/>
    </w:rPr>
  </w:style>
  <w:style w:type="paragraph" w:customStyle="1" w:styleId="163">
    <w:name w:val="样式 标准正文 + 宋体"/>
    <w:basedOn w:val="1"/>
    <w:link w:val="162"/>
    <w:qFormat/>
    <w:uiPriority w:val="0"/>
    <w:pPr>
      <w:spacing w:before="60" w:after="60" w:line="360" w:lineRule="auto"/>
      <w:ind w:firstLine="482"/>
    </w:pPr>
    <w:rPr>
      <w:rFonts w:ascii="宋体" w:hAnsi="宋体" w:eastAsia="宋体" w:cs="Times New Roman"/>
      <w:sz w:val="24"/>
      <w:szCs w:val="24"/>
    </w:rPr>
  </w:style>
  <w:style w:type="character" w:customStyle="1" w:styleId="164">
    <w:name w:val="a-size-large1"/>
    <w:qFormat/>
    <w:uiPriority w:val="0"/>
    <w:rPr>
      <w:rFonts w:hint="default" w:ascii="Arial" w:hAnsi="Arial" w:cs="Arial"/>
    </w:rPr>
  </w:style>
  <w:style w:type="character" w:customStyle="1" w:styleId="165">
    <w:name w:val="正文 + 宋体 Char"/>
    <w:link w:val="166"/>
    <w:qFormat/>
    <w:uiPriority w:val="0"/>
    <w:rPr>
      <w:rFonts w:ascii="宋体" w:hAnsi="宋体" w:eastAsia="Times New Roman"/>
      <w:b/>
      <w:sz w:val="24"/>
      <w:lang w:val="zh-CN"/>
    </w:rPr>
  </w:style>
  <w:style w:type="paragraph" w:customStyle="1" w:styleId="166">
    <w:name w:val="正文 + 宋体"/>
    <w:link w:val="165"/>
    <w:qFormat/>
    <w:uiPriority w:val="0"/>
    <w:pPr>
      <w:widowControl w:val="0"/>
      <w:spacing w:after="120" w:line="480" w:lineRule="exact"/>
      <w:jc w:val="both"/>
    </w:pPr>
    <w:rPr>
      <w:rFonts w:ascii="宋体" w:hAnsi="宋体" w:eastAsia="Times New Roman" w:cs="Times New Roman"/>
      <w:b/>
      <w:sz w:val="24"/>
      <w:lang w:val="zh-CN" w:eastAsia="zh-CN" w:bidi="ar-SA"/>
    </w:rPr>
  </w:style>
  <w:style w:type="character" w:customStyle="1" w:styleId="167">
    <w:name w:val="v151"/>
    <w:qFormat/>
    <w:uiPriority w:val="0"/>
    <w:rPr>
      <w:sz w:val="18"/>
      <w:szCs w:val="18"/>
    </w:rPr>
  </w:style>
  <w:style w:type="character" w:customStyle="1" w:styleId="168">
    <w:name w:val="unnamed31"/>
    <w:qFormat/>
    <w:uiPriority w:val="0"/>
    <w:rPr>
      <w:color w:val="000066"/>
      <w:sz w:val="20"/>
      <w:szCs w:val="20"/>
    </w:rPr>
  </w:style>
  <w:style w:type="character" w:customStyle="1" w:styleId="169">
    <w:name w:val="paragraph1 Char"/>
    <w:link w:val="170"/>
    <w:qFormat/>
    <w:uiPriority w:val="0"/>
    <w:rPr>
      <w:kern w:val="2"/>
      <w:sz w:val="24"/>
      <w:szCs w:val="24"/>
    </w:rPr>
  </w:style>
  <w:style w:type="paragraph" w:customStyle="1" w:styleId="170">
    <w:name w:val="paragraph1"/>
    <w:basedOn w:val="1"/>
    <w:link w:val="169"/>
    <w:qFormat/>
    <w:uiPriority w:val="0"/>
    <w:pPr>
      <w:spacing w:afterLines="30" w:line="360" w:lineRule="auto"/>
      <w:ind w:firstLine="480" w:firstLineChars="200"/>
    </w:pPr>
    <w:rPr>
      <w:rFonts w:ascii="Times New Roman" w:hAnsi="Times New Roman" w:eastAsia="宋体" w:cs="Times New Roman"/>
      <w:sz w:val="24"/>
      <w:szCs w:val="24"/>
    </w:rPr>
  </w:style>
  <w:style w:type="character" w:customStyle="1" w:styleId="171">
    <w:name w:val="正文(首行缩进) Char"/>
    <w:link w:val="172"/>
    <w:qFormat/>
    <w:uiPriority w:val="0"/>
    <w:rPr>
      <w:rFonts w:ascii="宋体" w:hAnsi="宋体"/>
      <w:spacing w:val="20"/>
      <w:kern w:val="24"/>
      <w:sz w:val="21"/>
      <w:szCs w:val="21"/>
      <w:lang w:val="en-IE"/>
    </w:rPr>
  </w:style>
  <w:style w:type="paragraph" w:customStyle="1" w:styleId="172">
    <w:name w:val="正文(首行缩进)"/>
    <w:link w:val="171"/>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73">
    <w:name w:val="unnamed1"/>
    <w:basedOn w:val="51"/>
    <w:qFormat/>
    <w:uiPriority w:val="0"/>
  </w:style>
  <w:style w:type="character" w:customStyle="1" w:styleId="174">
    <w:name w:val="grame"/>
    <w:basedOn w:val="51"/>
    <w:qFormat/>
    <w:uiPriority w:val="0"/>
  </w:style>
  <w:style w:type="character" w:customStyle="1" w:styleId="175">
    <w:name w:val="p105"/>
    <w:basedOn w:val="51"/>
    <w:qFormat/>
    <w:uiPriority w:val="0"/>
  </w:style>
  <w:style w:type="character" w:customStyle="1" w:styleId="176">
    <w:name w:val="zhou11"/>
    <w:qFormat/>
    <w:uiPriority w:val="0"/>
    <w:rPr>
      <w:color w:val="000000"/>
      <w:sz w:val="28"/>
      <w:szCs w:val="28"/>
    </w:rPr>
  </w:style>
  <w:style w:type="character" w:customStyle="1" w:styleId="177">
    <w:name w:val="black11"/>
    <w:qFormat/>
    <w:uiPriority w:val="0"/>
    <w:rPr>
      <w:color w:val="000000"/>
      <w:sz w:val="18"/>
      <w:szCs w:val="18"/>
    </w:rPr>
  </w:style>
  <w:style w:type="character" w:customStyle="1" w:styleId="178">
    <w:name w:val="tpc_content1"/>
    <w:qFormat/>
    <w:uiPriority w:val="0"/>
    <w:rPr>
      <w:sz w:val="20"/>
      <w:szCs w:val="20"/>
    </w:rPr>
  </w:style>
  <w:style w:type="paragraph" w:customStyle="1" w:styleId="179">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80">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81">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82">
    <w:name w:val="Graphics"/>
    <w:basedOn w:val="1"/>
    <w:qFormat/>
    <w:uiPriority w:val="0"/>
    <w:pPr>
      <w:widowControl/>
      <w:spacing w:before="120"/>
      <w:jc w:val="left"/>
    </w:pPr>
    <w:rPr>
      <w:rFonts w:ascii="Times New Roman" w:hAnsi="Times New Roman" w:eastAsia="宋体" w:cs="Times New Roman"/>
      <w:color w:val="000000"/>
      <w:kern w:val="0"/>
      <w:sz w:val="20"/>
      <w:szCs w:val="20"/>
      <w:lang w:eastAsia="en-US"/>
    </w:rPr>
  </w:style>
  <w:style w:type="paragraph" w:customStyle="1" w:styleId="183">
    <w:name w:val="p9"/>
    <w:basedOn w:val="1"/>
    <w:qFormat/>
    <w:uiPriority w:val="0"/>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customStyle="1" w:styleId="184">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85">
    <w:name w:val="题注4"/>
    <w:basedOn w:val="1"/>
    <w:next w:val="14"/>
    <w:qFormat/>
    <w:uiPriority w:val="0"/>
    <w:pPr>
      <w:ind w:left="-132" w:leftChars="-64" w:right="-105" w:rightChars="-50" w:hanging="2"/>
      <w:jc w:val="center"/>
    </w:pPr>
    <w:rPr>
      <w:rFonts w:ascii="Times New Roman" w:hAnsi="Times New Roman" w:eastAsia="宋体" w:cs="Times New Roman"/>
      <w:b/>
      <w:szCs w:val="21"/>
      <w:lang w:val="en-GB"/>
    </w:rPr>
  </w:style>
  <w:style w:type="paragraph" w:customStyle="1" w:styleId="18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87">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9">
    <w:name w:val="black1"/>
    <w:basedOn w:val="1"/>
    <w:qFormat/>
    <w:uiPriority w:val="0"/>
    <w:pPr>
      <w:widowControl/>
      <w:spacing w:before="100" w:beforeAutospacing="1" w:after="100" w:afterAutospacing="1" w:line="280" w:lineRule="atLeast"/>
      <w:jc w:val="left"/>
    </w:pPr>
    <w:rPr>
      <w:rFonts w:ascii="Times New Roman" w:hAnsi="Times New Roman" w:eastAsia="宋体" w:cs="Times New Roman"/>
      <w:color w:val="000000"/>
      <w:kern w:val="0"/>
      <w:sz w:val="18"/>
      <w:szCs w:val="18"/>
    </w:rPr>
  </w:style>
  <w:style w:type="paragraph" w:customStyle="1" w:styleId="190">
    <w:name w:val="±íÉ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191">
    <w:name w:val="偶数页篇眉"/>
    <w:basedOn w:val="32"/>
    <w:qFormat/>
    <w:uiPriority w:val="0"/>
    <w:pPr>
      <w:keepLines/>
      <w:pBdr>
        <w:bottom w:val="none" w:color="auto" w:sz="0" w:space="0"/>
      </w:pBdr>
      <w:tabs>
        <w:tab w:val="clear" w:pos="4153"/>
        <w:tab w:val="clear" w:pos="8306"/>
      </w:tabs>
      <w:snapToGrid/>
      <w:jc w:val="right"/>
    </w:pPr>
    <w:rPr>
      <w:rFonts w:ascii="Times New Roman" w:hAnsi="Times New Roman" w:eastAsia="宋体" w:cs="Times New Roman"/>
      <w:spacing w:val="80"/>
      <w:sz w:val="21"/>
      <w:szCs w:val="20"/>
    </w:rPr>
  </w:style>
  <w:style w:type="paragraph" w:customStyle="1" w:styleId="192">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5">
    <w:name w:val="Char1"/>
    <w:basedOn w:val="16"/>
    <w:qFormat/>
    <w:uiPriority w:val="0"/>
    <w:rPr>
      <w:rFonts w:ascii="Tahoma" w:hAnsi="Tahoma"/>
      <w:sz w:val="24"/>
    </w:rPr>
  </w:style>
  <w:style w:type="paragraph" w:customStyle="1" w:styleId="196">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98">
    <w:name w:val="xl37"/>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00">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01">
    <w:name w:val="2册标题2"/>
    <w:basedOn w:val="1"/>
    <w:next w:val="1"/>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202">
    <w:name w:val="14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03">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04">
    <w:name w:val="Char Char Char Char Char Char Char"/>
    <w:basedOn w:val="1"/>
    <w:qFormat/>
    <w:uiPriority w:val="0"/>
    <w:pPr>
      <w:tabs>
        <w:tab w:val="left" w:pos="567"/>
      </w:tabs>
      <w:ind w:left="567" w:hanging="567"/>
    </w:pPr>
    <w:rPr>
      <w:rFonts w:ascii="Times New Roman" w:hAnsi="Times New Roman" w:eastAsia="宋体" w:cs="Times New Roman"/>
      <w:sz w:val="24"/>
      <w:szCs w:val="24"/>
    </w:rPr>
  </w:style>
  <w:style w:type="paragraph" w:customStyle="1" w:styleId="205">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6">
    <w:name w:val="彩色列表 - 强调文字颜色 11"/>
    <w:basedOn w:val="1"/>
    <w:qFormat/>
    <w:uiPriority w:val="34"/>
    <w:pPr>
      <w:spacing w:line="480" w:lineRule="auto"/>
      <w:ind w:firstLine="420"/>
      <w:jc w:val="left"/>
    </w:pPr>
    <w:rPr>
      <w:rFonts w:ascii="Calibri" w:hAnsi="Calibri" w:eastAsia="宋体" w:cs="Times New Roman"/>
      <w:sz w:val="24"/>
      <w:szCs w:val="24"/>
      <w:lang w:eastAsia="zh-TW"/>
    </w:rPr>
  </w:style>
  <w:style w:type="paragraph" w:customStyle="1" w:styleId="207">
    <w:name w:val="xl43"/>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08">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209">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10">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12">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3">
    <w:name w:val="表头"/>
    <w:basedOn w:val="14"/>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14">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2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16">
    <w:name w:val="题注5"/>
    <w:basedOn w:val="1"/>
    <w:next w:val="14"/>
    <w:qFormat/>
    <w:uiPriority w:val="0"/>
    <w:pPr>
      <w:widowControl/>
    </w:pPr>
    <w:rPr>
      <w:rFonts w:ascii="Times New Roman" w:hAnsi="Times New Roman" w:eastAsia="宋体" w:cs="Times New Roman"/>
      <w:sz w:val="24"/>
      <w:szCs w:val="24"/>
    </w:rPr>
  </w:style>
  <w:style w:type="paragraph" w:customStyle="1" w:styleId="217">
    <w:name w:val="Char1 Char Char Char1 Char Char Char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1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19">
    <w:name w:val="_Style 2"/>
    <w:basedOn w:val="1"/>
    <w:qFormat/>
    <w:uiPriority w:val="0"/>
    <w:pPr>
      <w:ind w:firstLine="420" w:firstLineChars="200"/>
    </w:pPr>
    <w:rPr>
      <w:rFonts w:ascii="Times New Roman" w:hAnsi="Times New Roman" w:eastAsia="宋体" w:cs="Times New Roman"/>
      <w:szCs w:val="24"/>
    </w:rPr>
  </w:style>
  <w:style w:type="paragraph" w:customStyle="1" w:styleId="220">
    <w:name w:val="table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1">
    <w:name w:val="Char3"/>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2">
    <w:name w:val="题注1"/>
    <w:basedOn w:val="1"/>
    <w:next w:val="14"/>
    <w:qFormat/>
    <w:uiPriority w:val="0"/>
    <w:rPr>
      <w:rFonts w:ascii="Arial" w:hAnsi="Arial" w:eastAsia="宋体" w:cs="Times New Roman"/>
      <w:szCs w:val="24"/>
    </w:rPr>
  </w:style>
  <w:style w:type="paragraph" w:customStyle="1" w:styleId="223">
    <w:name w:val="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4">
    <w:name w:val="正文11"/>
    <w:basedOn w:val="1"/>
    <w:qFormat/>
    <w:uiPriority w:val="0"/>
    <w:pPr>
      <w:spacing w:after="120" w:line="360" w:lineRule="auto"/>
    </w:pPr>
    <w:rPr>
      <w:rFonts w:ascii="Arial" w:hAnsi="Arial" w:eastAsia="宋体" w:cs="Times New Roman"/>
      <w:sz w:val="24"/>
      <w:szCs w:val="20"/>
    </w:rPr>
  </w:style>
  <w:style w:type="paragraph" w:customStyle="1" w:styleId="225">
    <w:name w:val="表格"/>
    <w:basedOn w:val="1"/>
    <w:qFormat/>
    <w:uiPriority w:val="0"/>
    <w:pPr>
      <w:spacing w:line="400" w:lineRule="atLeast"/>
    </w:pPr>
    <w:rPr>
      <w:rFonts w:ascii="Times New Roman" w:hAnsi="Times New Roman" w:eastAsia="宋体" w:cs="Times New Roman"/>
      <w:b/>
      <w:bCs/>
      <w:color w:val="000000"/>
      <w:sz w:val="24"/>
      <w:szCs w:val="24"/>
    </w:rPr>
  </w:style>
  <w:style w:type="paragraph" w:customStyle="1" w:styleId="226">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eastAsia="宋体" w:cs="Times New Roman"/>
      <w:b/>
      <w:kern w:val="16"/>
      <w:sz w:val="20"/>
      <w:szCs w:val="20"/>
      <w:lang w:val="fr-FR"/>
    </w:rPr>
  </w:style>
  <w:style w:type="paragraph" w:customStyle="1" w:styleId="227">
    <w:name w:val="样式 左侧:  0 厘米 悬挂缩进: 2.5 字符"/>
    <w:basedOn w:val="1"/>
    <w:qFormat/>
    <w:uiPriority w:val="0"/>
    <w:pPr>
      <w:ind w:left="525" w:hanging="525" w:hangingChars="250"/>
    </w:pPr>
    <w:rPr>
      <w:rFonts w:ascii="Times New Roman" w:hAnsi="Times New Roman" w:eastAsia="宋体" w:cs="Times New Roman"/>
      <w:szCs w:val="20"/>
    </w:rPr>
  </w:style>
  <w:style w:type="paragraph" w:customStyle="1" w:styleId="228">
    <w:name w:val="保留正文"/>
    <w:basedOn w:val="19"/>
    <w:qFormat/>
    <w:uiPriority w:val="0"/>
    <w:pPr>
      <w:keepNext/>
      <w:spacing w:after="160"/>
    </w:pPr>
    <w:rPr>
      <w:rFonts w:ascii="Times New Roman" w:hAnsi="Times New Roman" w:eastAsia="宋体" w:cs="Times New Roman"/>
      <w:szCs w:val="24"/>
    </w:rPr>
  </w:style>
  <w:style w:type="paragraph" w:customStyle="1" w:styleId="229">
    <w:name w:val="样式"/>
    <w:basedOn w:val="1"/>
    <w:next w:val="20"/>
    <w:qFormat/>
    <w:uiPriority w:val="0"/>
    <w:pPr>
      <w:jc w:val="center"/>
    </w:pPr>
    <w:rPr>
      <w:rFonts w:ascii="宋体" w:hAnsi="宋体" w:eastAsia="宋体" w:cs="Times New Roman"/>
      <w:color w:val="FF0000"/>
      <w:sz w:val="24"/>
      <w:szCs w:val="24"/>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231">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2">
    <w:name w:val="需求书2"/>
    <w:basedOn w:val="1"/>
    <w:qFormat/>
    <w:uiPriority w:val="0"/>
    <w:pPr>
      <w:tabs>
        <w:tab w:val="left" w:pos="630"/>
      </w:tabs>
      <w:spacing w:line="360" w:lineRule="auto"/>
    </w:pPr>
    <w:rPr>
      <w:rFonts w:ascii="宋体" w:hAnsi="Times New Roman" w:eastAsia="宋体" w:cs="Times New Roman"/>
      <w:b/>
      <w:sz w:val="24"/>
      <w:szCs w:val="24"/>
    </w:rPr>
  </w:style>
  <w:style w:type="paragraph" w:customStyle="1" w:styleId="233">
    <w:name w:val="正文缩进2"/>
    <w:basedOn w:val="1"/>
    <w:qFormat/>
    <w:uiPriority w:val="0"/>
    <w:pPr>
      <w:adjustRightInd w:val="0"/>
      <w:spacing w:line="440" w:lineRule="exact"/>
      <w:ind w:firstLine="200" w:firstLineChars="200"/>
    </w:pPr>
    <w:rPr>
      <w:rFonts w:ascii="Times New Roman" w:hAnsi="Times New Roman" w:eastAsia="仿宋_GB2312" w:cs="Times New Roman"/>
      <w:sz w:val="28"/>
      <w:szCs w:val="28"/>
    </w:rPr>
  </w:style>
  <w:style w:type="paragraph" w:customStyle="1" w:styleId="23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1"/>
    </w:rPr>
  </w:style>
  <w:style w:type="paragraph" w:customStyle="1" w:styleId="235">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36">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9">
    <w:name w:val="默认段落字体 Para Char Char Char Char"/>
    <w:basedOn w:val="1"/>
    <w:qFormat/>
    <w:uiPriority w:val="0"/>
    <w:rPr>
      <w:rFonts w:ascii="Times New Roman" w:hAnsi="Times New Roman" w:eastAsia="宋体" w:cs="Times New Roman"/>
      <w:sz w:val="24"/>
      <w:szCs w:val="24"/>
    </w:rPr>
  </w:style>
  <w:style w:type="paragraph" w:customStyle="1" w:styleId="240">
    <w:name w:val="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4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3">
    <w:name w:val="xl32"/>
    <w:basedOn w:val="1"/>
    <w:qFormat/>
    <w:uiPriority w:val="0"/>
    <w:pPr>
      <w:widowControl/>
      <w:spacing w:before="100" w:beforeAutospacing="1" w:after="100" w:afterAutospacing="1"/>
      <w:jc w:val="center"/>
      <w:textAlignment w:val="center"/>
    </w:pPr>
    <w:rPr>
      <w:rFonts w:hint="eastAsia" w:ascii="隶书" w:hAnsi="宋体" w:eastAsia="隶书" w:cs="Times New Roman"/>
      <w:kern w:val="0"/>
      <w:sz w:val="72"/>
      <w:szCs w:val="72"/>
    </w:rPr>
  </w:style>
  <w:style w:type="paragraph" w:customStyle="1" w:styleId="244">
    <w:name w:val="List Paragraph_5b7595f9-6e5d-4b85-a90f-207b5fdaa7d7"/>
    <w:basedOn w:val="1"/>
    <w:qFormat/>
    <w:uiPriority w:val="34"/>
    <w:pPr>
      <w:ind w:firstLine="420" w:firstLineChars="200"/>
    </w:pPr>
    <w:rPr>
      <w:rFonts w:ascii="Times New Roman" w:hAnsi="Times New Roman" w:eastAsia="宋体" w:cs="Times New Roman"/>
      <w:szCs w:val="24"/>
    </w:rPr>
  </w:style>
  <w:style w:type="paragraph" w:customStyle="1" w:styleId="245">
    <w:name w:val="正文（不缩进）"/>
    <w:basedOn w:val="1"/>
    <w:qFormat/>
    <w:uiPriority w:val="0"/>
    <w:pPr>
      <w:tabs>
        <w:tab w:val="left" w:pos="420"/>
      </w:tabs>
      <w:spacing w:line="360" w:lineRule="auto"/>
    </w:pPr>
    <w:rPr>
      <w:rFonts w:ascii="Times New Roman" w:hAnsi="Times New Roman" w:eastAsia="宋体" w:cs="Times New Roman"/>
      <w:sz w:val="24"/>
      <w:szCs w:val="20"/>
    </w:rPr>
  </w:style>
  <w:style w:type="paragraph" w:customStyle="1" w:styleId="24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47">
    <w:name w:val="font7"/>
    <w:basedOn w:val="1"/>
    <w:qFormat/>
    <w:uiPriority w:val="0"/>
    <w:pPr>
      <w:widowControl/>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48">
    <w:name w:val="No Spacing_db3d0d2b-eb6d-45dd-8fac-97dc344c8316"/>
    <w:qFormat/>
    <w:uiPriority w:val="1"/>
    <w:pPr>
      <w:adjustRightInd w:val="0"/>
      <w:snapToGrid w:val="0"/>
    </w:pPr>
    <w:rPr>
      <w:rFonts w:ascii="Tahoma" w:hAnsi="Tahoma" w:eastAsia="微软雅黑" w:cs="Times New Roman"/>
      <w:sz w:val="22"/>
      <w:szCs w:val="22"/>
      <w:lang w:val="en-US" w:eastAsia="zh-CN" w:bidi="ar-SA"/>
    </w:rPr>
  </w:style>
  <w:style w:type="paragraph" w:customStyle="1" w:styleId="249">
    <w:name w:val="font8"/>
    <w:basedOn w:val="1"/>
    <w:qFormat/>
    <w:uiPriority w:val="0"/>
    <w:pPr>
      <w:widowControl/>
      <w:spacing w:before="100" w:beforeAutospacing="1" w:after="100" w:afterAutospacing="1"/>
      <w:jc w:val="left"/>
    </w:pPr>
    <w:rPr>
      <w:rFonts w:hint="eastAsia" w:ascii="仿宋_GB2312" w:hAnsi="宋体" w:eastAsia="仿宋_GB2312" w:cs="Times New Roman"/>
      <w:kern w:val="0"/>
      <w:sz w:val="24"/>
      <w:szCs w:val="24"/>
    </w:rPr>
  </w:style>
  <w:style w:type="paragraph" w:customStyle="1" w:styleId="250">
    <w:name w:val="Char Char Char Char Char Char Char Char1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1">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252">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53">
    <w:name w:val="块引用"/>
    <w:basedOn w:val="1"/>
    <w:qFormat/>
    <w:uiPriority w:val="0"/>
    <w:pPr>
      <w:keepLines/>
      <w:ind w:left="360" w:right="360"/>
      <w:jc w:val="center"/>
    </w:pPr>
    <w:rPr>
      <w:rFonts w:ascii="Times New Roman" w:hAnsi="Times New Roman" w:eastAsia="宋体" w:cs="Times New Roman"/>
      <w:i/>
      <w:szCs w:val="24"/>
    </w:rPr>
  </w:style>
  <w:style w:type="paragraph" w:customStyle="1" w:styleId="254">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55">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56">
    <w:name w:val="xl39"/>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57">
    <w:name w:val="样式1"/>
    <w:basedOn w:val="4"/>
    <w:qFormat/>
    <w:uiPriority w:val="0"/>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258">
    <w:name w:val="Level2Bullet"/>
    <w:basedOn w:val="1"/>
    <w:qFormat/>
    <w:uiPriority w:val="0"/>
    <w:pPr>
      <w:widowControl/>
      <w:tabs>
        <w:tab w:val="left" w:pos="3969"/>
        <w:tab w:val="left" w:pos="5954"/>
        <w:tab w:val="left" w:pos="7938"/>
      </w:tabs>
      <w:ind w:left="2268" w:hanging="283"/>
      <w:jc w:val="left"/>
    </w:pPr>
    <w:rPr>
      <w:rFonts w:ascii="Helv" w:hAnsi="Helv" w:eastAsia="宋体" w:cs="Times New Roman"/>
      <w:kern w:val="0"/>
      <w:sz w:val="20"/>
      <w:szCs w:val="20"/>
      <w:lang w:val="en-GB"/>
    </w:rPr>
  </w:style>
  <w:style w:type="paragraph" w:customStyle="1" w:styleId="25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fontstyle01"/>
    <w:basedOn w:val="51"/>
    <w:qFormat/>
    <w:uiPriority w:val="0"/>
    <w:rPr>
      <w:rFonts w:ascii="FZFSK--GBK1-0" w:hAnsi="FZFSK--GBK1-0" w:eastAsia="FZFSK--GBK1-0" w:cs="FZFSK--GBK1-0"/>
      <w:color w:val="000000"/>
      <w:sz w:val="28"/>
      <w:szCs w:val="28"/>
    </w:rPr>
  </w:style>
  <w:style w:type="character" w:customStyle="1" w:styleId="261">
    <w:name w:val="font81"/>
    <w:basedOn w:val="51"/>
    <w:qFormat/>
    <w:uiPriority w:val="0"/>
    <w:rPr>
      <w:rFonts w:hint="default" w:ascii="Times New Roman" w:hAnsi="Times New Roman" w:cs="Times New Roman"/>
      <w:color w:val="000000"/>
      <w:sz w:val="18"/>
      <w:szCs w:val="18"/>
      <w:u w:val="none"/>
    </w:rPr>
  </w:style>
  <w:style w:type="character" w:customStyle="1" w:styleId="262">
    <w:name w:val="font101"/>
    <w:basedOn w:val="5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F6A8-57D7-4A5C-A889-398552B8FC1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7577</Words>
  <Characters>7892</Characters>
  <Lines>71</Lines>
  <Paragraphs>20</Paragraphs>
  <TotalTime>953</TotalTime>
  <ScaleCrop>false</ScaleCrop>
  <LinksUpToDate>false</LinksUpToDate>
  <CharactersWithSpaces>7933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2025-04-22T02:31:00Z</dcterms:created>
  <dc:creator>dreamsummit</dc:creator>
  <cp:lastModifiedBy>云采链</cp:lastModifiedBy>
  <cp:lastPrinted>2018-10-16T04:01:00Z</cp:lastPrinted>
  <dcterms:modified xsi:type="dcterms:W3CDTF">2025-04-29T09:24:40Z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1DDB11DB53284F66A4079845F864C77F_13</vt:lpwstr>
  </property>
  <property fmtid="{D5CDD505-2E9C-101B-9397-08002B2CF9AE}" pid="4" name="KSOTemplateDocerSaveRecord">
    <vt:lpwstr>eyJoZGlkIjoiNjllMTQ1N2NiYWJhNmE3MmJmNjczYjE3MmE0Mzc5ZDEiLCJ1c2VySWQiOiIyNzgxOTkwNjUifQ==</vt:lpwstr>
  </property>
</Properties>
</file>