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572FF">
      <w:pPr>
        <w:spacing w:line="360" w:lineRule="auto"/>
        <w:jc w:val="center"/>
        <w:rPr>
          <w:rFonts w:ascii="仿宋" w:hAnsi="仿宋" w:eastAsia="仿宋" w:cs="仿宋"/>
          <w:b/>
          <w:bCs/>
          <w:kern w:val="44"/>
          <w:sz w:val="28"/>
          <w:szCs w:val="28"/>
        </w:rPr>
      </w:pPr>
    </w:p>
    <w:p w14:paraId="51D60CC5">
      <w:pPr>
        <w:spacing w:line="360" w:lineRule="auto"/>
        <w:jc w:val="center"/>
        <w:rPr>
          <w:rFonts w:ascii="仿宋" w:hAnsi="仿宋" w:eastAsia="仿宋" w:cs="仿宋"/>
          <w:b/>
          <w:bCs/>
          <w:kern w:val="44"/>
          <w:sz w:val="28"/>
          <w:szCs w:val="28"/>
          <w:lang w:val="zh-CN"/>
        </w:rPr>
      </w:pPr>
    </w:p>
    <w:p w14:paraId="1BDD84FD">
      <w:pPr>
        <w:spacing w:line="360" w:lineRule="auto"/>
        <w:jc w:val="center"/>
        <w:rPr>
          <w:rFonts w:ascii="仿宋" w:hAnsi="仿宋" w:eastAsia="仿宋" w:cs="仿宋"/>
          <w:b/>
          <w:bCs/>
          <w:kern w:val="44"/>
          <w:sz w:val="28"/>
          <w:szCs w:val="28"/>
          <w:lang w:val="zh-CN"/>
        </w:rPr>
      </w:pPr>
    </w:p>
    <w:p w14:paraId="2295FE9B">
      <w:pPr>
        <w:spacing w:line="360" w:lineRule="auto"/>
        <w:jc w:val="center"/>
        <w:rPr>
          <w:rFonts w:ascii="仿宋" w:hAnsi="仿宋" w:eastAsia="仿宋" w:cs="仿宋"/>
          <w:b/>
          <w:bCs/>
          <w:kern w:val="44"/>
          <w:sz w:val="28"/>
          <w:szCs w:val="28"/>
          <w:lang w:val="zh-CN"/>
        </w:rPr>
      </w:pPr>
    </w:p>
    <w:p w14:paraId="66958B06">
      <w:pPr>
        <w:pStyle w:val="12"/>
        <w:ind w:left="400" w:firstLine="560"/>
        <w:rPr>
          <w:rFonts w:ascii="仿宋" w:hAnsi="仿宋" w:eastAsia="仿宋" w:cs="仿宋"/>
          <w:sz w:val="28"/>
          <w:szCs w:val="28"/>
          <w:lang w:val="zh-CN"/>
        </w:rPr>
      </w:pPr>
    </w:p>
    <w:p w14:paraId="38544D68">
      <w:pPr>
        <w:spacing w:line="360" w:lineRule="auto"/>
        <w:rPr>
          <w:rFonts w:ascii="仿宋" w:hAnsi="仿宋" w:eastAsia="仿宋" w:cs="仿宋"/>
          <w:b/>
          <w:bCs/>
          <w:kern w:val="44"/>
          <w:sz w:val="28"/>
          <w:szCs w:val="28"/>
          <w:lang w:val="zh-CN"/>
        </w:rPr>
      </w:pPr>
    </w:p>
    <w:p w14:paraId="3041DF8A">
      <w:pPr>
        <w:spacing w:line="360" w:lineRule="auto"/>
        <w:jc w:val="center"/>
        <w:rPr>
          <w:rFonts w:ascii="仿宋" w:hAnsi="仿宋" w:eastAsia="仿宋" w:cs="仿宋"/>
          <w:b/>
          <w:bCs/>
          <w:kern w:val="44"/>
          <w:sz w:val="28"/>
          <w:szCs w:val="28"/>
          <w:lang w:val="zh-CN"/>
        </w:rPr>
      </w:pPr>
    </w:p>
    <w:p w14:paraId="3AF60122">
      <w:pPr>
        <w:spacing w:line="360" w:lineRule="auto"/>
        <w:jc w:val="center"/>
        <w:rPr>
          <w:rFonts w:ascii="仿宋" w:hAnsi="仿宋" w:eastAsia="仿宋" w:cs="仿宋"/>
          <w:b/>
          <w:kern w:val="2"/>
          <w:sz w:val="52"/>
          <w:szCs w:val="52"/>
        </w:rPr>
      </w:pPr>
      <w:r>
        <w:rPr>
          <w:rFonts w:hint="eastAsia" w:ascii="仿宋" w:hAnsi="仿宋" w:eastAsia="仿宋" w:cs="仿宋"/>
          <w:b/>
          <w:kern w:val="2"/>
          <w:sz w:val="52"/>
          <w:szCs w:val="52"/>
        </w:rPr>
        <w:t>合 同 书</w:t>
      </w:r>
    </w:p>
    <w:p w14:paraId="5D4C4BA6">
      <w:pPr>
        <w:spacing w:line="360" w:lineRule="auto"/>
        <w:jc w:val="center"/>
        <w:rPr>
          <w:rFonts w:ascii="仿宋" w:hAnsi="仿宋" w:eastAsia="仿宋" w:cs="仿宋"/>
          <w:b/>
          <w:bCs/>
          <w:kern w:val="44"/>
          <w:sz w:val="28"/>
          <w:szCs w:val="28"/>
          <w:lang w:val="zh-CN"/>
        </w:rPr>
      </w:pPr>
    </w:p>
    <w:p w14:paraId="570F3868">
      <w:pPr>
        <w:spacing w:line="360" w:lineRule="auto"/>
        <w:jc w:val="center"/>
        <w:rPr>
          <w:rFonts w:ascii="仿宋" w:hAnsi="仿宋" w:eastAsia="仿宋" w:cs="仿宋"/>
          <w:b/>
          <w:bCs/>
          <w:kern w:val="44"/>
          <w:sz w:val="28"/>
          <w:szCs w:val="28"/>
          <w:lang w:val="zh-CN"/>
        </w:rPr>
      </w:pPr>
    </w:p>
    <w:p w14:paraId="7C41A426">
      <w:pPr>
        <w:spacing w:line="360" w:lineRule="auto"/>
        <w:jc w:val="center"/>
        <w:rPr>
          <w:rFonts w:ascii="仿宋" w:hAnsi="仿宋" w:eastAsia="仿宋" w:cs="仿宋"/>
          <w:b/>
          <w:bCs/>
          <w:kern w:val="44"/>
          <w:sz w:val="28"/>
          <w:szCs w:val="28"/>
          <w:lang w:val="zh-CN"/>
        </w:rPr>
      </w:pPr>
    </w:p>
    <w:p w14:paraId="4C8BE85F">
      <w:pPr>
        <w:spacing w:line="360" w:lineRule="auto"/>
        <w:jc w:val="center"/>
        <w:rPr>
          <w:rFonts w:ascii="仿宋" w:hAnsi="仿宋" w:eastAsia="仿宋" w:cs="仿宋"/>
          <w:b/>
          <w:bCs/>
          <w:kern w:val="44"/>
          <w:sz w:val="28"/>
          <w:szCs w:val="28"/>
          <w:lang w:val="zh-CN"/>
        </w:rPr>
      </w:pPr>
    </w:p>
    <w:p w14:paraId="4DC61677">
      <w:pPr>
        <w:spacing w:line="360" w:lineRule="auto"/>
        <w:jc w:val="center"/>
        <w:rPr>
          <w:rFonts w:ascii="仿宋" w:hAnsi="仿宋" w:eastAsia="仿宋" w:cs="仿宋"/>
          <w:b/>
          <w:bCs/>
          <w:kern w:val="44"/>
          <w:sz w:val="28"/>
          <w:szCs w:val="28"/>
          <w:lang w:val="zh-CN"/>
        </w:rPr>
      </w:pPr>
    </w:p>
    <w:p w14:paraId="065AE501">
      <w:pPr>
        <w:spacing w:line="360" w:lineRule="auto"/>
        <w:rPr>
          <w:rFonts w:ascii="仿宋" w:hAnsi="仿宋" w:eastAsia="仿宋" w:cs="仿宋"/>
          <w:b/>
          <w:bCs/>
          <w:kern w:val="44"/>
          <w:sz w:val="28"/>
          <w:szCs w:val="28"/>
          <w:lang w:val="zh-CN"/>
        </w:rPr>
      </w:pPr>
    </w:p>
    <w:p w14:paraId="76C311DF">
      <w:pPr>
        <w:autoSpaceDE w:val="0"/>
        <w:autoSpaceDN w:val="0"/>
        <w:adjustRightInd w:val="0"/>
        <w:rPr>
          <w:rFonts w:ascii="仿宋" w:hAnsi="仿宋" w:eastAsia="仿宋" w:cs="仿宋"/>
          <w:color w:val="000000"/>
          <w:kern w:val="2"/>
          <w:sz w:val="28"/>
          <w:szCs w:val="28"/>
          <w:lang w:val="zh-CN"/>
        </w:rPr>
      </w:pPr>
    </w:p>
    <w:p w14:paraId="1294A9F2">
      <w:pPr>
        <w:autoSpaceDE w:val="0"/>
        <w:autoSpaceDN w:val="0"/>
        <w:adjustRightInd w:val="0"/>
        <w:rPr>
          <w:rFonts w:ascii="仿宋" w:hAnsi="仿宋" w:eastAsia="仿宋" w:cs="仿宋"/>
          <w:color w:val="000000"/>
          <w:kern w:val="2"/>
          <w:sz w:val="28"/>
          <w:szCs w:val="28"/>
          <w:lang w:val="zh-CN"/>
        </w:rPr>
      </w:pPr>
    </w:p>
    <w:p w14:paraId="1D392650">
      <w:pPr>
        <w:spacing w:before="100" w:beforeAutospacing="1" w:after="100" w:afterAutospacing="1" w:line="440" w:lineRule="exact"/>
        <w:ind w:left="2400" w:leftChars="400" w:right="1296" w:rightChars="648" w:hanging="1600"/>
        <w:rPr>
          <w:rFonts w:ascii="仿宋" w:hAnsi="仿宋" w:eastAsia="仿宋" w:cs="仿宋"/>
          <w:b/>
          <w:kern w:val="2"/>
          <w:sz w:val="28"/>
          <w:szCs w:val="28"/>
          <w:u w:val="single"/>
        </w:rPr>
      </w:pPr>
      <w:r>
        <w:rPr>
          <w:rFonts w:hint="eastAsia" w:ascii="仿宋" w:hAnsi="仿宋" w:eastAsia="仿宋" w:cs="仿宋"/>
          <w:b/>
          <w:kern w:val="2"/>
          <w:sz w:val="28"/>
          <w:szCs w:val="28"/>
        </w:rPr>
        <w:t>合同编号：</w:t>
      </w:r>
      <w:r>
        <w:rPr>
          <w:rFonts w:hint="eastAsia" w:ascii="仿宋" w:hAnsi="仿宋" w:eastAsia="仿宋" w:cs="仿宋"/>
          <w:b/>
          <w:kern w:val="2"/>
          <w:sz w:val="28"/>
          <w:szCs w:val="28"/>
          <w:u w:val="single"/>
        </w:rPr>
        <w:t xml:space="preserve">                                                 </w:t>
      </w:r>
    </w:p>
    <w:p w14:paraId="6917DBC8">
      <w:pPr>
        <w:spacing w:before="100" w:beforeAutospacing="1" w:after="100" w:afterAutospacing="1" w:line="440" w:lineRule="exact"/>
        <w:ind w:left="2400" w:leftChars="400" w:right="1296" w:rightChars="648" w:hanging="1600"/>
        <w:rPr>
          <w:rFonts w:ascii="仿宋" w:hAnsi="仿宋" w:eastAsia="仿宋" w:cs="仿宋"/>
          <w:b/>
          <w:kern w:val="2"/>
          <w:sz w:val="28"/>
          <w:szCs w:val="28"/>
          <w:u w:val="single"/>
        </w:rPr>
      </w:pPr>
      <w:r>
        <w:rPr>
          <w:rFonts w:hint="eastAsia" w:ascii="仿宋" w:hAnsi="仿宋" w:eastAsia="仿宋" w:cs="仿宋"/>
          <w:b/>
          <w:kern w:val="2"/>
          <w:sz w:val="28"/>
          <w:szCs w:val="28"/>
        </w:rPr>
        <w:t>项目编号：</w:t>
      </w:r>
      <w:r>
        <w:rPr>
          <w:rFonts w:hint="eastAsia" w:ascii="仿宋" w:hAnsi="仿宋" w:eastAsia="仿宋" w:cs="仿宋"/>
          <w:b/>
          <w:kern w:val="2"/>
          <w:sz w:val="28"/>
          <w:szCs w:val="28"/>
          <w:u w:val="single"/>
        </w:rPr>
        <w:t xml:space="preserve">                                   </w:t>
      </w:r>
    </w:p>
    <w:p w14:paraId="6EF9E677">
      <w:pPr>
        <w:spacing w:before="100" w:beforeAutospacing="1" w:after="100" w:afterAutospacing="1" w:line="360" w:lineRule="auto"/>
        <w:ind w:left="2400" w:leftChars="400" w:right="1296" w:rightChars="648" w:hanging="1600"/>
        <w:jc w:val="left"/>
        <w:rPr>
          <w:rFonts w:ascii="仿宋" w:hAnsi="仿宋" w:eastAsia="仿宋" w:cs="仿宋"/>
          <w:b/>
          <w:kern w:val="2"/>
          <w:sz w:val="28"/>
          <w:szCs w:val="28"/>
        </w:rPr>
      </w:pPr>
      <w:r>
        <w:rPr>
          <w:rFonts w:hint="eastAsia" w:ascii="仿宋" w:hAnsi="仿宋" w:eastAsia="仿宋" w:cs="仿宋"/>
          <w:b/>
          <w:kern w:val="2"/>
          <w:sz w:val="28"/>
          <w:szCs w:val="28"/>
        </w:rPr>
        <w:t>项目名称：</w:t>
      </w:r>
      <w:r>
        <w:rPr>
          <w:rFonts w:hint="eastAsia" w:ascii="仿宋" w:hAnsi="仿宋" w:eastAsia="仿宋" w:cs="仿宋"/>
          <w:b/>
          <w:kern w:val="2"/>
          <w:sz w:val="28"/>
          <w:szCs w:val="28"/>
          <w:u w:val="single"/>
        </w:rPr>
        <w:t xml:space="preserve">广东省广裕集团肇庆祥达实业有限公司生产管理系统配套设备                           </w:t>
      </w:r>
    </w:p>
    <w:p w14:paraId="344BEC1B">
      <w:pPr>
        <w:spacing w:line="440" w:lineRule="exact"/>
        <w:jc w:val="center"/>
        <w:rPr>
          <w:rFonts w:ascii="仿宋" w:hAnsi="仿宋" w:eastAsia="仿宋" w:cs="仿宋"/>
          <w:b/>
          <w:kern w:val="2"/>
          <w:sz w:val="28"/>
          <w:szCs w:val="28"/>
        </w:rPr>
        <w:sectPr>
          <w:pgSz w:w="11906" w:h="16838"/>
          <w:pgMar w:top="1304" w:right="1304" w:bottom="1134" w:left="1304" w:header="851" w:footer="992" w:gutter="0"/>
          <w:pgNumType w:fmt="numberInDash"/>
          <w:cols w:space="425" w:num="1"/>
          <w:docGrid w:type="lines" w:linePitch="312" w:charSpace="0"/>
        </w:sectPr>
      </w:pPr>
      <w:r>
        <w:rPr>
          <w:rFonts w:hint="eastAsia" w:ascii="仿宋" w:hAnsi="仿宋" w:eastAsia="仿宋" w:cs="仿宋"/>
          <w:b/>
          <w:kern w:val="2"/>
          <w:sz w:val="28"/>
          <w:szCs w:val="28"/>
        </w:rPr>
        <w:t>签订日期：     年    月    日</w:t>
      </w:r>
      <w:r>
        <w:rPr>
          <w:rFonts w:hint="eastAsia" w:ascii="仿宋" w:hAnsi="仿宋" w:eastAsia="仿宋" w:cs="仿宋"/>
          <w:b/>
          <w:kern w:val="2"/>
          <w:sz w:val="28"/>
          <w:szCs w:val="28"/>
        </w:rPr>
        <w:br w:type="page"/>
      </w:r>
    </w:p>
    <w:p w14:paraId="5CD28DEB">
      <w:pPr>
        <w:spacing w:line="440" w:lineRule="exact"/>
        <w:jc w:val="center"/>
        <w:rPr>
          <w:rFonts w:ascii="仿宋" w:hAnsi="仿宋" w:eastAsia="仿宋" w:cs="仿宋"/>
          <w:b/>
          <w:kern w:val="2"/>
          <w:sz w:val="28"/>
          <w:szCs w:val="28"/>
        </w:rPr>
      </w:pPr>
      <w:r>
        <w:rPr>
          <w:rFonts w:hint="eastAsia" w:ascii="仿宋" w:hAnsi="仿宋" w:eastAsia="仿宋" w:cs="仿宋"/>
          <w:b/>
          <w:kern w:val="2"/>
          <w:sz w:val="28"/>
          <w:szCs w:val="28"/>
        </w:rPr>
        <w:t>合同书</w:t>
      </w:r>
    </w:p>
    <w:p w14:paraId="3CF35720">
      <w:pPr>
        <w:spacing w:line="360" w:lineRule="auto"/>
        <w:rPr>
          <w:rFonts w:ascii="仿宋" w:hAnsi="仿宋" w:eastAsia="仿宋" w:cs="仿宋"/>
          <w:kern w:val="2"/>
          <w:sz w:val="28"/>
          <w:szCs w:val="28"/>
          <w:u w:val="single"/>
        </w:rPr>
      </w:pPr>
      <w:r>
        <w:rPr>
          <w:rFonts w:hint="eastAsia" w:ascii="仿宋" w:hAnsi="仿宋" w:eastAsia="仿宋" w:cs="仿宋"/>
          <w:kern w:val="2"/>
          <w:sz w:val="28"/>
          <w:szCs w:val="28"/>
        </w:rPr>
        <w:t>甲方（需方）：</w:t>
      </w:r>
      <w:r>
        <w:rPr>
          <w:rFonts w:hint="eastAsia" w:ascii="仿宋" w:hAnsi="仿宋" w:eastAsia="仿宋" w:cs="仿宋"/>
          <w:kern w:val="2"/>
          <w:sz w:val="28"/>
          <w:szCs w:val="28"/>
          <w:u w:val="single"/>
        </w:rPr>
        <w:t xml:space="preserve">  广东省广裕集团肇庆祥达实业有限公司 </w:t>
      </w:r>
      <w:r>
        <w:rPr>
          <w:rFonts w:hint="eastAsia" w:ascii="仿宋" w:hAnsi="仿宋" w:eastAsia="仿宋" w:cs="仿宋"/>
          <w:kern w:val="2"/>
          <w:sz w:val="28"/>
          <w:szCs w:val="28"/>
        </w:rPr>
        <w:t xml:space="preserve">   </w:t>
      </w:r>
    </w:p>
    <w:p w14:paraId="1BBAC7DD">
      <w:pPr>
        <w:spacing w:line="360" w:lineRule="auto"/>
        <w:rPr>
          <w:rFonts w:ascii="仿宋" w:hAnsi="仿宋" w:eastAsia="仿宋" w:cs="仿宋"/>
          <w:kern w:val="2"/>
          <w:sz w:val="28"/>
          <w:szCs w:val="28"/>
          <w:u w:val="single"/>
        </w:rPr>
      </w:pPr>
      <w:r>
        <w:rPr>
          <w:rFonts w:hint="eastAsia" w:ascii="仿宋" w:hAnsi="仿宋" w:eastAsia="仿宋" w:cs="仿宋"/>
          <w:kern w:val="2"/>
          <w:sz w:val="28"/>
          <w:szCs w:val="28"/>
        </w:rPr>
        <w:t>乙方（供方）：</w:t>
      </w:r>
      <w:r>
        <w:rPr>
          <w:rFonts w:hint="eastAsia" w:ascii="仿宋" w:hAnsi="仿宋" w:eastAsia="仿宋" w:cs="仿宋"/>
          <w:kern w:val="2"/>
          <w:sz w:val="28"/>
          <w:szCs w:val="28"/>
          <w:u w:val="single"/>
        </w:rPr>
        <w:t xml:space="preserve">                                    </w:t>
      </w:r>
    </w:p>
    <w:p w14:paraId="2E7CBFFF">
      <w:pPr>
        <w:spacing w:line="360" w:lineRule="auto"/>
        <w:rPr>
          <w:rFonts w:ascii="仿宋" w:hAnsi="仿宋" w:eastAsia="仿宋" w:cs="仿宋"/>
          <w:kern w:val="2"/>
          <w:sz w:val="28"/>
          <w:szCs w:val="28"/>
        </w:rPr>
      </w:pPr>
      <w:r>
        <w:rPr>
          <w:rFonts w:hint="eastAsia" w:ascii="仿宋" w:hAnsi="仿宋" w:eastAsia="仿宋" w:cs="仿宋"/>
          <w:kern w:val="2"/>
          <w:sz w:val="28"/>
          <w:szCs w:val="28"/>
        </w:rPr>
        <w:t>合同编号：</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 xml:space="preserve">             </w:t>
      </w:r>
    </w:p>
    <w:p w14:paraId="6EFE9EE9">
      <w:pPr>
        <w:spacing w:line="360" w:lineRule="auto"/>
        <w:rPr>
          <w:rFonts w:ascii="仿宋" w:hAnsi="仿宋" w:eastAsia="仿宋" w:cs="仿宋"/>
          <w:kern w:val="2"/>
          <w:sz w:val="28"/>
          <w:szCs w:val="28"/>
          <w:u w:val="single"/>
        </w:rPr>
      </w:pPr>
      <w:r>
        <w:rPr>
          <w:rFonts w:hint="eastAsia" w:ascii="仿宋" w:hAnsi="仿宋" w:eastAsia="仿宋" w:cs="仿宋"/>
          <w:kern w:val="2"/>
          <w:sz w:val="28"/>
          <w:szCs w:val="28"/>
        </w:rPr>
        <w:t>签约地点：</w:t>
      </w:r>
      <w:r>
        <w:rPr>
          <w:rFonts w:hint="eastAsia" w:ascii="仿宋" w:hAnsi="仿宋" w:eastAsia="仿宋" w:cs="仿宋"/>
          <w:kern w:val="2"/>
          <w:sz w:val="28"/>
          <w:szCs w:val="28"/>
          <w:u w:val="single"/>
        </w:rPr>
        <w:t xml:space="preserve">                                        </w:t>
      </w:r>
    </w:p>
    <w:p w14:paraId="3DDEB7A8">
      <w:pPr>
        <w:spacing w:line="440" w:lineRule="exact"/>
        <w:rPr>
          <w:rFonts w:ascii="仿宋" w:hAnsi="仿宋" w:eastAsia="仿宋" w:cs="仿宋"/>
          <w:kern w:val="2"/>
          <w:sz w:val="28"/>
          <w:szCs w:val="28"/>
        </w:rPr>
      </w:pPr>
    </w:p>
    <w:p w14:paraId="2A05CFAC">
      <w:pPr>
        <w:keepNext/>
        <w:keepLines/>
        <w:spacing w:before="340" w:after="330" w:line="440" w:lineRule="exact"/>
        <w:jc w:val="left"/>
        <w:rPr>
          <w:rFonts w:ascii="仿宋" w:hAnsi="仿宋" w:eastAsia="仿宋" w:cs="仿宋"/>
          <w:kern w:val="28"/>
          <w:sz w:val="28"/>
          <w:szCs w:val="28"/>
        </w:rPr>
      </w:pPr>
      <w:r>
        <w:rPr>
          <w:rFonts w:hint="eastAsia" w:ascii="仿宋" w:hAnsi="仿宋" w:eastAsia="仿宋" w:cs="仿宋"/>
          <w:kern w:val="2"/>
          <w:sz w:val="28"/>
          <w:szCs w:val="28"/>
        </w:rPr>
        <w:t>参照政府采购的相关法律法规及《中华人民共和国民法典》，“</w:t>
      </w:r>
      <w:r>
        <w:rPr>
          <w:rFonts w:hint="eastAsia" w:ascii="仿宋" w:hAnsi="仿宋" w:eastAsia="仿宋" w:cs="仿宋"/>
          <w:snapToGrid w:val="0"/>
          <w:sz w:val="28"/>
          <w:szCs w:val="28"/>
        </w:rPr>
        <w:t>广东省广裕集团肇庆祥达实业有限公司生产管理系统配套设备”的竞价文件（项目编号：        ）</w:t>
      </w:r>
      <w:r>
        <w:rPr>
          <w:rFonts w:hint="eastAsia" w:ascii="仿宋" w:hAnsi="仿宋" w:eastAsia="仿宋" w:cs="仿宋"/>
          <w:kern w:val="2"/>
          <w:sz w:val="28"/>
          <w:szCs w:val="28"/>
        </w:rPr>
        <w:t>的要求及报价文件的承诺，</w:t>
      </w:r>
      <w:r>
        <w:rPr>
          <w:rFonts w:hint="eastAsia" w:ascii="仿宋" w:hAnsi="仿宋" w:eastAsia="仿宋" w:cs="仿宋"/>
          <w:kern w:val="28"/>
          <w:sz w:val="28"/>
          <w:szCs w:val="28"/>
        </w:rPr>
        <w:t>经双方协商，</w:t>
      </w:r>
      <w:r>
        <w:rPr>
          <w:rFonts w:hint="eastAsia" w:ascii="仿宋" w:hAnsi="仿宋" w:eastAsia="仿宋" w:cs="仿宋"/>
          <w:kern w:val="2"/>
          <w:sz w:val="28"/>
          <w:szCs w:val="28"/>
        </w:rPr>
        <w:t>本着平等互利和诚实信用的原则，</w:t>
      </w:r>
      <w:r>
        <w:rPr>
          <w:rFonts w:hint="eastAsia" w:ascii="仿宋" w:hAnsi="仿宋" w:eastAsia="仿宋" w:cs="仿宋"/>
          <w:kern w:val="28"/>
          <w:sz w:val="28"/>
          <w:szCs w:val="28"/>
        </w:rPr>
        <w:t>一致同意签订本合同如下。</w:t>
      </w:r>
    </w:p>
    <w:p w14:paraId="5C634AA8">
      <w:pPr>
        <w:numPr>
          <w:ilvl w:val="0"/>
          <w:numId w:val="1"/>
        </w:numPr>
        <w:snapToGrid w:val="0"/>
        <w:spacing w:line="440" w:lineRule="exact"/>
        <w:rPr>
          <w:rFonts w:ascii="仿宋" w:hAnsi="仿宋" w:eastAsia="仿宋" w:cs="仿宋"/>
          <w:b/>
          <w:bCs/>
          <w:kern w:val="2"/>
          <w:sz w:val="28"/>
          <w:szCs w:val="28"/>
        </w:rPr>
      </w:pPr>
      <w:r>
        <w:rPr>
          <w:rFonts w:hint="eastAsia" w:ascii="仿宋" w:hAnsi="仿宋" w:eastAsia="仿宋" w:cs="仿宋"/>
          <w:b/>
          <w:bCs/>
          <w:kern w:val="2"/>
          <w:sz w:val="28"/>
          <w:szCs w:val="28"/>
        </w:rPr>
        <w:t>货物清单和施工内容</w:t>
      </w:r>
    </w:p>
    <w:p w14:paraId="53D729E9">
      <w:pPr>
        <w:autoSpaceDE w:val="0"/>
        <w:autoSpaceDN w:val="0"/>
        <w:adjustRightInd w:val="0"/>
        <w:spacing w:line="440" w:lineRule="exact"/>
        <w:rPr>
          <w:rFonts w:ascii="仿宋" w:hAnsi="仿宋" w:eastAsia="仿宋" w:cs="仿宋"/>
          <w:b/>
          <w:bCs/>
          <w:color w:val="000000"/>
          <w:kern w:val="2"/>
          <w:sz w:val="28"/>
          <w:szCs w:val="28"/>
        </w:rPr>
      </w:pPr>
      <w:r>
        <w:rPr>
          <w:rFonts w:hint="eastAsia" w:ascii="仿宋" w:hAnsi="仿宋" w:eastAsia="仿宋" w:cs="仿宋"/>
          <w:b/>
          <w:bCs/>
          <w:color w:val="000000"/>
          <w:kern w:val="2"/>
          <w:sz w:val="28"/>
          <w:szCs w:val="28"/>
        </w:rPr>
        <w:t>1.货物清单</w:t>
      </w:r>
    </w:p>
    <w:tbl>
      <w:tblPr>
        <w:tblStyle w:val="13"/>
        <w:tblW w:w="4999" w:type="pct"/>
        <w:tblInd w:w="97" w:type="dxa"/>
        <w:tblLayout w:type="autofit"/>
        <w:tblCellMar>
          <w:top w:w="0" w:type="dxa"/>
          <w:left w:w="108" w:type="dxa"/>
          <w:bottom w:w="0" w:type="dxa"/>
          <w:right w:w="108" w:type="dxa"/>
        </w:tblCellMar>
      </w:tblPr>
      <w:tblGrid>
        <w:gridCol w:w="631"/>
        <w:gridCol w:w="1715"/>
        <w:gridCol w:w="1172"/>
        <w:gridCol w:w="2304"/>
        <w:gridCol w:w="2325"/>
        <w:gridCol w:w="646"/>
        <w:gridCol w:w="776"/>
        <w:tblGridChange w:id="0">
          <w:tblGrid>
            <w:gridCol w:w="97"/>
            <w:gridCol w:w="582"/>
            <w:gridCol w:w="713"/>
            <w:gridCol w:w="1"/>
            <w:gridCol w:w="865"/>
            <w:gridCol w:w="526"/>
            <w:gridCol w:w="553"/>
          </w:tblGrid>
        </w:tblGridChange>
      </w:tblGrid>
      <w:tr w14:paraId="3545674A">
        <w:tblPrEx>
          <w:tblCellMar>
            <w:top w:w="0" w:type="dxa"/>
            <w:left w:w="108" w:type="dxa"/>
            <w:bottom w:w="0" w:type="dxa"/>
            <w:right w:w="108" w:type="dxa"/>
          </w:tblCellMar>
        </w:tblPrEx>
        <w:trPr>
          <w:wBefore w:w="50" w:type="pct"/>
          <w:wAfter w:w="351" w:type="pct"/>
          <w:trHeight w:val="930" w:hRule="atLeast"/>
        </w:trPr>
        <w:tc>
          <w:tcPr>
            <w:tcW w:w="304" w:type="pct"/>
            <w:tcBorders>
              <w:top w:val="single" w:color="auto" w:sz="8" w:space="0"/>
              <w:left w:val="single" w:color="auto" w:sz="8" w:space="0"/>
              <w:bottom w:val="single" w:color="auto" w:sz="8" w:space="0"/>
              <w:right w:val="single" w:color="auto" w:sz="8" w:space="0"/>
            </w:tcBorders>
            <w:shd w:val="clear" w:color="auto" w:fill="auto"/>
            <w:vAlign w:val="center"/>
          </w:tcPr>
          <w:p w14:paraId="72915138">
            <w:pPr>
              <w:widowControl/>
              <w:jc w:val="center"/>
              <w:rPr>
                <w:rFonts w:hint="eastAsia" w:ascii="仿宋" w:hAnsi="仿宋" w:eastAsia="仿宋" w:cs="仿宋"/>
                <w:color w:val="000000"/>
                <w:sz w:val="28"/>
                <w:szCs w:val="28"/>
              </w:rPr>
            </w:pPr>
            <w:bookmarkStart w:id="0" w:name="_GoBack"/>
            <w:r>
              <w:rPr>
                <w:rFonts w:hint="eastAsia" w:ascii="仿宋" w:hAnsi="仿宋" w:eastAsia="仿宋" w:cs="仿宋"/>
                <w:color w:val="000000"/>
                <w:sz w:val="28"/>
                <w:szCs w:val="28"/>
              </w:rPr>
              <w:t>序号</w:t>
            </w:r>
          </w:p>
        </w:tc>
        <w:tc>
          <w:tcPr>
            <w:tcW w:w="825" w:type="pct"/>
            <w:tcBorders>
              <w:top w:val="single" w:color="auto" w:sz="8" w:space="0"/>
              <w:left w:val="nil"/>
              <w:bottom w:val="single" w:color="auto" w:sz="8" w:space="0"/>
              <w:right w:val="single" w:color="auto" w:sz="8" w:space="0"/>
            </w:tcBorders>
            <w:shd w:val="clear" w:color="auto" w:fill="auto"/>
            <w:vAlign w:val="center"/>
          </w:tcPr>
          <w:p w14:paraId="65E70502">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设备名称</w:t>
            </w:r>
          </w:p>
        </w:tc>
        <w:tc>
          <w:tcPr>
            <w:tcW w:w="564" w:type="pct"/>
            <w:tcBorders>
              <w:top w:val="single" w:color="auto" w:sz="8" w:space="0"/>
              <w:left w:val="nil"/>
              <w:bottom w:val="single" w:color="auto" w:sz="8" w:space="0"/>
              <w:right w:val="single" w:color="auto" w:sz="8" w:space="0"/>
            </w:tcBorders>
            <w:shd w:val="clear" w:color="auto" w:fill="auto"/>
            <w:vAlign w:val="center"/>
          </w:tcPr>
          <w:p w14:paraId="53682B84">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品牌</w:t>
            </w:r>
          </w:p>
        </w:tc>
        <w:tc>
          <w:tcPr>
            <w:tcW w:w="1108" w:type="pct"/>
            <w:tcBorders>
              <w:top w:val="single" w:color="auto" w:sz="8" w:space="0"/>
              <w:left w:val="nil"/>
              <w:bottom w:val="single" w:color="auto" w:sz="8" w:space="0"/>
              <w:right w:val="single" w:color="auto" w:sz="8" w:space="0"/>
            </w:tcBorders>
            <w:shd w:val="clear" w:color="auto" w:fill="auto"/>
            <w:vAlign w:val="center"/>
          </w:tcPr>
          <w:p w14:paraId="2556E045">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型号</w:t>
            </w:r>
          </w:p>
        </w:tc>
        <w:tc>
          <w:tcPr>
            <w:tcW w:w="1118" w:type="pct"/>
            <w:tcBorders>
              <w:top w:val="single" w:color="auto" w:sz="8" w:space="0"/>
              <w:left w:val="nil"/>
              <w:bottom w:val="single" w:color="auto" w:sz="8" w:space="0"/>
              <w:right w:val="single" w:color="auto" w:sz="8" w:space="0"/>
            </w:tcBorders>
            <w:shd w:val="clear" w:color="auto" w:fill="auto"/>
            <w:vAlign w:val="center"/>
          </w:tcPr>
          <w:p w14:paraId="78E98A84">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规格要求</w:t>
            </w:r>
          </w:p>
        </w:tc>
        <w:tc>
          <w:tcPr>
            <w:tcW w:w="311" w:type="pct"/>
            <w:tcBorders>
              <w:top w:val="single" w:color="auto" w:sz="8" w:space="0"/>
              <w:left w:val="nil"/>
              <w:bottom w:val="single" w:color="auto" w:sz="8" w:space="0"/>
              <w:right w:val="single" w:color="auto" w:sz="8" w:space="0"/>
            </w:tcBorders>
            <w:shd w:val="clear" w:color="auto" w:fill="auto"/>
            <w:vAlign w:val="center"/>
          </w:tcPr>
          <w:p w14:paraId="567B644C">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单位</w:t>
            </w:r>
          </w:p>
        </w:tc>
        <w:tc>
          <w:tcPr>
            <w:tcW w:w="370" w:type="pct"/>
            <w:tcBorders>
              <w:top w:val="single" w:color="auto" w:sz="8" w:space="0"/>
              <w:left w:val="nil"/>
              <w:bottom w:val="single" w:color="auto" w:sz="8" w:space="0"/>
              <w:right w:val="single" w:color="auto" w:sz="8" w:space="0"/>
            </w:tcBorders>
            <w:shd w:val="clear" w:color="auto" w:fill="auto"/>
            <w:vAlign w:val="center"/>
          </w:tcPr>
          <w:p w14:paraId="7114F45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r>
      <w:tr w14:paraId="355019DC">
        <w:tblPrEx>
          <w:tblCellMar>
            <w:top w:w="0" w:type="dxa"/>
            <w:left w:w="108" w:type="dxa"/>
            <w:bottom w:w="0" w:type="dxa"/>
            <w:right w:w="108" w:type="dxa"/>
          </w:tblCellMar>
        </w:tblPrEx>
        <w:trPr>
          <w:wBefore w:w="50" w:type="pct"/>
          <w:wAfter w:w="351" w:type="pct"/>
          <w:trHeight w:val="1015" w:hRule="atLeast"/>
        </w:trPr>
        <w:tc>
          <w:tcPr>
            <w:tcW w:w="304" w:type="pct"/>
            <w:tcBorders>
              <w:top w:val="nil"/>
              <w:left w:val="single" w:color="auto" w:sz="8" w:space="0"/>
              <w:bottom w:val="single" w:color="auto" w:sz="8" w:space="0"/>
              <w:right w:val="single" w:color="auto" w:sz="8" w:space="0"/>
            </w:tcBorders>
            <w:shd w:val="clear" w:color="auto" w:fill="auto"/>
            <w:vAlign w:val="center"/>
          </w:tcPr>
          <w:p w14:paraId="05511C65">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825" w:type="pct"/>
            <w:tcBorders>
              <w:top w:val="nil"/>
              <w:left w:val="nil"/>
              <w:bottom w:val="single" w:color="auto" w:sz="8" w:space="0"/>
              <w:right w:val="single" w:color="auto" w:sz="8" w:space="0"/>
            </w:tcBorders>
            <w:shd w:val="clear" w:color="auto" w:fill="auto"/>
            <w:vAlign w:val="center"/>
          </w:tcPr>
          <w:p w14:paraId="0B7618E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交换机</w:t>
            </w:r>
          </w:p>
        </w:tc>
        <w:tc>
          <w:tcPr>
            <w:tcW w:w="564" w:type="pct"/>
            <w:tcBorders>
              <w:top w:val="nil"/>
              <w:left w:val="nil"/>
              <w:bottom w:val="single" w:color="auto" w:sz="8" w:space="0"/>
              <w:right w:val="single" w:color="auto" w:sz="8" w:space="0"/>
            </w:tcBorders>
            <w:shd w:val="clear" w:color="auto" w:fill="auto"/>
            <w:vAlign w:val="center"/>
          </w:tcPr>
          <w:p w14:paraId="4232D817">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华为</w:t>
            </w:r>
          </w:p>
        </w:tc>
        <w:tc>
          <w:tcPr>
            <w:tcW w:w="1108" w:type="pct"/>
            <w:tcBorders>
              <w:top w:val="nil"/>
              <w:left w:val="nil"/>
              <w:bottom w:val="single" w:color="auto" w:sz="8" w:space="0"/>
              <w:right w:val="single" w:color="auto" w:sz="8" w:space="0"/>
            </w:tcBorders>
            <w:shd w:val="clear" w:color="auto" w:fill="auto"/>
            <w:vAlign w:val="center"/>
          </w:tcPr>
          <w:p w14:paraId="403EEF29">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CloudEngine S5735-L-Q</w:t>
            </w:r>
          </w:p>
        </w:tc>
        <w:tc>
          <w:tcPr>
            <w:tcW w:w="1118" w:type="pct"/>
            <w:tcBorders>
              <w:top w:val="nil"/>
              <w:left w:val="nil"/>
              <w:bottom w:val="single" w:color="auto" w:sz="8" w:space="0"/>
              <w:right w:val="single" w:color="auto" w:sz="8" w:space="0"/>
            </w:tcBorders>
            <w:shd w:val="clear" w:color="auto" w:fill="auto"/>
            <w:vAlign w:val="center"/>
          </w:tcPr>
          <w:p w14:paraId="1653DFF4">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千兆端口，支持VLAN、QoS</w:t>
            </w:r>
          </w:p>
        </w:tc>
        <w:tc>
          <w:tcPr>
            <w:tcW w:w="311" w:type="pct"/>
            <w:tcBorders>
              <w:top w:val="nil"/>
              <w:left w:val="nil"/>
              <w:bottom w:val="single" w:color="auto" w:sz="8" w:space="0"/>
              <w:right w:val="single" w:color="auto" w:sz="8" w:space="0"/>
            </w:tcBorders>
            <w:shd w:val="clear" w:color="auto" w:fill="auto"/>
            <w:vAlign w:val="center"/>
          </w:tcPr>
          <w:p w14:paraId="75C8ADC4">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c>
          <w:tcPr>
            <w:tcW w:w="370" w:type="pct"/>
            <w:tcBorders>
              <w:top w:val="nil"/>
              <w:left w:val="nil"/>
              <w:bottom w:val="single" w:color="auto" w:sz="8" w:space="0"/>
              <w:right w:val="single" w:color="auto" w:sz="8" w:space="0"/>
            </w:tcBorders>
            <w:shd w:val="clear" w:color="auto" w:fill="auto"/>
            <w:vAlign w:val="center"/>
          </w:tcPr>
          <w:p w14:paraId="68B88BB5">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r>
      <w:tr w14:paraId="557AF8CA">
        <w:tblPrEx>
          <w:tblCellMar>
            <w:top w:w="0" w:type="dxa"/>
            <w:left w:w="108" w:type="dxa"/>
            <w:bottom w:w="0" w:type="dxa"/>
            <w:right w:w="108" w:type="dxa"/>
          </w:tblCellMar>
        </w:tblPrEx>
        <w:trPr>
          <w:wBefore w:w="50" w:type="pct"/>
          <w:wAfter w:w="351" w:type="pct"/>
          <w:trHeight w:val="2175" w:hRule="atLeast"/>
        </w:trPr>
        <w:tc>
          <w:tcPr>
            <w:tcW w:w="304" w:type="pct"/>
            <w:tcBorders>
              <w:top w:val="nil"/>
              <w:left w:val="single" w:color="auto" w:sz="8" w:space="0"/>
              <w:bottom w:val="single" w:color="auto" w:sz="8" w:space="0"/>
              <w:right w:val="single" w:color="auto" w:sz="8" w:space="0"/>
            </w:tcBorders>
            <w:shd w:val="clear" w:color="auto" w:fill="auto"/>
            <w:vAlign w:val="center"/>
          </w:tcPr>
          <w:p w14:paraId="2BAE77C7">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825" w:type="pct"/>
            <w:tcBorders>
              <w:top w:val="nil"/>
              <w:left w:val="nil"/>
              <w:bottom w:val="single" w:color="auto" w:sz="8" w:space="0"/>
              <w:right w:val="single" w:color="auto" w:sz="8" w:space="0"/>
            </w:tcBorders>
            <w:shd w:val="clear" w:color="auto" w:fill="auto"/>
            <w:vAlign w:val="center"/>
          </w:tcPr>
          <w:p w14:paraId="7FF78528">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计算机</w:t>
            </w:r>
          </w:p>
        </w:tc>
        <w:tc>
          <w:tcPr>
            <w:tcW w:w="564" w:type="pct"/>
            <w:tcBorders>
              <w:top w:val="nil"/>
              <w:left w:val="nil"/>
              <w:bottom w:val="single" w:color="auto" w:sz="8" w:space="0"/>
              <w:right w:val="single" w:color="auto" w:sz="8" w:space="0"/>
            </w:tcBorders>
            <w:shd w:val="clear" w:color="auto" w:fill="auto"/>
            <w:vAlign w:val="center"/>
          </w:tcPr>
          <w:p w14:paraId="7B0645BA">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联想</w:t>
            </w:r>
          </w:p>
        </w:tc>
        <w:tc>
          <w:tcPr>
            <w:tcW w:w="1108" w:type="pct"/>
            <w:tcBorders>
              <w:top w:val="nil"/>
              <w:left w:val="nil"/>
              <w:bottom w:val="single" w:color="auto" w:sz="8" w:space="0"/>
              <w:right w:val="single" w:color="auto" w:sz="8" w:space="0"/>
            </w:tcBorders>
            <w:shd w:val="clear" w:color="auto" w:fill="auto"/>
            <w:vAlign w:val="center"/>
          </w:tcPr>
          <w:p w14:paraId="4E006311">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开天 M99h G1t-D749</w:t>
            </w:r>
          </w:p>
        </w:tc>
        <w:tc>
          <w:tcPr>
            <w:tcW w:w="1118" w:type="pct"/>
            <w:tcBorders>
              <w:top w:val="nil"/>
              <w:left w:val="nil"/>
              <w:bottom w:val="single" w:color="auto" w:sz="8" w:space="0"/>
              <w:right w:val="single" w:color="auto" w:sz="8" w:space="0"/>
            </w:tcBorders>
            <w:shd w:val="clear" w:color="auto" w:fill="auto"/>
            <w:vAlign w:val="center"/>
          </w:tcPr>
          <w:p w14:paraId="587A38BD">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海光C86-3G 3350处理器/16G内存/1TB固态硬盘/2TB机械硬盘/4GB独立显卡/23.8英寸显示屏/安装银河麒麟v10操作系统</w:t>
            </w:r>
          </w:p>
        </w:tc>
        <w:tc>
          <w:tcPr>
            <w:tcW w:w="311" w:type="pct"/>
            <w:tcBorders>
              <w:top w:val="nil"/>
              <w:left w:val="nil"/>
              <w:bottom w:val="single" w:color="auto" w:sz="8" w:space="0"/>
              <w:right w:val="single" w:color="auto" w:sz="8" w:space="0"/>
            </w:tcBorders>
            <w:shd w:val="clear" w:color="auto" w:fill="auto"/>
            <w:vAlign w:val="center"/>
          </w:tcPr>
          <w:p w14:paraId="64D51A6A">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370" w:type="pct"/>
            <w:tcBorders>
              <w:top w:val="nil"/>
              <w:left w:val="nil"/>
              <w:bottom w:val="single" w:color="auto" w:sz="8" w:space="0"/>
              <w:right w:val="single" w:color="auto" w:sz="8" w:space="0"/>
            </w:tcBorders>
            <w:shd w:val="clear" w:color="auto" w:fill="auto"/>
            <w:vAlign w:val="center"/>
          </w:tcPr>
          <w:p w14:paraId="04AD3BEE">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r>
      <w:tr w14:paraId="2A4EB07D">
        <w:tblPrEx>
          <w:tblCellMar>
            <w:top w:w="0" w:type="dxa"/>
            <w:left w:w="108" w:type="dxa"/>
            <w:bottom w:w="0" w:type="dxa"/>
            <w:right w:w="108" w:type="dxa"/>
          </w:tblCellMar>
        </w:tblPrEx>
        <w:trPr>
          <w:wBefore w:w="50" w:type="pct"/>
          <w:wAfter w:w="351" w:type="pct"/>
          <w:trHeight w:val="838" w:hRule="atLeast"/>
        </w:trPr>
        <w:tc>
          <w:tcPr>
            <w:tcW w:w="304" w:type="pct"/>
            <w:tcBorders>
              <w:top w:val="nil"/>
              <w:left w:val="single" w:color="auto" w:sz="8" w:space="0"/>
              <w:bottom w:val="single" w:color="auto" w:sz="8" w:space="0"/>
              <w:right w:val="single" w:color="auto" w:sz="8" w:space="0"/>
            </w:tcBorders>
            <w:shd w:val="clear" w:color="auto" w:fill="auto"/>
            <w:vAlign w:val="center"/>
          </w:tcPr>
          <w:p w14:paraId="4131A5C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825" w:type="pct"/>
            <w:tcBorders>
              <w:top w:val="nil"/>
              <w:left w:val="nil"/>
              <w:bottom w:val="single" w:color="auto" w:sz="8" w:space="0"/>
              <w:right w:val="single" w:color="auto" w:sz="8" w:space="0"/>
            </w:tcBorders>
            <w:shd w:val="clear" w:color="auto" w:fill="auto"/>
            <w:vAlign w:val="center"/>
          </w:tcPr>
          <w:p w14:paraId="3E36E42C">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尾纤</w:t>
            </w:r>
          </w:p>
        </w:tc>
        <w:tc>
          <w:tcPr>
            <w:tcW w:w="564" w:type="pct"/>
            <w:tcBorders>
              <w:top w:val="nil"/>
              <w:left w:val="nil"/>
              <w:bottom w:val="single" w:color="auto" w:sz="8" w:space="0"/>
              <w:right w:val="single" w:color="auto" w:sz="8" w:space="0"/>
            </w:tcBorders>
            <w:shd w:val="clear" w:color="auto" w:fill="auto"/>
            <w:vAlign w:val="center"/>
          </w:tcPr>
          <w:p w14:paraId="7E65FAF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国产</w:t>
            </w:r>
          </w:p>
        </w:tc>
        <w:tc>
          <w:tcPr>
            <w:tcW w:w="1108" w:type="pct"/>
            <w:tcBorders>
              <w:top w:val="nil"/>
              <w:left w:val="nil"/>
              <w:bottom w:val="single" w:color="auto" w:sz="8" w:space="0"/>
              <w:right w:val="single" w:color="auto" w:sz="8" w:space="0"/>
            </w:tcBorders>
            <w:shd w:val="clear" w:color="auto" w:fill="auto"/>
            <w:vAlign w:val="center"/>
          </w:tcPr>
          <w:p w14:paraId="4E2FD6E1">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118" w:type="pct"/>
            <w:tcBorders>
              <w:top w:val="nil"/>
              <w:left w:val="nil"/>
              <w:bottom w:val="single" w:color="auto" w:sz="8" w:space="0"/>
              <w:right w:val="single" w:color="auto" w:sz="8" w:space="0"/>
            </w:tcBorders>
            <w:shd w:val="clear" w:color="auto" w:fill="auto"/>
            <w:vAlign w:val="center"/>
          </w:tcPr>
          <w:p w14:paraId="1333B77C">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LC-LC单模尾纤</w:t>
            </w:r>
          </w:p>
        </w:tc>
        <w:tc>
          <w:tcPr>
            <w:tcW w:w="311" w:type="pct"/>
            <w:tcBorders>
              <w:top w:val="nil"/>
              <w:left w:val="nil"/>
              <w:bottom w:val="single" w:color="auto" w:sz="8" w:space="0"/>
              <w:right w:val="single" w:color="auto" w:sz="8" w:space="0"/>
            </w:tcBorders>
            <w:shd w:val="clear" w:color="auto" w:fill="auto"/>
            <w:vAlign w:val="center"/>
          </w:tcPr>
          <w:p w14:paraId="4C2746E2">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条</w:t>
            </w:r>
          </w:p>
        </w:tc>
        <w:tc>
          <w:tcPr>
            <w:tcW w:w="370" w:type="pct"/>
            <w:tcBorders>
              <w:top w:val="nil"/>
              <w:left w:val="nil"/>
              <w:bottom w:val="single" w:color="auto" w:sz="8" w:space="0"/>
              <w:right w:val="single" w:color="auto" w:sz="8" w:space="0"/>
            </w:tcBorders>
            <w:shd w:val="clear" w:color="auto" w:fill="auto"/>
            <w:vAlign w:val="center"/>
          </w:tcPr>
          <w:p w14:paraId="3CC1E4AE">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26</w:t>
            </w:r>
          </w:p>
        </w:tc>
      </w:tr>
      <w:tr w14:paraId="09579539">
        <w:tblPrEx>
          <w:tblCellMar>
            <w:top w:w="0" w:type="dxa"/>
            <w:left w:w="108" w:type="dxa"/>
            <w:bottom w:w="0" w:type="dxa"/>
            <w:right w:w="108" w:type="dxa"/>
          </w:tblCellMar>
        </w:tblPrEx>
        <w:trPr>
          <w:wBefore w:w="50" w:type="pct"/>
          <w:wAfter w:w="351" w:type="pct"/>
          <w:trHeight w:val="886" w:hRule="atLeast"/>
        </w:trPr>
        <w:tc>
          <w:tcPr>
            <w:tcW w:w="304" w:type="pct"/>
            <w:tcBorders>
              <w:top w:val="nil"/>
              <w:left w:val="single" w:color="auto" w:sz="8" w:space="0"/>
              <w:bottom w:val="single" w:color="auto" w:sz="8" w:space="0"/>
              <w:right w:val="single" w:color="auto" w:sz="8" w:space="0"/>
            </w:tcBorders>
            <w:shd w:val="clear" w:color="auto" w:fill="auto"/>
            <w:vAlign w:val="center"/>
          </w:tcPr>
          <w:p w14:paraId="230F2BB4">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825" w:type="pct"/>
            <w:tcBorders>
              <w:top w:val="nil"/>
              <w:left w:val="nil"/>
              <w:bottom w:val="single" w:color="auto" w:sz="8" w:space="0"/>
              <w:right w:val="single" w:color="auto" w:sz="8" w:space="0"/>
            </w:tcBorders>
            <w:shd w:val="clear" w:color="auto" w:fill="auto"/>
            <w:vAlign w:val="center"/>
          </w:tcPr>
          <w:p w14:paraId="76DE567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光模块</w:t>
            </w:r>
          </w:p>
        </w:tc>
        <w:tc>
          <w:tcPr>
            <w:tcW w:w="564" w:type="pct"/>
            <w:tcBorders>
              <w:top w:val="nil"/>
              <w:left w:val="nil"/>
              <w:bottom w:val="single" w:color="auto" w:sz="8" w:space="0"/>
              <w:right w:val="single" w:color="auto" w:sz="8" w:space="0"/>
            </w:tcBorders>
            <w:shd w:val="clear" w:color="auto" w:fill="auto"/>
            <w:vAlign w:val="center"/>
          </w:tcPr>
          <w:p w14:paraId="4AC0F28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华为</w:t>
            </w:r>
          </w:p>
        </w:tc>
        <w:tc>
          <w:tcPr>
            <w:tcW w:w="1108" w:type="pct"/>
            <w:tcBorders>
              <w:top w:val="nil"/>
              <w:left w:val="nil"/>
              <w:bottom w:val="single" w:color="auto" w:sz="8" w:space="0"/>
              <w:right w:val="single" w:color="auto" w:sz="8" w:space="0"/>
            </w:tcBorders>
            <w:shd w:val="clear" w:color="auto" w:fill="auto"/>
            <w:vAlign w:val="center"/>
          </w:tcPr>
          <w:p w14:paraId="6687779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118" w:type="pct"/>
            <w:tcBorders>
              <w:top w:val="nil"/>
              <w:left w:val="nil"/>
              <w:bottom w:val="single" w:color="auto" w:sz="8" w:space="0"/>
              <w:right w:val="single" w:color="auto" w:sz="8" w:space="0"/>
            </w:tcBorders>
            <w:shd w:val="clear" w:color="auto" w:fill="auto"/>
            <w:vAlign w:val="center"/>
          </w:tcPr>
          <w:p w14:paraId="34818F3A">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千兆以上单模光模块，LC接口</w:t>
            </w:r>
          </w:p>
        </w:tc>
        <w:tc>
          <w:tcPr>
            <w:tcW w:w="311" w:type="pct"/>
            <w:tcBorders>
              <w:top w:val="nil"/>
              <w:left w:val="nil"/>
              <w:bottom w:val="single" w:color="auto" w:sz="8" w:space="0"/>
              <w:right w:val="single" w:color="auto" w:sz="8" w:space="0"/>
            </w:tcBorders>
            <w:shd w:val="clear" w:color="auto" w:fill="auto"/>
            <w:vAlign w:val="center"/>
          </w:tcPr>
          <w:p w14:paraId="7D31CF0B">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c>
          <w:tcPr>
            <w:tcW w:w="370" w:type="pct"/>
            <w:tcBorders>
              <w:top w:val="nil"/>
              <w:left w:val="nil"/>
              <w:bottom w:val="single" w:color="auto" w:sz="8" w:space="0"/>
              <w:right w:val="single" w:color="auto" w:sz="8" w:space="0"/>
            </w:tcBorders>
            <w:shd w:val="clear" w:color="auto" w:fill="auto"/>
            <w:vAlign w:val="center"/>
          </w:tcPr>
          <w:p w14:paraId="5589607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26</w:t>
            </w:r>
          </w:p>
        </w:tc>
      </w:tr>
      <w:tr w14:paraId="216F37DF">
        <w:tblPrEx>
          <w:tblCellMar>
            <w:top w:w="0" w:type="dxa"/>
            <w:left w:w="108" w:type="dxa"/>
            <w:bottom w:w="0" w:type="dxa"/>
            <w:right w:w="108" w:type="dxa"/>
          </w:tblCellMar>
        </w:tblPrEx>
        <w:trPr>
          <w:wBefore w:w="50" w:type="pct"/>
          <w:wAfter w:w="351" w:type="pct"/>
          <w:trHeight w:val="948" w:hRule="atLeast"/>
        </w:trPr>
        <w:tc>
          <w:tcPr>
            <w:tcW w:w="304" w:type="pct"/>
            <w:tcBorders>
              <w:top w:val="nil"/>
              <w:left w:val="single" w:color="auto" w:sz="8" w:space="0"/>
              <w:bottom w:val="single" w:color="auto" w:sz="8" w:space="0"/>
              <w:right w:val="single" w:color="auto" w:sz="8" w:space="0"/>
            </w:tcBorders>
            <w:shd w:val="clear" w:color="auto" w:fill="auto"/>
            <w:vAlign w:val="center"/>
          </w:tcPr>
          <w:p w14:paraId="4B0E0873">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825" w:type="pct"/>
            <w:tcBorders>
              <w:top w:val="nil"/>
              <w:left w:val="nil"/>
              <w:bottom w:val="single" w:color="auto" w:sz="8" w:space="0"/>
              <w:right w:val="single" w:color="auto" w:sz="8" w:space="0"/>
            </w:tcBorders>
            <w:shd w:val="clear" w:color="auto" w:fill="auto"/>
            <w:vAlign w:val="center"/>
          </w:tcPr>
          <w:p w14:paraId="2363A06C">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网线</w:t>
            </w:r>
          </w:p>
        </w:tc>
        <w:tc>
          <w:tcPr>
            <w:tcW w:w="564" w:type="pct"/>
            <w:tcBorders>
              <w:top w:val="nil"/>
              <w:left w:val="nil"/>
              <w:bottom w:val="single" w:color="auto" w:sz="8" w:space="0"/>
              <w:right w:val="single" w:color="auto" w:sz="8" w:space="0"/>
            </w:tcBorders>
            <w:shd w:val="clear" w:color="auto" w:fill="auto"/>
            <w:vAlign w:val="center"/>
          </w:tcPr>
          <w:p w14:paraId="399AE72F">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海康</w:t>
            </w:r>
          </w:p>
        </w:tc>
        <w:tc>
          <w:tcPr>
            <w:tcW w:w="1108" w:type="pct"/>
            <w:tcBorders>
              <w:top w:val="nil"/>
              <w:left w:val="nil"/>
              <w:bottom w:val="single" w:color="auto" w:sz="8" w:space="0"/>
              <w:right w:val="single" w:color="auto" w:sz="8" w:space="0"/>
            </w:tcBorders>
            <w:shd w:val="clear" w:color="auto" w:fill="auto"/>
            <w:vAlign w:val="center"/>
          </w:tcPr>
          <w:p w14:paraId="6778D548">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118" w:type="pct"/>
            <w:tcBorders>
              <w:top w:val="nil"/>
              <w:left w:val="nil"/>
              <w:bottom w:val="single" w:color="auto" w:sz="8" w:space="0"/>
              <w:right w:val="single" w:color="auto" w:sz="8" w:space="0"/>
            </w:tcBorders>
            <w:shd w:val="clear" w:color="auto" w:fill="auto"/>
            <w:vAlign w:val="center"/>
          </w:tcPr>
          <w:p w14:paraId="3164555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超五类及以上</w:t>
            </w:r>
          </w:p>
        </w:tc>
        <w:tc>
          <w:tcPr>
            <w:tcW w:w="311" w:type="pct"/>
            <w:tcBorders>
              <w:top w:val="nil"/>
              <w:left w:val="nil"/>
              <w:bottom w:val="single" w:color="auto" w:sz="8" w:space="0"/>
              <w:right w:val="single" w:color="auto" w:sz="8" w:space="0"/>
            </w:tcBorders>
            <w:shd w:val="clear" w:color="auto" w:fill="auto"/>
            <w:vAlign w:val="center"/>
          </w:tcPr>
          <w:p w14:paraId="17977A1E">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米</w:t>
            </w:r>
          </w:p>
        </w:tc>
        <w:tc>
          <w:tcPr>
            <w:tcW w:w="370" w:type="pct"/>
            <w:tcBorders>
              <w:top w:val="nil"/>
              <w:left w:val="nil"/>
              <w:bottom w:val="single" w:color="auto" w:sz="8" w:space="0"/>
              <w:right w:val="single" w:color="auto" w:sz="8" w:space="0"/>
            </w:tcBorders>
            <w:shd w:val="clear" w:color="auto" w:fill="auto"/>
            <w:vAlign w:val="center"/>
          </w:tcPr>
          <w:p w14:paraId="75ACFF87">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9100</w:t>
            </w:r>
          </w:p>
        </w:tc>
      </w:tr>
      <w:tr w14:paraId="57A9B916">
        <w:tblPrEx>
          <w:tblCellMar>
            <w:top w:w="0" w:type="dxa"/>
            <w:left w:w="108" w:type="dxa"/>
            <w:bottom w:w="0" w:type="dxa"/>
            <w:right w:w="108" w:type="dxa"/>
          </w:tblCellMar>
        </w:tblPrEx>
        <w:trPr>
          <w:wBefore w:w="50" w:type="pct"/>
          <w:wAfter w:w="351" w:type="pct"/>
          <w:trHeight w:val="982" w:hRule="atLeast"/>
        </w:trPr>
        <w:tc>
          <w:tcPr>
            <w:tcW w:w="304" w:type="pct"/>
            <w:tcBorders>
              <w:top w:val="nil"/>
              <w:left w:val="single" w:color="auto" w:sz="8" w:space="0"/>
              <w:bottom w:val="single" w:color="auto" w:sz="8" w:space="0"/>
              <w:right w:val="single" w:color="auto" w:sz="8" w:space="0"/>
            </w:tcBorders>
            <w:shd w:val="clear" w:color="auto" w:fill="auto"/>
            <w:vAlign w:val="center"/>
          </w:tcPr>
          <w:p w14:paraId="6B106B9C">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825" w:type="pct"/>
            <w:tcBorders>
              <w:top w:val="nil"/>
              <w:left w:val="nil"/>
              <w:bottom w:val="single" w:color="auto" w:sz="8" w:space="0"/>
              <w:right w:val="single" w:color="auto" w:sz="8" w:space="0"/>
            </w:tcBorders>
            <w:shd w:val="clear" w:color="auto" w:fill="auto"/>
            <w:vAlign w:val="center"/>
          </w:tcPr>
          <w:p w14:paraId="3497790C">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六类模块面板</w:t>
            </w:r>
          </w:p>
        </w:tc>
        <w:tc>
          <w:tcPr>
            <w:tcW w:w="564" w:type="pct"/>
            <w:tcBorders>
              <w:top w:val="nil"/>
              <w:left w:val="nil"/>
              <w:bottom w:val="single" w:color="auto" w:sz="8" w:space="0"/>
              <w:right w:val="single" w:color="auto" w:sz="8" w:space="0"/>
            </w:tcBorders>
            <w:shd w:val="clear" w:color="auto" w:fill="auto"/>
            <w:vAlign w:val="center"/>
          </w:tcPr>
          <w:p w14:paraId="6B5EE867">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国产</w:t>
            </w:r>
          </w:p>
        </w:tc>
        <w:tc>
          <w:tcPr>
            <w:tcW w:w="1108" w:type="pct"/>
            <w:tcBorders>
              <w:top w:val="nil"/>
              <w:left w:val="nil"/>
              <w:bottom w:val="single" w:color="auto" w:sz="8" w:space="0"/>
              <w:right w:val="single" w:color="auto" w:sz="8" w:space="0"/>
            </w:tcBorders>
            <w:shd w:val="clear" w:color="auto" w:fill="auto"/>
            <w:vAlign w:val="center"/>
          </w:tcPr>
          <w:p w14:paraId="461968B9">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118" w:type="pct"/>
            <w:tcBorders>
              <w:top w:val="nil"/>
              <w:left w:val="nil"/>
              <w:bottom w:val="single" w:color="auto" w:sz="8" w:space="0"/>
              <w:right w:val="single" w:color="auto" w:sz="8" w:space="0"/>
            </w:tcBorders>
            <w:shd w:val="clear" w:color="auto" w:fill="auto"/>
            <w:vAlign w:val="center"/>
          </w:tcPr>
          <w:p w14:paraId="031AD6D7">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86型，免打信息模块</w:t>
            </w:r>
          </w:p>
        </w:tc>
        <w:tc>
          <w:tcPr>
            <w:tcW w:w="311" w:type="pct"/>
            <w:tcBorders>
              <w:top w:val="nil"/>
              <w:left w:val="nil"/>
              <w:bottom w:val="single" w:color="auto" w:sz="8" w:space="0"/>
              <w:right w:val="single" w:color="auto" w:sz="8" w:space="0"/>
            </w:tcBorders>
            <w:shd w:val="clear" w:color="auto" w:fill="auto"/>
            <w:vAlign w:val="center"/>
          </w:tcPr>
          <w:p w14:paraId="55B88CDA">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c>
          <w:tcPr>
            <w:tcW w:w="370" w:type="pct"/>
            <w:tcBorders>
              <w:top w:val="nil"/>
              <w:left w:val="nil"/>
              <w:bottom w:val="single" w:color="auto" w:sz="8" w:space="0"/>
              <w:right w:val="single" w:color="auto" w:sz="8" w:space="0"/>
            </w:tcBorders>
            <w:shd w:val="clear" w:color="auto" w:fill="auto"/>
            <w:vAlign w:val="center"/>
          </w:tcPr>
          <w:p w14:paraId="46B8A239">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234</w:t>
            </w:r>
          </w:p>
        </w:tc>
      </w:tr>
      <w:tr w14:paraId="2DA6F45F">
        <w:tblPrEx>
          <w:tblCellMar>
            <w:top w:w="0" w:type="dxa"/>
            <w:left w:w="108" w:type="dxa"/>
            <w:bottom w:w="0" w:type="dxa"/>
            <w:right w:w="108" w:type="dxa"/>
          </w:tblCellMar>
        </w:tblPrEx>
        <w:trPr>
          <w:wBefore w:w="50" w:type="pct"/>
          <w:wAfter w:w="351" w:type="pct"/>
          <w:trHeight w:val="888" w:hRule="atLeast"/>
        </w:trPr>
        <w:tc>
          <w:tcPr>
            <w:tcW w:w="304" w:type="pct"/>
            <w:tcBorders>
              <w:top w:val="nil"/>
              <w:left w:val="single" w:color="auto" w:sz="8" w:space="0"/>
              <w:bottom w:val="single" w:color="auto" w:sz="8" w:space="0"/>
              <w:right w:val="single" w:color="auto" w:sz="8" w:space="0"/>
            </w:tcBorders>
            <w:shd w:val="clear" w:color="auto" w:fill="auto"/>
            <w:vAlign w:val="center"/>
          </w:tcPr>
          <w:p w14:paraId="3680889E">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825" w:type="pct"/>
            <w:tcBorders>
              <w:top w:val="nil"/>
              <w:left w:val="nil"/>
              <w:bottom w:val="single" w:color="auto" w:sz="8" w:space="0"/>
              <w:right w:val="single" w:color="auto" w:sz="8" w:space="0"/>
            </w:tcBorders>
            <w:shd w:val="clear" w:color="auto" w:fill="auto"/>
            <w:vAlign w:val="center"/>
          </w:tcPr>
          <w:p w14:paraId="4072B19E">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安装调试</w:t>
            </w:r>
          </w:p>
        </w:tc>
        <w:tc>
          <w:tcPr>
            <w:tcW w:w="564" w:type="pct"/>
            <w:tcBorders>
              <w:top w:val="nil"/>
              <w:left w:val="nil"/>
              <w:bottom w:val="single" w:color="auto" w:sz="8" w:space="0"/>
              <w:right w:val="single" w:color="auto" w:sz="8" w:space="0"/>
            </w:tcBorders>
            <w:shd w:val="clear" w:color="auto" w:fill="auto"/>
            <w:vAlign w:val="center"/>
          </w:tcPr>
          <w:p w14:paraId="4D5D95C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108" w:type="pct"/>
            <w:tcBorders>
              <w:top w:val="nil"/>
              <w:left w:val="nil"/>
              <w:bottom w:val="single" w:color="auto" w:sz="8" w:space="0"/>
              <w:right w:val="single" w:color="auto" w:sz="8" w:space="0"/>
            </w:tcBorders>
            <w:shd w:val="clear" w:color="auto" w:fill="auto"/>
            <w:vAlign w:val="center"/>
          </w:tcPr>
          <w:p w14:paraId="12D5CB08">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118" w:type="pct"/>
            <w:tcBorders>
              <w:top w:val="nil"/>
              <w:left w:val="nil"/>
              <w:bottom w:val="single" w:color="auto" w:sz="8" w:space="0"/>
              <w:right w:val="single" w:color="auto" w:sz="8" w:space="0"/>
            </w:tcBorders>
            <w:shd w:val="clear" w:color="auto" w:fill="auto"/>
            <w:vAlign w:val="center"/>
          </w:tcPr>
          <w:p w14:paraId="70416E93">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光纤铺设，拉网线到各信息点，网络调试</w:t>
            </w:r>
          </w:p>
        </w:tc>
        <w:tc>
          <w:tcPr>
            <w:tcW w:w="311" w:type="pct"/>
            <w:tcBorders>
              <w:top w:val="nil"/>
              <w:left w:val="nil"/>
              <w:bottom w:val="single" w:color="auto" w:sz="8" w:space="0"/>
              <w:right w:val="single" w:color="auto" w:sz="8" w:space="0"/>
            </w:tcBorders>
            <w:shd w:val="clear" w:color="auto" w:fill="auto"/>
            <w:vAlign w:val="center"/>
          </w:tcPr>
          <w:p w14:paraId="4E061A9C">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c>
          <w:tcPr>
            <w:tcW w:w="370" w:type="pct"/>
            <w:tcBorders>
              <w:top w:val="nil"/>
              <w:left w:val="nil"/>
              <w:bottom w:val="single" w:color="auto" w:sz="8" w:space="0"/>
              <w:right w:val="single" w:color="auto" w:sz="8" w:space="0"/>
            </w:tcBorders>
            <w:shd w:val="clear" w:color="auto" w:fill="auto"/>
            <w:vAlign w:val="center"/>
          </w:tcPr>
          <w:p w14:paraId="23826474">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r>
      <w:tr w14:paraId="103971B2">
        <w:tblPrEx>
          <w:tblCellMar>
            <w:top w:w="0" w:type="dxa"/>
            <w:left w:w="108" w:type="dxa"/>
            <w:bottom w:w="0" w:type="dxa"/>
            <w:right w:w="108" w:type="dxa"/>
          </w:tblCellMar>
        </w:tblPrEx>
        <w:trPr>
          <w:wBefore w:w="50" w:type="pct"/>
          <w:wAfter w:w="351" w:type="pct"/>
          <w:trHeight w:val="787" w:hRule="atLeast"/>
        </w:trPr>
        <w:tc>
          <w:tcPr>
            <w:tcW w:w="304" w:type="pct"/>
            <w:tcBorders>
              <w:top w:val="nil"/>
              <w:left w:val="single" w:color="auto" w:sz="8" w:space="0"/>
              <w:bottom w:val="single" w:color="auto" w:sz="8" w:space="0"/>
              <w:right w:val="single" w:color="auto" w:sz="8" w:space="0"/>
            </w:tcBorders>
            <w:shd w:val="clear" w:color="auto" w:fill="auto"/>
            <w:vAlign w:val="center"/>
          </w:tcPr>
          <w:p w14:paraId="3AC92C2A">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825" w:type="pct"/>
            <w:tcBorders>
              <w:top w:val="nil"/>
              <w:left w:val="nil"/>
              <w:bottom w:val="single" w:color="auto" w:sz="8" w:space="0"/>
              <w:right w:val="single" w:color="auto" w:sz="8" w:space="0"/>
            </w:tcBorders>
            <w:shd w:val="clear" w:color="auto" w:fill="auto"/>
            <w:vAlign w:val="center"/>
          </w:tcPr>
          <w:p w14:paraId="687CB8BC">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线槽、安装材料</w:t>
            </w:r>
          </w:p>
        </w:tc>
        <w:tc>
          <w:tcPr>
            <w:tcW w:w="564" w:type="pct"/>
            <w:tcBorders>
              <w:top w:val="nil"/>
              <w:left w:val="nil"/>
              <w:bottom w:val="single" w:color="auto" w:sz="8" w:space="0"/>
              <w:right w:val="single" w:color="auto" w:sz="8" w:space="0"/>
            </w:tcBorders>
            <w:shd w:val="clear" w:color="auto" w:fill="auto"/>
            <w:vAlign w:val="center"/>
          </w:tcPr>
          <w:p w14:paraId="6BBCA062">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108" w:type="pct"/>
            <w:tcBorders>
              <w:top w:val="nil"/>
              <w:left w:val="nil"/>
              <w:bottom w:val="single" w:color="auto" w:sz="8" w:space="0"/>
              <w:right w:val="single" w:color="auto" w:sz="8" w:space="0"/>
            </w:tcBorders>
            <w:shd w:val="clear" w:color="auto" w:fill="auto"/>
            <w:vAlign w:val="center"/>
          </w:tcPr>
          <w:p w14:paraId="336536A1">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118" w:type="pct"/>
            <w:tcBorders>
              <w:top w:val="nil"/>
              <w:left w:val="nil"/>
              <w:bottom w:val="single" w:color="auto" w:sz="8" w:space="0"/>
              <w:right w:val="single" w:color="auto" w:sz="8" w:space="0"/>
            </w:tcBorders>
            <w:shd w:val="clear" w:color="auto" w:fill="auto"/>
            <w:vAlign w:val="center"/>
          </w:tcPr>
          <w:p w14:paraId="756C9C62">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4分/6分PVC线槽</w:t>
            </w:r>
          </w:p>
        </w:tc>
        <w:tc>
          <w:tcPr>
            <w:tcW w:w="311" w:type="pct"/>
            <w:tcBorders>
              <w:top w:val="nil"/>
              <w:left w:val="nil"/>
              <w:bottom w:val="single" w:color="auto" w:sz="8" w:space="0"/>
              <w:right w:val="single" w:color="auto" w:sz="8" w:space="0"/>
            </w:tcBorders>
            <w:shd w:val="clear" w:color="auto" w:fill="auto"/>
            <w:vAlign w:val="center"/>
          </w:tcPr>
          <w:p w14:paraId="370B98F9">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批</w:t>
            </w:r>
          </w:p>
        </w:tc>
        <w:tc>
          <w:tcPr>
            <w:tcW w:w="370" w:type="pct"/>
            <w:tcBorders>
              <w:top w:val="nil"/>
              <w:left w:val="nil"/>
              <w:bottom w:val="single" w:color="auto" w:sz="8" w:space="0"/>
              <w:right w:val="single" w:color="auto" w:sz="8" w:space="0"/>
            </w:tcBorders>
            <w:shd w:val="clear" w:color="auto" w:fill="auto"/>
            <w:vAlign w:val="center"/>
          </w:tcPr>
          <w:p w14:paraId="32D660EB">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bookmarkEnd w:id="0"/>
    </w:tbl>
    <w:p w14:paraId="3626D226">
      <w:pPr>
        <w:autoSpaceDE w:val="0"/>
        <w:autoSpaceDN w:val="0"/>
        <w:adjustRightInd w:val="0"/>
        <w:spacing w:line="440" w:lineRule="exact"/>
        <w:rPr>
          <w:rFonts w:ascii="仿宋" w:hAnsi="仿宋" w:eastAsia="仿宋" w:cs="仿宋"/>
          <w:b/>
          <w:bCs/>
          <w:color w:val="000000"/>
          <w:kern w:val="2"/>
          <w:sz w:val="28"/>
          <w:szCs w:val="28"/>
        </w:rPr>
      </w:pPr>
      <w:r>
        <w:rPr>
          <w:rFonts w:hint="eastAsia" w:ascii="仿宋" w:hAnsi="仿宋" w:eastAsia="仿宋" w:cs="仿宋"/>
          <w:b/>
          <w:bCs/>
          <w:color w:val="000000"/>
          <w:kern w:val="2"/>
          <w:sz w:val="28"/>
          <w:szCs w:val="28"/>
        </w:rPr>
        <w:t>2.施工内容</w:t>
      </w:r>
    </w:p>
    <w:p w14:paraId="4E8D03D8">
      <w:pPr>
        <w:snapToGrid w:val="0"/>
        <w:spacing w:line="440" w:lineRule="exact"/>
        <w:rPr>
          <w:rFonts w:ascii="仿宋" w:hAnsi="仿宋" w:eastAsia="仿宋" w:cs="仿宋"/>
          <w:bCs/>
          <w:kern w:val="2"/>
          <w:sz w:val="28"/>
          <w:szCs w:val="28"/>
          <w:lang w:val="zh-CN"/>
        </w:rPr>
      </w:pPr>
      <w:r>
        <w:rPr>
          <w:rFonts w:ascii="仿宋" w:hAnsi="仿宋" w:eastAsia="仿宋" w:cs="仿宋"/>
          <w:bCs/>
          <w:kern w:val="2"/>
          <w:sz w:val="28"/>
          <w:szCs w:val="28"/>
          <w:lang w:val="zh-CN"/>
        </w:rPr>
        <w:t>（一）光纤敷设</w:t>
      </w:r>
    </w:p>
    <w:p w14:paraId="18E18BAD">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1.</w:t>
      </w:r>
      <w:r>
        <w:rPr>
          <w:rFonts w:ascii="仿宋" w:hAnsi="仿宋" w:eastAsia="仿宋" w:cs="仿宋"/>
          <w:bCs/>
          <w:kern w:val="2"/>
          <w:sz w:val="28"/>
          <w:szCs w:val="28"/>
          <w:lang w:val="zh-CN"/>
        </w:rPr>
        <w:t>施工范围：1</w:t>
      </w:r>
      <w:r>
        <w:rPr>
          <w:rFonts w:hint="eastAsia" w:ascii="仿宋" w:hAnsi="仿宋" w:eastAsia="仿宋" w:cs="仿宋"/>
          <w:bCs/>
          <w:kern w:val="2"/>
          <w:sz w:val="28"/>
          <w:szCs w:val="28"/>
          <w:lang w:val="zh-CN"/>
        </w:rPr>
        <w:t>3</w:t>
      </w:r>
      <w:r>
        <w:rPr>
          <w:rFonts w:ascii="仿宋" w:hAnsi="仿宋" w:eastAsia="仿宋" w:cs="仿宋"/>
          <w:bCs/>
          <w:kern w:val="2"/>
          <w:sz w:val="28"/>
          <w:szCs w:val="28"/>
          <w:lang w:val="zh-CN"/>
        </w:rPr>
        <w:t>个</w:t>
      </w:r>
      <w:r>
        <w:rPr>
          <w:rFonts w:hint="eastAsia" w:ascii="仿宋" w:hAnsi="仿宋" w:eastAsia="仿宋" w:cs="仿宋"/>
          <w:bCs/>
          <w:kern w:val="2"/>
          <w:sz w:val="28"/>
          <w:szCs w:val="28"/>
          <w:lang w:val="zh-CN"/>
        </w:rPr>
        <w:t>厂房</w:t>
      </w:r>
      <w:r>
        <w:rPr>
          <w:rFonts w:ascii="仿宋" w:hAnsi="仿宋" w:eastAsia="仿宋" w:cs="仿宋"/>
          <w:bCs/>
          <w:kern w:val="2"/>
          <w:sz w:val="28"/>
          <w:szCs w:val="28"/>
          <w:lang w:val="zh-CN"/>
        </w:rPr>
        <w:t>分控室至工厂二楼交换机房；</w:t>
      </w:r>
    </w:p>
    <w:p w14:paraId="147A85FD">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2.</w:t>
      </w:r>
      <w:r>
        <w:rPr>
          <w:rFonts w:ascii="仿宋" w:hAnsi="仿宋" w:eastAsia="仿宋" w:cs="仿宋"/>
          <w:bCs/>
          <w:kern w:val="2"/>
          <w:sz w:val="28"/>
          <w:szCs w:val="28"/>
          <w:lang w:val="zh-CN"/>
        </w:rPr>
        <w:t>光纤标准：采用单模光纤铺设，每条光纤预留适当冗余；</w:t>
      </w:r>
    </w:p>
    <w:p w14:paraId="2032D836">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3.</w:t>
      </w:r>
      <w:r>
        <w:rPr>
          <w:rFonts w:ascii="仿宋" w:hAnsi="仿宋" w:eastAsia="仿宋" w:cs="仿宋"/>
          <w:bCs/>
          <w:kern w:val="2"/>
          <w:sz w:val="28"/>
          <w:szCs w:val="28"/>
          <w:lang w:val="zh-CN"/>
        </w:rPr>
        <w:t xml:space="preserve">连接方式： </w:t>
      </w:r>
    </w:p>
    <w:p w14:paraId="0006836D">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（1）</w:t>
      </w:r>
      <w:r>
        <w:rPr>
          <w:rFonts w:ascii="仿宋" w:hAnsi="仿宋" w:eastAsia="仿宋" w:cs="仿宋"/>
          <w:bCs/>
          <w:kern w:val="2"/>
          <w:sz w:val="28"/>
          <w:szCs w:val="28"/>
          <w:lang w:val="zh-CN"/>
        </w:rPr>
        <w:t>使用高质量光纤尾纤进行终端连接；</w:t>
      </w:r>
    </w:p>
    <w:p w14:paraId="6E340915">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（2）</w:t>
      </w:r>
      <w:r>
        <w:rPr>
          <w:rFonts w:ascii="仿宋" w:hAnsi="仿宋" w:eastAsia="仿宋" w:cs="仿宋"/>
          <w:bCs/>
          <w:kern w:val="2"/>
          <w:sz w:val="28"/>
          <w:szCs w:val="28"/>
          <w:lang w:val="zh-CN"/>
        </w:rPr>
        <w:t>使用光纤跳线进行交换机互联；</w:t>
      </w:r>
    </w:p>
    <w:p w14:paraId="07336E54">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（3）</w:t>
      </w:r>
      <w:r>
        <w:rPr>
          <w:rFonts w:ascii="仿宋" w:hAnsi="仿宋" w:eastAsia="仿宋" w:cs="仿宋"/>
          <w:bCs/>
          <w:kern w:val="2"/>
          <w:sz w:val="28"/>
          <w:szCs w:val="28"/>
          <w:lang w:val="zh-CN"/>
        </w:rPr>
        <w:t>采用光纤熔接，确保低损耗、高速率数据传输。</w:t>
      </w:r>
    </w:p>
    <w:p w14:paraId="3CDF1790">
      <w:pPr>
        <w:snapToGrid w:val="0"/>
        <w:spacing w:line="440" w:lineRule="exact"/>
        <w:rPr>
          <w:rFonts w:ascii="仿宋" w:hAnsi="仿宋" w:eastAsia="仿宋" w:cs="仿宋"/>
          <w:bCs/>
          <w:kern w:val="2"/>
          <w:sz w:val="28"/>
          <w:szCs w:val="28"/>
          <w:lang w:val="zh-CN"/>
        </w:rPr>
      </w:pPr>
      <w:r>
        <w:rPr>
          <w:rFonts w:ascii="仿宋" w:hAnsi="仿宋" w:eastAsia="仿宋" w:cs="仿宋"/>
          <w:bCs/>
          <w:kern w:val="2"/>
          <w:sz w:val="28"/>
          <w:szCs w:val="28"/>
          <w:lang w:val="zh-CN"/>
        </w:rPr>
        <w:t>（二）工厂楼层布线</w:t>
      </w:r>
    </w:p>
    <w:p w14:paraId="12ADFEFA">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1.</w:t>
      </w:r>
      <w:r>
        <w:rPr>
          <w:rFonts w:ascii="仿宋" w:hAnsi="仿宋" w:eastAsia="仿宋" w:cs="仿宋"/>
          <w:bCs/>
          <w:kern w:val="2"/>
          <w:sz w:val="28"/>
          <w:szCs w:val="28"/>
          <w:lang w:val="zh-CN"/>
        </w:rPr>
        <w:t>网线标准：采用</w:t>
      </w:r>
      <w:r>
        <w:rPr>
          <w:rFonts w:hint="eastAsia" w:ascii="仿宋" w:hAnsi="仿宋" w:eastAsia="仿宋" w:cs="仿宋"/>
          <w:bCs/>
          <w:kern w:val="2"/>
          <w:sz w:val="28"/>
          <w:szCs w:val="28"/>
          <w:lang w:val="zh-CN"/>
        </w:rPr>
        <w:t>CAT5</w:t>
      </w:r>
      <w:r>
        <w:rPr>
          <w:rFonts w:ascii="仿宋" w:hAnsi="仿宋" w:eastAsia="仿宋" w:cs="仿宋"/>
          <w:bCs/>
          <w:kern w:val="2"/>
          <w:sz w:val="28"/>
          <w:szCs w:val="28"/>
          <w:lang w:val="zh-CN"/>
        </w:rPr>
        <w:t>或以上级别网线进行布线；</w:t>
      </w:r>
    </w:p>
    <w:p w14:paraId="589B10C2">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2.</w:t>
      </w:r>
      <w:r>
        <w:rPr>
          <w:rFonts w:ascii="仿宋" w:hAnsi="仿宋" w:eastAsia="仿宋" w:cs="仿宋"/>
          <w:bCs/>
          <w:kern w:val="2"/>
          <w:sz w:val="28"/>
          <w:szCs w:val="28"/>
          <w:lang w:val="zh-CN"/>
        </w:rPr>
        <w:t xml:space="preserve">线路管理： </w:t>
      </w:r>
    </w:p>
    <w:p w14:paraId="1F4E6ACF">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（1）</w:t>
      </w:r>
      <w:r>
        <w:rPr>
          <w:rFonts w:ascii="仿宋" w:hAnsi="仿宋" w:eastAsia="仿宋" w:cs="仿宋"/>
          <w:bCs/>
          <w:kern w:val="2"/>
          <w:sz w:val="28"/>
          <w:szCs w:val="28"/>
          <w:lang w:val="zh-CN"/>
        </w:rPr>
        <w:t>使用PVC线槽或桥架整理线路，确保美观、安全、易维护；</w:t>
      </w:r>
    </w:p>
    <w:p w14:paraId="52DDB5BF">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（2）</w:t>
      </w:r>
      <w:r>
        <w:rPr>
          <w:rFonts w:ascii="仿宋" w:hAnsi="仿宋" w:eastAsia="仿宋" w:cs="仿宋"/>
          <w:bCs/>
          <w:kern w:val="2"/>
          <w:sz w:val="28"/>
          <w:szCs w:val="28"/>
          <w:lang w:val="zh-CN"/>
        </w:rPr>
        <w:t>结合现场情况，合理规划线路走向，避免交叉干扰。</w:t>
      </w:r>
    </w:p>
    <w:p w14:paraId="353E7C5B">
      <w:pPr>
        <w:snapToGrid w:val="0"/>
        <w:spacing w:line="440" w:lineRule="exact"/>
        <w:rPr>
          <w:rFonts w:ascii="仿宋" w:hAnsi="仿宋" w:eastAsia="仿宋" w:cs="仿宋"/>
          <w:bCs/>
          <w:kern w:val="2"/>
          <w:sz w:val="28"/>
          <w:szCs w:val="28"/>
          <w:lang w:val="zh-CN"/>
        </w:rPr>
      </w:pPr>
      <w:r>
        <w:rPr>
          <w:rFonts w:ascii="仿宋" w:hAnsi="仿宋" w:eastAsia="仿宋" w:cs="仿宋"/>
          <w:bCs/>
          <w:kern w:val="2"/>
          <w:sz w:val="28"/>
          <w:szCs w:val="28"/>
          <w:lang w:val="zh-CN"/>
        </w:rPr>
        <w:t>（三）交换机</w:t>
      </w:r>
      <w:r>
        <w:rPr>
          <w:rFonts w:hint="eastAsia" w:ascii="仿宋" w:hAnsi="仿宋" w:eastAsia="仿宋" w:cs="仿宋"/>
          <w:bCs/>
          <w:kern w:val="2"/>
          <w:sz w:val="28"/>
          <w:szCs w:val="28"/>
          <w:lang w:val="zh-CN"/>
        </w:rPr>
        <w:t>布置</w:t>
      </w:r>
    </w:p>
    <w:p w14:paraId="3A31643C">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1.</w:t>
      </w:r>
      <w:r>
        <w:rPr>
          <w:rFonts w:ascii="仿宋" w:hAnsi="仿宋" w:eastAsia="仿宋" w:cs="仿宋"/>
          <w:bCs/>
          <w:kern w:val="2"/>
          <w:sz w:val="28"/>
          <w:szCs w:val="28"/>
          <w:lang w:val="zh-CN"/>
        </w:rPr>
        <w:t xml:space="preserve">设备型号要求： </w:t>
      </w:r>
    </w:p>
    <w:p w14:paraId="43596092">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（1）</w:t>
      </w:r>
      <w:r>
        <w:rPr>
          <w:rFonts w:ascii="仿宋" w:hAnsi="仿宋" w:eastAsia="仿宋" w:cs="仿宋"/>
          <w:bCs/>
          <w:kern w:val="2"/>
          <w:sz w:val="28"/>
          <w:szCs w:val="28"/>
          <w:lang w:val="zh-CN"/>
        </w:rPr>
        <w:t>24口千兆企业级交换机（支持高带宽吞吐、VLAN划分、QoS优化）；</w:t>
      </w:r>
    </w:p>
    <w:p w14:paraId="114E7A49">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（2）</w:t>
      </w:r>
      <w:r>
        <w:rPr>
          <w:rFonts w:ascii="仿宋" w:hAnsi="仿宋" w:eastAsia="仿宋" w:cs="仿宋"/>
          <w:bCs/>
          <w:kern w:val="2"/>
          <w:sz w:val="28"/>
          <w:szCs w:val="28"/>
          <w:lang w:val="zh-CN"/>
        </w:rPr>
        <w:t>具备网络管理功能，支持远程监控与管理；</w:t>
      </w:r>
    </w:p>
    <w:p w14:paraId="352B6A6B">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（3）</w:t>
      </w:r>
      <w:r>
        <w:rPr>
          <w:rFonts w:ascii="仿宋" w:hAnsi="仿宋" w:eastAsia="仿宋" w:cs="仿宋"/>
          <w:bCs/>
          <w:kern w:val="2"/>
          <w:sz w:val="28"/>
          <w:szCs w:val="28"/>
          <w:lang w:val="zh-CN"/>
        </w:rPr>
        <w:t>可扩展，支持未来业务拓展需求。</w:t>
      </w:r>
    </w:p>
    <w:p w14:paraId="5138A52C">
      <w:pPr>
        <w:snapToGrid w:val="0"/>
        <w:spacing w:line="440" w:lineRule="exact"/>
        <w:rPr>
          <w:rFonts w:ascii="仿宋" w:hAnsi="仿宋" w:eastAsia="仿宋" w:cs="仿宋"/>
          <w:bCs/>
          <w:kern w:val="2"/>
          <w:sz w:val="28"/>
          <w:szCs w:val="28"/>
          <w:lang w:val="zh-CN"/>
        </w:rPr>
      </w:pPr>
      <w:r>
        <w:rPr>
          <w:rFonts w:ascii="仿宋" w:hAnsi="仿宋" w:eastAsia="仿宋" w:cs="仿宋"/>
          <w:bCs/>
          <w:kern w:val="2"/>
          <w:sz w:val="28"/>
          <w:szCs w:val="28"/>
          <w:lang w:val="zh-CN"/>
        </w:rPr>
        <w:t>（四）光模块</w:t>
      </w:r>
      <w:r>
        <w:rPr>
          <w:rFonts w:hint="eastAsia" w:ascii="仿宋" w:hAnsi="仿宋" w:eastAsia="仿宋" w:cs="仿宋"/>
          <w:bCs/>
          <w:kern w:val="2"/>
          <w:sz w:val="28"/>
          <w:szCs w:val="28"/>
          <w:lang w:val="zh-CN"/>
        </w:rPr>
        <w:t>采购</w:t>
      </w:r>
    </w:p>
    <w:p w14:paraId="0F778508">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1.</w:t>
      </w:r>
      <w:r>
        <w:rPr>
          <w:rFonts w:ascii="仿宋" w:hAnsi="仿宋" w:eastAsia="仿宋" w:cs="仿宋"/>
          <w:bCs/>
          <w:kern w:val="2"/>
          <w:sz w:val="28"/>
          <w:szCs w:val="28"/>
          <w:lang w:val="zh-CN"/>
        </w:rPr>
        <w:t>每个</w:t>
      </w:r>
      <w:r>
        <w:rPr>
          <w:rFonts w:hint="eastAsia" w:ascii="仿宋" w:hAnsi="仿宋" w:eastAsia="仿宋" w:cs="仿宋"/>
          <w:bCs/>
          <w:kern w:val="2"/>
          <w:sz w:val="28"/>
          <w:szCs w:val="28"/>
          <w:lang w:val="zh-CN"/>
        </w:rPr>
        <w:t>厂房</w:t>
      </w:r>
      <w:r>
        <w:rPr>
          <w:rFonts w:ascii="仿宋" w:hAnsi="仿宋" w:eastAsia="仿宋" w:cs="仿宋"/>
          <w:bCs/>
          <w:kern w:val="2"/>
          <w:sz w:val="28"/>
          <w:szCs w:val="28"/>
          <w:lang w:val="zh-CN"/>
        </w:rPr>
        <w:t>采购2个千兆单模光模块（总计2</w:t>
      </w:r>
      <w:r>
        <w:rPr>
          <w:rFonts w:hint="eastAsia" w:ascii="仿宋" w:hAnsi="仿宋" w:eastAsia="仿宋" w:cs="仿宋"/>
          <w:bCs/>
          <w:kern w:val="2"/>
          <w:sz w:val="28"/>
          <w:szCs w:val="28"/>
          <w:lang w:val="zh-CN"/>
        </w:rPr>
        <w:t>6</w:t>
      </w:r>
      <w:r>
        <w:rPr>
          <w:rFonts w:ascii="仿宋" w:hAnsi="仿宋" w:eastAsia="仿宋" w:cs="仿宋"/>
          <w:bCs/>
          <w:kern w:val="2"/>
          <w:sz w:val="28"/>
          <w:szCs w:val="28"/>
          <w:lang w:val="zh-CN"/>
        </w:rPr>
        <w:t>个），用于光纤网络终端对接；</w:t>
      </w:r>
    </w:p>
    <w:p w14:paraId="3F84A046">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2.</w:t>
      </w:r>
      <w:r>
        <w:rPr>
          <w:rFonts w:ascii="仿宋" w:hAnsi="仿宋" w:eastAsia="仿宋" w:cs="仿宋"/>
          <w:bCs/>
          <w:kern w:val="2"/>
          <w:sz w:val="28"/>
          <w:szCs w:val="28"/>
          <w:lang w:val="zh-CN"/>
        </w:rPr>
        <w:t xml:space="preserve">光模块标准： </w:t>
      </w:r>
    </w:p>
    <w:p w14:paraId="128B35ED">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（1）</w:t>
      </w:r>
      <w:r>
        <w:rPr>
          <w:rFonts w:ascii="仿宋" w:hAnsi="仿宋" w:eastAsia="仿宋" w:cs="仿宋"/>
          <w:bCs/>
          <w:kern w:val="2"/>
          <w:sz w:val="28"/>
          <w:szCs w:val="28"/>
          <w:lang w:val="zh-CN"/>
        </w:rPr>
        <w:t>兼容LC接口，支持千兆单模传输，确保数据传输稳定；</w:t>
      </w:r>
    </w:p>
    <w:p w14:paraId="43597A1C">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（2）</w:t>
      </w:r>
      <w:r>
        <w:rPr>
          <w:rFonts w:ascii="仿宋" w:hAnsi="仿宋" w:eastAsia="仿宋" w:cs="仿宋"/>
          <w:bCs/>
          <w:kern w:val="2"/>
          <w:sz w:val="28"/>
          <w:szCs w:val="28"/>
          <w:lang w:val="zh-CN"/>
        </w:rPr>
        <w:t>适用于企业级交换机，可直接插入交换机光口使用。</w:t>
      </w:r>
    </w:p>
    <w:p w14:paraId="1F24B75E">
      <w:pPr>
        <w:snapToGrid w:val="0"/>
        <w:spacing w:line="440" w:lineRule="exact"/>
        <w:rPr>
          <w:rFonts w:ascii="仿宋" w:hAnsi="仿宋" w:eastAsia="仿宋" w:cs="仿宋"/>
          <w:bCs/>
          <w:kern w:val="2"/>
          <w:sz w:val="28"/>
          <w:szCs w:val="28"/>
          <w:lang w:val="zh-CN"/>
        </w:rPr>
      </w:pPr>
      <w:r>
        <w:rPr>
          <w:rFonts w:ascii="仿宋" w:hAnsi="仿宋" w:eastAsia="仿宋" w:cs="仿宋"/>
          <w:bCs/>
          <w:kern w:val="2"/>
          <w:sz w:val="28"/>
          <w:szCs w:val="28"/>
          <w:lang w:val="zh-CN"/>
        </w:rPr>
        <w:t>（五）系统调试与部署</w:t>
      </w:r>
    </w:p>
    <w:p w14:paraId="0DEA4979">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1.</w:t>
      </w:r>
      <w:r>
        <w:rPr>
          <w:rFonts w:ascii="仿宋" w:hAnsi="仿宋" w:eastAsia="仿宋" w:cs="仿宋"/>
          <w:bCs/>
          <w:kern w:val="2"/>
          <w:sz w:val="28"/>
          <w:szCs w:val="28"/>
          <w:lang w:val="zh-CN"/>
        </w:rPr>
        <w:t>设备安装完成后进行光纤通断测试，确保信号传输稳定；</w:t>
      </w:r>
    </w:p>
    <w:p w14:paraId="6D2A2B42">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2.</w:t>
      </w:r>
      <w:r>
        <w:rPr>
          <w:rFonts w:ascii="仿宋" w:hAnsi="仿宋" w:eastAsia="仿宋" w:cs="仿宋"/>
          <w:bCs/>
          <w:kern w:val="2"/>
          <w:sz w:val="28"/>
          <w:szCs w:val="28"/>
          <w:lang w:val="zh-CN"/>
        </w:rPr>
        <w:t>配置交换机网络参数，确保监狱工厂能够稳定接入教育网；</w:t>
      </w:r>
    </w:p>
    <w:p w14:paraId="3860D0B2">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3.车间</w:t>
      </w:r>
      <w:r>
        <w:rPr>
          <w:rFonts w:ascii="仿宋" w:hAnsi="仿宋" w:eastAsia="仿宋" w:cs="仿宋"/>
          <w:bCs/>
          <w:kern w:val="2"/>
          <w:sz w:val="28"/>
          <w:szCs w:val="28"/>
          <w:lang w:val="zh-CN"/>
        </w:rPr>
        <w:t>成功接入教育网，实现对生产</w:t>
      </w:r>
      <w:r>
        <w:rPr>
          <w:rFonts w:hint="eastAsia" w:ascii="仿宋" w:hAnsi="仿宋" w:eastAsia="仿宋" w:cs="仿宋"/>
          <w:bCs/>
          <w:kern w:val="2"/>
          <w:sz w:val="28"/>
          <w:szCs w:val="28"/>
          <w:lang w:val="zh-CN"/>
        </w:rPr>
        <w:t>管理系统</w:t>
      </w:r>
      <w:r>
        <w:rPr>
          <w:rFonts w:ascii="仿宋" w:hAnsi="仿宋" w:eastAsia="仿宋" w:cs="仿宋"/>
          <w:bCs/>
          <w:kern w:val="2"/>
          <w:sz w:val="28"/>
          <w:szCs w:val="28"/>
          <w:lang w:val="zh-CN"/>
        </w:rPr>
        <w:t>平台的访问；</w:t>
      </w:r>
    </w:p>
    <w:p w14:paraId="3FFFE95A">
      <w:pPr>
        <w:snapToGrid w:val="0"/>
        <w:spacing w:line="440" w:lineRule="exact"/>
        <w:ind w:left="800"/>
        <w:rPr>
          <w:rFonts w:ascii="仿宋" w:hAnsi="仿宋" w:eastAsia="仿宋" w:cs="仿宋"/>
          <w:bCs/>
          <w:kern w:val="2"/>
          <w:sz w:val="28"/>
          <w:szCs w:val="28"/>
          <w:lang w:val="zh-CN"/>
        </w:rPr>
      </w:pPr>
      <w:r>
        <w:rPr>
          <w:rFonts w:hint="eastAsia" w:ascii="仿宋" w:hAnsi="仿宋" w:eastAsia="仿宋" w:cs="仿宋"/>
          <w:bCs/>
          <w:kern w:val="2"/>
          <w:sz w:val="28"/>
          <w:szCs w:val="28"/>
          <w:lang w:val="zh-CN"/>
        </w:rPr>
        <w:t>4.</w:t>
      </w:r>
      <w:r>
        <w:rPr>
          <w:rFonts w:ascii="仿宋" w:hAnsi="仿宋" w:eastAsia="仿宋" w:cs="仿宋"/>
          <w:bCs/>
          <w:kern w:val="2"/>
          <w:sz w:val="28"/>
          <w:szCs w:val="28"/>
          <w:lang w:val="zh-CN"/>
        </w:rPr>
        <w:t>提供完整的系统调试报告，确保所有设备达到交付标准。</w:t>
      </w:r>
    </w:p>
    <w:p w14:paraId="05EF6F74">
      <w:pPr>
        <w:snapToGrid w:val="0"/>
        <w:spacing w:line="440" w:lineRule="exact"/>
        <w:rPr>
          <w:rFonts w:ascii="仿宋" w:hAnsi="仿宋" w:eastAsia="仿宋" w:cs="仿宋"/>
          <w:b/>
          <w:kern w:val="2"/>
          <w:sz w:val="28"/>
          <w:szCs w:val="28"/>
        </w:rPr>
      </w:pPr>
      <w:r>
        <w:rPr>
          <w:rFonts w:hint="eastAsia" w:ascii="仿宋" w:hAnsi="仿宋" w:eastAsia="仿宋" w:cs="仿宋"/>
          <w:b/>
          <w:kern w:val="2"/>
          <w:sz w:val="28"/>
          <w:szCs w:val="28"/>
        </w:rPr>
        <w:t>二、合同金额</w:t>
      </w:r>
    </w:p>
    <w:p w14:paraId="44C72864">
      <w:pPr>
        <w:numPr>
          <w:ilvl w:val="0"/>
          <w:numId w:val="2"/>
        </w:numPr>
        <w:snapToGrid w:val="0"/>
        <w:spacing w:line="440" w:lineRule="exact"/>
        <w:ind w:left="800" w:hanging="400"/>
        <w:rPr>
          <w:rFonts w:ascii="仿宋" w:hAnsi="仿宋" w:eastAsia="仿宋" w:cs="仿宋"/>
          <w:b/>
          <w:kern w:val="2"/>
          <w:sz w:val="28"/>
          <w:szCs w:val="28"/>
        </w:rPr>
      </w:pPr>
      <w:r>
        <w:rPr>
          <w:rFonts w:hint="eastAsia" w:ascii="仿宋" w:hAnsi="仿宋" w:eastAsia="仿宋" w:cs="仿宋"/>
          <w:kern w:val="2"/>
          <w:sz w:val="28"/>
          <w:szCs w:val="28"/>
        </w:rPr>
        <w:t>合同总价：人民币</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w:t>
      </w:r>
      <w:r>
        <w:rPr>
          <w:rFonts w:hint="eastAsia" w:ascii="仿宋" w:hAnsi="仿宋" w:eastAsia="仿宋" w:cs="仿宋"/>
          <w:kern w:val="2"/>
          <w:sz w:val="28"/>
          <w:szCs w:val="28"/>
          <w:u w:val="single"/>
        </w:rPr>
        <w:t xml:space="preserve">            元 </w:t>
      </w:r>
      <w:r>
        <w:rPr>
          <w:rFonts w:hint="eastAsia" w:ascii="仿宋" w:hAnsi="仿宋" w:eastAsia="仿宋" w:cs="仿宋"/>
          <w:kern w:val="2"/>
          <w:sz w:val="28"/>
          <w:szCs w:val="28"/>
        </w:rPr>
        <w:t>）</w:t>
      </w:r>
    </w:p>
    <w:p w14:paraId="54C10ECC">
      <w:pPr>
        <w:numPr>
          <w:ilvl w:val="0"/>
          <w:numId w:val="2"/>
        </w:numPr>
        <w:snapToGrid w:val="0"/>
        <w:spacing w:line="440" w:lineRule="exact"/>
        <w:ind w:left="800" w:hanging="400"/>
        <w:rPr>
          <w:rFonts w:ascii="仿宋" w:hAnsi="仿宋" w:eastAsia="仿宋" w:cs="仿宋"/>
          <w:bCs/>
          <w:kern w:val="2"/>
          <w:sz w:val="28"/>
          <w:szCs w:val="28"/>
          <w:lang w:val="zh-CN"/>
        </w:rPr>
      </w:pPr>
      <w:r>
        <w:rPr>
          <w:rFonts w:hint="eastAsia" w:ascii="仿宋" w:hAnsi="仿宋" w:eastAsia="仿宋" w:cs="仿宋"/>
          <w:bCs/>
          <w:kern w:val="2"/>
          <w:sz w:val="28"/>
          <w:szCs w:val="28"/>
        </w:rPr>
        <w:t>总价应包含（人民币报价）所有内容的费</w:t>
      </w:r>
      <w:r>
        <w:rPr>
          <w:rFonts w:hint="eastAsia" w:ascii="仿宋" w:hAnsi="仿宋" w:eastAsia="仿宋" w:cs="仿宋"/>
          <w:bCs/>
          <w:kern w:val="2"/>
          <w:sz w:val="28"/>
          <w:szCs w:val="28"/>
          <w:lang w:val="zh-CN"/>
        </w:rPr>
        <w:t>用，包括货款、杂配件、安装、验收费、检测费、运输、进场、装卸、保管、调试、质保期售后服务、清运费、保险费、各项税金等合同实施过程中的一切费用。（注：报价人自行考虑完成项目所需的辅材、杂配件等数量，报价总价中应包含全部内容，成交后甲方不再另行支付额外费用。）</w:t>
      </w:r>
    </w:p>
    <w:p w14:paraId="5C6DB7CF">
      <w:pPr>
        <w:snapToGrid w:val="0"/>
        <w:spacing w:line="440" w:lineRule="exact"/>
        <w:ind w:left="820" w:leftChars="200" w:hanging="420" w:hangingChars="150"/>
        <w:rPr>
          <w:rFonts w:ascii="仿宋" w:hAnsi="仿宋" w:eastAsia="仿宋" w:cs="仿宋"/>
          <w:sz w:val="28"/>
          <w:szCs w:val="28"/>
        </w:rPr>
      </w:pPr>
      <w:r>
        <w:rPr>
          <w:rFonts w:hint="eastAsia" w:ascii="仿宋" w:hAnsi="仿宋" w:eastAsia="仿宋" w:cs="仿宋"/>
          <w:bCs/>
          <w:kern w:val="2"/>
          <w:sz w:val="28"/>
          <w:szCs w:val="28"/>
          <w:lang w:val="zh-CN"/>
        </w:rPr>
        <w:t>3. 对于影响货物正常使用的必要组成部分，无论在技术需求中指出与否，</w:t>
      </w:r>
      <w:r>
        <w:rPr>
          <w:rFonts w:hint="eastAsia" w:ascii="仿宋" w:hAnsi="仿宋" w:eastAsia="仿宋" w:cs="仿宋"/>
          <w:bCs/>
          <w:kern w:val="2"/>
          <w:sz w:val="28"/>
          <w:szCs w:val="28"/>
        </w:rPr>
        <w:t>乙方</w:t>
      </w:r>
      <w:r>
        <w:rPr>
          <w:rFonts w:hint="eastAsia" w:ascii="仿宋" w:hAnsi="仿宋" w:eastAsia="仿宋" w:cs="仿宋"/>
          <w:bCs/>
          <w:kern w:val="2"/>
          <w:sz w:val="28"/>
          <w:szCs w:val="28"/>
          <w:lang w:val="zh-CN"/>
        </w:rPr>
        <w:t>都应在</w:t>
      </w:r>
      <w:r>
        <w:rPr>
          <w:rFonts w:hint="eastAsia" w:ascii="仿宋" w:hAnsi="仿宋" w:eastAsia="仿宋" w:cs="仿宋"/>
          <w:bCs/>
          <w:kern w:val="2"/>
          <w:sz w:val="28"/>
          <w:szCs w:val="28"/>
        </w:rPr>
        <w:t>竞价</w:t>
      </w:r>
      <w:r>
        <w:rPr>
          <w:rFonts w:hint="eastAsia" w:ascii="仿宋" w:hAnsi="仿宋" w:eastAsia="仿宋" w:cs="仿宋"/>
          <w:bCs/>
          <w:kern w:val="2"/>
          <w:sz w:val="28"/>
          <w:szCs w:val="28"/>
          <w:lang w:val="zh-CN"/>
        </w:rPr>
        <w:t>文件中明确列出，并且报价包含此部分的价格。</w:t>
      </w:r>
    </w:p>
    <w:p w14:paraId="043F1860">
      <w:pPr>
        <w:spacing w:line="380" w:lineRule="exact"/>
        <w:rPr>
          <w:rFonts w:ascii="仿宋" w:hAnsi="仿宋" w:eastAsia="仿宋" w:cs="仿宋"/>
          <w:b/>
          <w:kern w:val="2"/>
          <w:sz w:val="28"/>
          <w:szCs w:val="28"/>
        </w:rPr>
      </w:pPr>
      <w:r>
        <w:rPr>
          <w:rFonts w:hint="eastAsia" w:ascii="仿宋" w:hAnsi="仿宋" w:eastAsia="仿宋" w:cs="仿宋"/>
          <w:b/>
          <w:kern w:val="2"/>
          <w:sz w:val="28"/>
          <w:szCs w:val="28"/>
        </w:rPr>
        <w:t>三、售后服务</w:t>
      </w:r>
    </w:p>
    <w:p w14:paraId="59845EF6">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1.所有设备免费保修期两年，免费保修期内按国家有关产品“三包”规定执行“三包”，两年内非人为原因损坏的，无条件包修。若厂家提供更优质的服务，则按厂家的标准执行。保修期外终身维护，且维修只收取零配件成本费用。如厂家标准保修期限不满足竞价文件要求的，乙方须承诺保修期限不低于竞价文件的要求（易耗易损设备除外）。保修期自甲方和乙方代表在验收报告上签字之日起计算。</w:t>
      </w:r>
    </w:p>
    <w:p w14:paraId="5475C32C">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2.保修期内，所有设备保修服务方式均为由设备生产厂家或厂家指派专业人员上门保修，提供定期上门技术服务，日常产生故障需在24小时内派技术人员上门排障，由此产生的一切费用均由厂家承担，乙方有责任为用户方提供长期维修服务和技术支持。</w:t>
      </w:r>
    </w:p>
    <w:p w14:paraId="0E7C94C3">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3.质保期内，乙方对所供货物实行包修、包换、包退、包维护保养，期满后可同时提供终身、有偿维修保养服务。</w:t>
      </w:r>
    </w:p>
    <w:p w14:paraId="24D9B195">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4.为保证设备的正常使用和日常维护，乙方需对甲方设备管理人员和操作人员进行技术培训。</w:t>
      </w:r>
    </w:p>
    <w:p w14:paraId="0E1391EF">
      <w:pPr>
        <w:spacing w:line="380" w:lineRule="exact"/>
        <w:ind w:left="560" w:hanging="562" w:hangingChars="200"/>
        <w:rPr>
          <w:rFonts w:ascii="仿宋" w:hAnsi="仿宋" w:eastAsia="仿宋" w:cs="仿宋"/>
          <w:b/>
          <w:kern w:val="2"/>
          <w:sz w:val="28"/>
          <w:szCs w:val="28"/>
        </w:rPr>
      </w:pPr>
      <w:r>
        <w:rPr>
          <w:rFonts w:hint="eastAsia" w:ascii="仿宋" w:hAnsi="仿宋" w:eastAsia="仿宋" w:cs="仿宋"/>
          <w:b/>
          <w:kern w:val="2"/>
          <w:sz w:val="28"/>
          <w:szCs w:val="28"/>
        </w:rPr>
        <w:t>四、交货及验收注意事项</w:t>
      </w:r>
    </w:p>
    <w:p w14:paraId="51A6B222">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1.乙方按有关标准提供货物的包装，在合同生效后30天内完成供货、安装调试以及验收，确保安装调试后在车间内可接入教育网并实现对生产管理系统平台的访问。</w:t>
      </w:r>
    </w:p>
    <w:p w14:paraId="66428E0B">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2. 乙方所报货物应与技术参数要求相同或更优，报价货物应为制造商原装的、全新的、符合有关质量标准的产品。</w:t>
      </w:r>
    </w:p>
    <w:p w14:paraId="14CD7463">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3.所有材料均要求符合国家标准。</w:t>
      </w:r>
    </w:p>
    <w:p w14:paraId="5512E96E">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 xml:space="preserve">4.由乙方负责按国家相关标准进行货物包装，货物的包装均应有良好的防湿、防锈、防潮、防雨、防腐及防碰撞的措施，并适宜广东的气候条件。凡由于包装不良造成的损失和由此产生的费用均由乙方承担。 </w:t>
      </w:r>
    </w:p>
    <w:p w14:paraId="1CCB72F6">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5. 乙方负责货物到现场过程中的全部运输及费用，包括装卸车、货物现场的搬运安装调试，并负责其派出的人员人身意外保险。</w:t>
      </w:r>
    </w:p>
    <w:p w14:paraId="30E4B659">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6.交货时必须随附该批产品的产品质量合格证书或能说明质量达标的证明资料、货物正常使用所需的所有技术资料及使用说明书。</w:t>
      </w:r>
    </w:p>
    <w:p w14:paraId="09B5969B">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7. 乙方所提供的产品必须是在中国范围内合法销售，原装、全新、并完全符合用户要求的产品。</w:t>
      </w:r>
    </w:p>
    <w:p w14:paraId="0C7DE62B">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8.货物若有国家标准按照国家标准验收，若无国家标准按行业标准验收，为原制造商制造的全新产品，整机无污染，无侵权行为、表面无划损、无任何缺陷隐患，在中国境内可依常规安全合法使用。</w:t>
      </w:r>
    </w:p>
    <w:p w14:paraId="0600CC3E">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9.验收由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01F401C4">
      <w:pPr>
        <w:spacing w:line="440" w:lineRule="exact"/>
        <w:rPr>
          <w:rFonts w:ascii="仿宋" w:hAnsi="仿宋" w:eastAsia="仿宋" w:cs="仿宋"/>
          <w:b/>
          <w:kern w:val="2"/>
          <w:sz w:val="28"/>
          <w:szCs w:val="28"/>
        </w:rPr>
      </w:pPr>
      <w:r>
        <w:rPr>
          <w:rFonts w:hint="eastAsia" w:ascii="仿宋" w:hAnsi="仿宋" w:eastAsia="仿宋" w:cs="仿宋"/>
          <w:b/>
          <w:kern w:val="2"/>
          <w:sz w:val="28"/>
          <w:szCs w:val="28"/>
        </w:rPr>
        <w:t>五、其他要求</w:t>
      </w:r>
    </w:p>
    <w:p w14:paraId="2ED56E92">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1.乙方承包及负责竞价文件中对乙方要求的一切事宜及责任。包括货物供货、运输、保管、安装调试使用合格经相关部门验收、质保服务及相关服务等。成交后不得在成交价之外加收任何费用。</w:t>
      </w:r>
    </w:p>
    <w:p w14:paraId="481CB8EB">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2.对于影响货物正常使用的必要组成部分，无论在技术需求中指出与否，乙方都应在报价包含此部分的价格。</w:t>
      </w:r>
    </w:p>
    <w:p w14:paraId="0A21A140">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3.乙方提供的货物必须是原厂生产的、全新的、未使用过的，并完全符合原厂质量检测标准和国家相关标准、行业标准。</w:t>
      </w:r>
    </w:p>
    <w:p w14:paraId="43E9B55C">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4.乙方应保证，甲方在使用该货物或该货物的任何一部分时，免受第三方提出的侵犯其专利权、商标权、工业设计权、侵犯所有权和工业产权、著作权（版权）等知识产权的起诉。</w:t>
      </w:r>
    </w:p>
    <w:p w14:paraId="09CA779D">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4.货物交货之前的所有保险费用和派往甲方进行服务人员的人身险和其他有关险种，以及有关费用由投标人负责。</w:t>
      </w:r>
    </w:p>
    <w:p w14:paraId="7E0FE00B">
      <w:pPr>
        <w:spacing w:line="440" w:lineRule="exact"/>
        <w:rPr>
          <w:rFonts w:ascii="仿宋" w:hAnsi="仿宋" w:eastAsia="仿宋" w:cs="仿宋"/>
          <w:b/>
          <w:bCs/>
          <w:kern w:val="2"/>
          <w:sz w:val="28"/>
          <w:szCs w:val="28"/>
        </w:rPr>
      </w:pPr>
      <w:r>
        <w:rPr>
          <w:rFonts w:hint="eastAsia" w:ascii="仿宋" w:hAnsi="仿宋" w:eastAsia="仿宋" w:cs="仿宋"/>
          <w:b/>
          <w:bCs/>
          <w:kern w:val="2"/>
          <w:sz w:val="28"/>
          <w:szCs w:val="28"/>
        </w:rPr>
        <w:t>六、履约保证金</w:t>
      </w:r>
    </w:p>
    <w:p w14:paraId="2D961A13">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1.服务期履约保证金金额按合同总价的5%收取，乙方须在签订合同后三个工作日内</w:t>
      </w:r>
      <w:r>
        <w:rPr>
          <w:rFonts w:hint="eastAsia" w:ascii="仿宋" w:hAnsi="仿宋" w:eastAsia="仿宋" w:cs="仿宋"/>
          <w:sz w:val="28"/>
          <w:szCs w:val="28"/>
        </w:rPr>
        <w:t>以人民币转账方式</w:t>
      </w:r>
      <w:r>
        <w:rPr>
          <w:rFonts w:hint="eastAsia" w:ascii="仿宋" w:hAnsi="仿宋" w:eastAsia="仿宋" w:cs="仿宋"/>
          <w:bCs/>
          <w:kern w:val="2"/>
          <w:sz w:val="28"/>
          <w:szCs w:val="28"/>
        </w:rPr>
        <w:t>向甲方提交履约保证金，履约保证金的保证期限自乙方应当交付保证金之日始至合同期满之日止。合同期满后，在乙方没有违反合约条款的情况下，甲方在完工后签字验收合格(或甲方委托第三方)后十五个工作日内一次性无息退回履约保证金。</w:t>
      </w:r>
    </w:p>
    <w:p w14:paraId="069E4FFF">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 xml:space="preserve">  2.货物或项目未能一次性通过验收，则甲方同意由乙方予以整改，并在第一次验收结束之日起5天内重新组织验收；经2次验收不合格的，甲方有权单方面解除合同，没收全部履约保证金。如因此给甲方造成其他损失的，甲方有权向乙方提出索赔。</w:t>
      </w:r>
    </w:p>
    <w:p w14:paraId="7DCA6309">
      <w:pPr>
        <w:spacing w:line="380" w:lineRule="exact"/>
        <w:ind w:left="560" w:hanging="562" w:hanging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七、付款方式</w:t>
      </w:r>
    </w:p>
    <w:p w14:paraId="0809F612">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1.完工并通过甲方(或甲方委托第三方)签字验收合格，甲方在十五个工作日内凭乙方开具的正式发票（增值税专用票）支付合同总价及履约保证金。</w:t>
      </w:r>
    </w:p>
    <w:p w14:paraId="0A5FCCB0">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2.甲方仅负责在上述约定时间内完成申报手续，实际付款到账时间及金额以支付单位支付时间及金额为准。甲方不承担逾期付款的违约责任，并且此情况不能成为乙方逾期供货或怠于提供服务的理由。</w:t>
      </w:r>
    </w:p>
    <w:p w14:paraId="2552A3F1">
      <w:pPr>
        <w:tabs>
          <w:tab w:val="left" w:pos="624"/>
        </w:tabs>
        <w:snapToGrid w:val="0"/>
        <w:spacing w:line="440" w:lineRule="exact"/>
        <w:rPr>
          <w:rFonts w:ascii="仿宋" w:hAnsi="仿宋" w:eastAsia="仿宋" w:cs="仿宋"/>
          <w:b/>
          <w:kern w:val="2"/>
          <w:sz w:val="28"/>
          <w:szCs w:val="28"/>
        </w:rPr>
      </w:pPr>
      <w:r>
        <w:rPr>
          <w:rFonts w:hint="eastAsia" w:ascii="仿宋" w:hAnsi="仿宋" w:eastAsia="仿宋" w:cs="仿宋"/>
          <w:b/>
          <w:kern w:val="2"/>
          <w:sz w:val="28"/>
          <w:szCs w:val="28"/>
        </w:rPr>
        <w:t>八、异议索赔</w:t>
      </w:r>
    </w:p>
    <w:p w14:paraId="76DAA798">
      <w:pPr>
        <w:tabs>
          <w:tab w:val="left" w:pos="624"/>
        </w:tabs>
        <w:snapToGrid w:val="0"/>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1.乙方对于所提供的货物与合同要求不符负有责任。乙方同意甲方拒收，乙方负担由此发生的一切损失和费用。包括银行利息、运输和保险费、检验费、仓储和装卸费等必要的费用。</w:t>
      </w:r>
    </w:p>
    <w:p w14:paraId="0586801F">
      <w:pPr>
        <w:tabs>
          <w:tab w:val="left" w:pos="624"/>
        </w:tabs>
        <w:snapToGrid w:val="0"/>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2.对有缺陷的货物，乙方同意免费更换，以达到合同规定的规格、质量和性能，乙方</w:t>
      </w:r>
      <w:r>
        <w:rPr>
          <w:rFonts w:hint="eastAsia" w:ascii="仿宋" w:hAnsi="仿宋" w:eastAsia="仿宋" w:cs="仿宋"/>
          <w:bCs/>
          <w:kern w:val="2"/>
          <w:sz w:val="28"/>
          <w:szCs w:val="28"/>
        </w:rPr>
        <w:br w:type="textWrapping"/>
      </w:r>
      <w:r>
        <w:rPr>
          <w:rFonts w:hint="eastAsia" w:ascii="仿宋" w:hAnsi="仿宋" w:eastAsia="仿宋" w:cs="仿宋"/>
          <w:bCs/>
          <w:kern w:val="2"/>
          <w:sz w:val="28"/>
          <w:szCs w:val="28"/>
        </w:rPr>
        <w:t>承担一切费用和风险并负担甲方遭受的一切损失。同时乙方相应顺延被更换货物的免费保修期。</w:t>
      </w:r>
    </w:p>
    <w:p w14:paraId="19A03434">
      <w:pPr>
        <w:tabs>
          <w:tab w:val="left" w:pos="624"/>
        </w:tabs>
        <w:snapToGrid w:val="0"/>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3.如果在甲方发出索赔通知后10天内，乙方未作答复，上述索赔应视为已被乙方接受。如乙方未能在收到索赔通知后10天内或征得甲方同意的延长期内，按照甲方选择的方法解决索赔事宜，甲方将有权从货款中扣回索赔金额，同时保留进一步要求索赔的权力。</w:t>
      </w:r>
    </w:p>
    <w:p w14:paraId="678ABE6D">
      <w:pPr>
        <w:snapToGrid w:val="0"/>
        <w:spacing w:line="440" w:lineRule="exact"/>
        <w:rPr>
          <w:rFonts w:ascii="仿宋" w:hAnsi="仿宋" w:eastAsia="仿宋" w:cs="仿宋"/>
          <w:b/>
          <w:kern w:val="2"/>
          <w:sz w:val="28"/>
          <w:szCs w:val="28"/>
        </w:rPr>
      </w:pPr>
      <w:r>
        <w:rPr>
          <w:rFonts w:hint="eastAsia" w:ascii="仿宋" w:hAnsi="仿宋" w:eastAsia="仿宋" w:cs="仿宋"/>
          <w:b/>
          <w:kern w:val="2"/>
          <w:sz w:val="28"/>
          <w:szCs w:val="28"/>
        </w:rPr>
        <w:t>九、争议解决方式</w:t>
      </w:r>
    </w:p>
    <w:p w14:paraId="1D62FCEB">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1.由于不可预见、不可避免、不可克服等不可抗力的原因，一方不能履行合同义务的，应当在不可抗力发生之日起 14 天内以书面形式通知对方，证明不可抗力事件的存在。</w:t>
      </w:r>
    </w:p>
    <w:p w14:paraId="16CF1CF7">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2.不可抗力事件发生后，甲方和投标人应当积极寻求以合理的方式履行本合同。如不可抗力无法消除，致使合同目的无法实现的，双方均有权解除合同，且均不互相索赔。</w:t>
      </w:r>
    </w:p>
    <w:p w14:paraId="6A301897">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3.本合同发生争议，由双方协商或由政府采购监督管理部门调解解决，协商或调解不成时可以向甲方所在地的人民法院提起诉讼（在诉讼期间，除有争议部分的事项外，合同其他部分仍应继续履行）。</w:t>
      </w:r>
    </w:p>
    <w:p w14:paraId="46E39A63">
      <w:pPr>
        <w:snapToGrid w:val="0"/>
        <w:spacing w:line="440" w:lineRule="exact"/>
        <w:rPr>
          <w:rFonts w:ascii="仿宋" w:hAnsi="仿宋" w:eastAsia="仿宋" w:cs="仿宋"/>
          <w:b/>
          <w:kern w:val="2"/>
          <w:sz w:val="28"/>
          <w:szCs w:val="28"/>
        </w:rPr>
      </w:pPr>
      <w:r>
        <w:rPr>
          <w:rFonts w:hint="eastAsia" w:ascii="仿宋" w:hAnsi="仿宋" w:eastAsia="仿宋" w:cs="仿宋"/>
          <w:b/>
          <w:kern w:val="2"/>
          <w:sz w:val="28"/>
          <w:szCs w:val="28"/>
        </w:rPr>
        <w:t>十、违约责任</w:t>
      </w:r>
    </w:p>
    <w:p w14:paraId="4AFE86FE">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1、乙方提供的服务不符合合同规定的，甲方有权拒收，并且乙方须向甲方支付合同总价5%的违约金。</w:t>
      </w:r>
    </w:p>
    <w:p w14:paraId="32280F99">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2、乙方未能按本合同规定的项目完成时间提供设备供甲方使用，从逾期之日起每日按本合同总价千份之三的数额向甲方支付违约金；逾期半个月以上的，甲方有权终止合同，由此造成的甲方经济损失由乙方承担。</w:t>
      </w:r>
    </w:p>
    <w:p w14:paraId="238C4FE5">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3、甲方无正当理由拒收接受乙方所交付的货物，到期拒付合同款项的，甲方向乙方偿付本合同总额的5%的违约金。甲方逾期完成付款申报手续，则每日按合同总价的千份之三向投标人偿付违约金。</w:t>
      </w:r>
    </w:p>
    <w:p w14:paraId="33640C9F">
      <w:pPr>
        <w:snapToGrid w:val="0"/>
        <w:spacing w:line="440" w:lineRule="exact"/>
        <w:rPr>
          <w:rFonts w:ascii="仿宋" w:hAnsi="仿宋" w:eastAsia="仿宋" w:cs="仿宋"/>
          <w:b/>
          <w:kern w:val="2"/>
          <w:sz w:val="28"/>
          <w:szCs w:val="28"/>
        </w:rPr>
      </w:pPr>
      <w:r>
        <w:rPr>
          <w:rFonts w:hint="eastAsia" w:ascii="仿宋" w:hAnsi="仿宋" w:eastAsia="仿宋" w:cs="仿宋"/>
          <w:b/>
          <w:kern w:val="2"/>
          <w:sz w:val="28"/>
          <w:szCs w:val="28"/>
        </w:rPr>
        <w:t>十一、合同生效</w:t>
      </w:r>
    </w:p>
    <w:p w14:paraId="34B5D61C">
      <w:pPr>
        <w:spacing w:line="440" w:lineRule="exact"/>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本合同经双方授权代表签字并加盖公章之日起生效，合同生效日期以最后一个签字日为准。</w:t>
      </w:r>
    </w:p>
    <w:p w14:paraId="53963B3F">
      <w:pPr>
        <w:snapToGrid w:val="0"/>
        <w:spacing w:line="440" w:lineRule="exact"/>
        <w:rPr>
          <w:rFonts w:ascii="仿宋" w:hAnsi="仿宋" w:eastAsia="仿宋" w:cs="仿宋"/>
          <w:kern w:val="2"/>
          <w:sz w:val="28"/>
          <w:szCs w:val="28"/>
        </w:rPr>
      </w:pPr>
    </w:p>
    <w:p w14:paraId="721CFD79">
      <w:pPr>
        <w:pStyle w:val="12"/>
        <w:ind w:left="400" w:firstLine="560"/>
        <w:rPr>
          <w:rFonts w:ascii="仿宋" w:hAnsi="仿宋" w:eastAsia="仿宋" w:cs="仿宋"/>
          <w:sz w:val="28"/>
          <w:szCs w:val="28"/>
        </w:rPr>
      </w:pPr>
    </w:p>
    <w:tbl>
      <w:tblPr>
        <w:tblStyle w:val="13"/>
        <w:tblW w:w="9779" w:type="dxa"/>
        <w:jc w:val="center"/>
        <w:tblLayout w:type="fixed"/>
        <w:tblCellMar>
          <w:top w:w="0" w:type="dxa"/>
          <w:left w:w="108" w:type="dxa"/>
          <w:bottom w:w="0" w:type="dxa"/>
          <w:right w:w="108" w:type="dxa"/>
        </w:tblCellMar>
      </w:tblPr>
      <w:tblGrid>
        <w:gridCol w:w="4833"/>
        <w:gridCol w:w="4946"/>
      </w:tblGrid>
      <w:tr w14:paraId="02E415D6">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1DBFF216">
            <w:pPr>
              <w:ind w:right="-166" w:rightChars="-83"/>
              <w:rPr>
                <w:rFonts w:ascii="仿宋" w:hAnsi="仿宋" w:eastAsia="仿宋" w:cs="仿宋"/>
                <w:sz w:val="28"/>
                <w:szCs w:val="28"/>
              </w:rPr>
            </w:pPr>
            <w:r>
              <w:rPr>
                <w:rFonts w:hint="eastAsia" w:ascii="仿宋" w:hAnsi="仿宋" w:eastAsia="仿宋" w:cs="仿宋"/>
                <w:sz w:val="28"/>
                <w:szCs w:val="28"/>
              </w:rPr>
              <w:t>甲方（盖章）：</w:t>
            </w:r>
          </w:p>
          <w:p w14:paraId="407F59C2">
            <w:pPr>
              <w:ind w:right="-166" w:rightChars="-83"/>
              <w:rPr>
                <w:rFonts w:ascii="仿宋" w:hAnsi="仿宋" w:eastAsia="仿宋" w:cs="仿宋"/>
                <w:sz w:val="28"/>
                <w:szCs w:val="28"/>
              </w:rPr>
            </w:pPr>
            <w:r>
              <w:rPr>
                <w:rFonts w:hint="eastAsia" w:ascii="仿宋" w:hAnsi="仿宋" w:eastAsia="仿宋" w:cs="仿宋"/>
                <w:sz w:val="28"/>
                <w:szCs w:val="28"/>
              </w:rPr>
              <w:t>广东省广裕集团肇庆祥达实业有限公司</w:t>
            </w:r>
          </w:p>
        </w:tc>
        <w:tc>
          <w:tcPr>
            <w:tcW w:w="4946" w:type="dxa"/>
            <w:tcBorders>
              <w:tl2br w:val="nil"/>
              <w:tr2bl w:val="nil"/>
            </w:tcBorders>
          </w:tcPr>
          <w:p w14:paraId="4046A9FA">
            <w:pPr>
              <w:rPr>
                <w:rFonts w:ascii="仿宋" w:hAnsi="仿宋" w:eastAsia="仿宋" w:cs="仿宋"/>
                <w:sz w:val="28"/>
                <w:szCs w:val="28"/>
              </w:rPr>
            </w:pPr>
            <w:r>
              <w:rPr>
                <w:rFonts w:hint="eastAsia" w:ascii="仿宋" w:hAnsi="仿宋" w:eastAsia="仿宋" w:cs="仿宋"/>
                <w:sz w:val="28"/>
                <w:szCs w:val="28"/>
              </w:rPr>
              <w:t>乙方（盖章）：</w:t>
            </w:r>
          </w:p>
          <w:p w14:paraId="51C81A4D">
            <w:pPr>
              <w:rPr>
                <w:rFonts w:ascii="仿宋" w:hAnsi="仿宋" w:eastAsia="仿宋" w:cs="仿宋"/>
                <w:sz w:val="28"/>
                <w:szCs w:val="28"/>
              </w:rPr>
            </w:pPr>
          </w:p>
        </w:tc>
      </w:tr>
      <w:tr w14:paraId="0EE0F162">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5D9B3DCD">
            <w:pPr>
              <w:ind w:right="-166" w:rightChars="-83"/>
              <w:rPr>
                <w:rFonts w:ascii="仿宋" w:hAnsi="仿宋" w:eastAsia="仿宋" w:cs="仿宋"/>
                <w:sz w:val="28"/>
                <w:szCs w:val="28"/>
              </w:rPr>
            </w:pPr>
            <w:r>
              <w:rPr>
                <w:rFonts w:hint="eastAsia" w:ascii="仿宋" w:hAnsi="仿宋" w:eastAsia="仿宋" w:cs="仿宋"/>
                <w:sz w:val="28"/>
                <w:szCs w:val="28"/>
              </w:rPr>
              <w:t>单位地址：</w:t>
            </w:r>
          </w:p>
          <w:p w14:paraId="18AE464B">
            <w:pPr>
              <w:ind w:right="-166" w:rightChars="-83"/>
              <w:rPr>
                <w:rFonts w:ascii="仿宋" w:hAnsi="仿宋" w:eastAsia="仿宋" w:cs="仿宋"/>
                <w:sz w:val="28"/>
                <w:szCs w:val="28"/>
              </w:rPr>
            </w:pPr>
            <w:r>
              <w:rPr>
                <w:rFonts w:hint="eastAsia" w:ascii="仿宋" w:hAnsi="仿宋" w:eastAsia="仿宋" w:cs="仿宋"/>
                <w:sz w:val="28"/>
                <w:szCs w:val="28"/>
              </w:rPr>
              <w:t>四会市城中街道城北社区汶塘路1号</w:t>
            </w:r>
          </w:p>
        </w:tc>
        <w:tc>
          <w:tcPr>
            <w:tcW w:w="4946" w:type="dxa"/>
            <w:tcBorders>
              <w:tl2br w:val="nil"/>
              <w:tr2bl w:val="nil"/>
            </w:tcBorders>
          </w:tcPr>
          <w:p w14:paraId="0292A025">
            <w:pPr>
              <w:ind w:right="-166" w:rightChars="-83"/>
              <w:rPr>
                <w:rFonts w:ascii="仿宋" w:hAnsi="仿宋" w:eastAsia="仿宋" w:cs="仿宋"/>
                <w:sz w:val="28"/>
                <w:szCs w:val="28"/>
              </w:rPr>
            </w:pPr>
            <w:r>
              <w:rPr>
                <w:rFonts w:hint="eastAsia" w:ascii="仿宋" w:hAnsi="仿宋" w:eastAsia="仿宋" w:cs="仿宋"/>
                <w:sz w:val="28"/>
                <w:szCs w:val="28"/>
              </w:rPr>
              <w:t>单位地址：</w:t>
            </w:r>
          </w:p>
          <w:p w14:paraId="01C3200C">
            <w:pPr>
              <w:ind w:right="-166" w:rightChars="-83"/>
              <w:rPr>
                <w:rFonts w:ascii="仿宋" w:hAnsi="仿宋" w:eastAsia="仿宋" w:cs="仿宋"/>
                <w:sz w:val="28"/>
                <w:szCs w:val="28"/>
              </w:rPr>
            </w:pPr>
          </w:p>
        </w:tc>
      </w:tr>
      <w:tr w14:paraId="55EE449A">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71CB1777">
            <w:pPr>
              <w:ind w:right="-166" w:rightChars="-83"/>
              <w:rPr>
                <w:rFonts w:ascii="仿宋" w:hAnsi="仿宋" w:eastAsia="仿宋" w:cs="仿宋"/>
                <w:sz w:val="28"/>
                <w:szCs w:val="28"/>
              </w:rPr>
            </w:pPr>
            <w:r>
              <w:rPr>
                <w:rFonts w:hint="eastAsia" w:ascii="仿宋" w:hAnsi="仿宋" w:eastAsia="仿宋" w:cs="仿宋"/>
                <w:kern w:val="2"/>
                <w:sz w:val="28"/>
                <w:szCs w:val="28"/>
              </w:rPr>
              <w:t>法定代表人/负责人：</w:t>
            </w:r>
          </w:p>
        </w:tc>
        <w:tc>
          <w:tcPr>
            <w:tcW w:w="4946" w:type="dxa"/>
            <w:tcBorders>
              <w:tl2br w:val="nil"/>
              <w:tr2bl w:val="nil"/>
            </w:tcBorders>
          </w:tcPr>
          <w:p w14:paraId="1E732B6C">
            <w:pPr>
              <w:ind w:right="-166" w:rightChars="-83"/>
              <w:rPr>
                <w:rFonts w:ascii="仿宋" w:hAnsi="仿宋" w:eastAsia="仿宋" w:cs="仿宋"/>
                <w:bCs/>
                <w:sz w:val="28"/>
                <w:szCs w:val="28"/>
              </w:rPr>
            </w:pPr>
            <w:r>
              <w:rPr>
                <w:rFonts w:hint="eastAsia" w:ascii="仿宋" w:hAnsi="仿宋" w:eastAsia="仿宋" w:cs="仿宋"/>
                <w:kern w:val="2"/>
                <w:sz w:val="28"/>
                <w:szCs w:val="28"/>
              </w:rPr>
              <w:t>法定代表人/负责人：</w:t>
            </w:r>
          </w:p>
        </w:tc>
      </w:tr>
      <w:tr w14:paraId="7F743D59">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266014C0">
            <w:pPr>
              <w:ind w:right="-166" w:rightChars="-83"/>
              <w:rPr>
                <w:rFonts w:ascii="仿宋" w:hAnsi="仿宋" w:eastAsia="仿宋" w:cs="仿宋"/>
                <w:kern w:val="2"/>
                <w:sz w:val="28"/>
                <w:szCs w:val="28"/>
              </w:rPr>
            </w:pPr>
            <w:r>
              <w:rPr>
                <w:rFonts w:hint="eastAsia" w:ascii="仿宋" w:hAnsi="仿宋" w:eastAsia="仿宋" w:cs="仿宋"/>
                <w:kern w:val="2"/>
                <w:sz w:val="28"/>
                <w:szCs w:val="28"/>
              </w:rPr>
              <w:t>委托代理人：</w:t>
            </w:r>
          </w:p>
        </w:tc>
        <w:tc>
          <w:tcPr>
            <w:tcW w:w="4946" w:type="dxa"/>
            <w:tcBorders>
              <w:tl2br w:val="nil"/>
              <w:tr2bl w:val="nil"/>
            </w:tcBorders>
          </w:tcPr>
          <w:p w14:paraId="0C949DFD">
            <w:pPr>
              <w:ind w:right="-166" w:rightChars="-83"/>
              <w:rPr>
                <w:rFonts w:ascii="仿宋" w:hAnsi="仿宋" w:eastAsia="仿宋" w:cs="仿宋"/>
                <w:kern w:val="2"/>
                <w:sz w:val="28"/>
                <w:szCs w:val="28"/>
              </w:rPr>
            </w:pPr>
            <w:r>
              <w:rPr>
                <w:rFonts w:hint="eastAsia" w:ascii="仿宋" w:hAnsi="仿宋" w:eastAsia="仿宋" w:cs="仿宋"/>
                <w:kern w:val="2"/>
                <w:sz w:val="28"/>
                <w:szCs w:val="28"/>
              </w:rPr>
              <w:t>委托代理人：</w:t>
            </w:r>
          </w:p>
        </w:tc>
      </w:tr>
      <w:tr w14:paraId="4A6EE0A9">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1376BCDC">
            <w:pPr>
              <w:ind w:right="-166" w:rightChars="-83"/>
              <w:rPr>
                <w:rFonts w:ascii="仿宋" w:hAnsi="仿宋" w:eastAsia="仿宋" w:cs="仿宋"/>
                <w:kern w:val="2"/>
                <w:sz w:val="28"/>
                <w:szCs w:val="28"/>
              </w:rPr>
            </w:pPr>
            <w:r>
              <w:rPr>
                <w:rFonts w:hint="eastAsia" w:ascii="仿宋" w:hAnsi="仿宋" w:eastAsia="仿宋" w:cs="仿宋"/>
                <w:kern w:val="2"/>
                <w:sz w:val="28"/>
                <w:szCs w:val="28"/>
              </w:rPr>
              <w:t>电话：</w:t>
            </w:r>
          </w:p>
        </w:tc>
        <w:tc>
          <w:tcPr>
            <w:tcW w:w="4946" w:type="dxa"/>
            <w:tcBorders>
              <w:tl2br w:val="nil"/>
              <w:tr2bl w:val="nil"/>
            </w:tcBorders>
          </w:tcPr>
          <w:p w14:paraId="7252DAB9">
            <w:pPr>
              <w:ind w:right="-166" w:rightChars="-83"/>
              <w:rPr>
                <w:rFonts w:ascii="仿宋" w:hAnsi="仿宋" w:eastAsia="仿宋" w:cs="仿宋"/>
                <w:kern w:val="2"/>
                <w:sz w:val="28"/>
                <w:szCs w:val="28"/>
              </w:rPr>
            </w:pPr>
            <w:r>
              <w:rPr>
                <w:rFonts w:hint="eastAsia" w:ascii="仿宋" w:hAnsi="仿宋" w:eastAsia="仿宋" w:cs="仿宋"/>
                <w:kern w:val="2"/>
                <w:sz w:val="28"/>
                <w:szCs w:val="28"/>
              </w:rPr>
              <w:t>电话：</w:t>
            </w:r>
          </w:p>
        </w:tc>
      </w:tr>
      <w:tr w14:paraId="7B6953D3">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186A92DD">
            <w:pPr>
              <w:ind w:right="-166" w:rightChars="-83"/>
              <w:rPr>
                <w:rFonts w:ascii="仿宋" w:hAnsi="仿宋" w:eastAsia="仿宋" w:cs="仿宋"/>
                <w:kern w:val="2"/>
                <w:sz w:val="28"/>
                <w:szCs w:val="28"/>
              </w:rPr>
            </w:pPr>
            <w:r>
              <w:rPr>
                <w:rFonts w:hint="eastAsia" w:ascii="仿宋" w:hAnsi="仿宋" w:eastAsia="仿宋" w:cs="仿宋"/>
                <w:kern w:val="2"/>
                <w:sz w:val="28"/>
                <w:szCs w:val="28"/>
              </w:rPr>
              <w:t>传真：</w:t>
            </w:r>
          </w:p>
        </w:tc>
        <w:tc>
          <w:tcPr>
            <w:tcW w:w="4946" w:type="dxa"/>
            <w:tcBorders>
              <w:tl2br w:val="nil"/>
              <w:tr2bl w:val="nil"/>
            </w:tcBorders>
          </w:tcPr>
          <w:p w14:paraId="1001EEE0">
            <w:pPr>
              <w:ind w:right="-166" w:rightChars="-83"/>
              <w:rPr>
                <w:rFonts w:ascii="仿宋" w:hAnsi="仿宋" w:eastAsia="仿宋" w:cs="仿宋"/>
                <w:kern w:val="2"/>
                <w:sz w:val="28"/>
                <w:szCs w:val="28"/>
              </w:rPr>
            </w:pPr>
            <w:r>
              <w:rPr>
                <w:rFonts w:hint="eastAsia" w:ascii="仿宋" w:hAnsi="仿宋" w:eastAsia="仿宋" w:cs="仿宋"/>
                <w:kern w:val="2"/>
                <w:sz w:val="28"/>
                <w:szCs w:val="28"/>
              </w:rPr>
              <w:t>传真：</w:t>
            </w:r>
          </w:p>
        </w:tc>
      </w:tr>
      <w:tr w14:paraId="13A30959">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5A6296A3">
            <w:pPr>
              <w:ind w:right="-166" w:rightChars="-83"/>
              <w:rPr>
                <w:rFonts w:ascii="仿宋" w:hAnsi="仿宋" w:eastAsia="仿宋" w:cs="仿宋"/>
                <w:sz w:val="28"/>
                <w:szCs w:val="28"/>
              </w:rPr>
            </w:pPr>
            <w:r>
              <w:rPr>
                <w:rFonts w:hint="eastAsia" w:ascii="仿宋" w:hAnsi="仿宋" w:eastAsia="仿宋" w:cs="仿宋"/>
                <w:sz w:val="28"/>
                <w:szCs w:val="28"/>
              </w:rPr>
              <w:t>开户银行：</w:t>
            </w:r>
          </w:p>
          <w:p w14:paraId="4730E2F5">
            <w:pPr>
              <w:ind w:right="-166" w:rightChars="-83"/>
              <w:rPr>
                <w:rFonts w:ascii="仿宋" w:hAnsi="仿宋" w:eastAsia="仿宋" w:cs="仿宋"/>
                <w:sz w:val="28"/>
                <w:szCs w:val="28"/>
              </w:rPr>
            </w:pPr>
          </w:p>
        </w:tc>
        <w:tc>
          <w:tcPr>
            <w:tcW w:w="4946" w:type="dxa"/>
            <w:tcBorders>
              <w:tl2br w:val="nil"/>
              <w:tr2bl w:val="nil"/>
            </w:tcBorders>
          </w:tcPr>
          <w:p w14:paraId="36191A4A">
            <w:pPr>
              <w:ind w:right="-166" w:rightChars="-83"/>
              <w:rPr>
                <w:rFonts w:ascii="仿宋" w:hAnsi="仿宋" w:eastAsia="仿宋" w:cs="仿宋"/>
                <w:sz w:val="28"/>
                <w:szCs w:val="28"/>
              </w:rPr>
            </w:pPr>
            <w:r>
              <w:rPr>
                <w:rFonts w:hint="eastAsia" w:ascii="仿宋" w:hAnsi="仿宋" w:eastAsia="仿宋" w:cs="仿宋"/>
                <w:sz w:val="28"/>
                <w:szCs w:val="28"/>
              </w:rPr>
              <w:t>开户行：</w:t>
            </w:r>
          </w:p>
          <w:p w14:paraId="209192D7">
            <w:pPr>
              <w:ind w:right="-166" w:rightChars="-83"/>
              <w:rPr>
                <w:rFonts w:ascii="仿宋" w:hAnsi="仿宋" w:eastAsia="仿宋" w:cs="仿宋"/>
                <w:sz w:val="28"/>
                <w:szCs w:val="28"/>
              </w:rPr>
            </w:pPr>
          </w:p>
        </w:tc>
      </w:tr>
      <w:tr w14:paraId="09CD9EB1">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2028F7A5">
            <w:pPr>
              <w:ind w:right="-166" w:rightChars="-83"/>
              <w:rPr>
                <w:rFonts w:ascii="仿宋" w:hAnsi="仿宋" w:eastAsia="仿宋" w:cs="仿宋"/>
                <w:sz w:val="28"/>
                <w:szCs w:val="28"/>
              </w:rPr>
            </w:pPr>
            <w:r>
              <w:rPr>
                <w:rFonts w:hint="eastAsia" w:ascii="仿宋" w:hAnsi="仿宋" w:eastAsia="仿宋" w:cs="仿宋"/>
                <w:sz w:val="28"/>
                <w:szCs w:val="28"/>
              </w:rPr>
              <w:t>银行账号：</w:t>
            </w:r>
          </w:p>
        </w:tc>
        <w:tc>
          <w:tcPr>
            <w:tcW w:w="4946" w:type="dxa"/>
            <w:tcBorders>
              <w:tl2br w:val="nil"/>
              <w:tr2bl w:val="nil"/>
            </w:tcBorders>
          </w:tcPr>
          <w:p w14:paraId="52DEC319">
            <w:pPr>
              <w:ind w:right="-166" w:rightChars="-83"/>
              <w:rPr>
                <w:rFonts w:ascii="仿宋" w:hAnsi="仿宋" w:eastAsia="仿宋" w:cs="仿宋"/>
                <w:sz w:val="28"/>
                <w:szCs w:val="28"/>
              </w:rPr>
            </w:pPr>
            <w:r>
              <w:rPr>
                <w:rFonts w:hint="eastAsia" w:ascii="仿宋" w:hAnsi="仿宋" w:eastAsia="仿宋" w:cs="仿宋"/>
                <w:sz w:val="28"/>
                <w:szCs w:val="28"/>
              </w:rPr>
              <w:t>银行账号：</w:t>
            </w:r>
          </w:p>
        </w:tc>
      </w:tr>
      <w:tr w14:paraId="7BD7C164">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52911F4E">
            <w:pPr>
              <w:ind w:right="-166" w:rightChars="-83"/>
              <w:rPr>
                <w:rFonts w:ascii="仿宋" w:hAnsi="仿宋" w:eastAsia="仿宋" w:cs="仿宋"/>
                <w:sz w:val="28"/>
                <w:szCs w:val="28"/>
              </w:rPr>
            </w:pPr>
            <w:r>
              <w:rPr>
                <w:rFonts w:hint="eastAsia" w:ascii="仿宋" w:hAnsi="仿宋" w:eastAsia="仿宋" w:cs="仿宋"/>
                <w:sz w:val="28"/>
                <w:szCs w:val="28"/>
              </w:rPr>
              <w:t>签约时间：   年   月   日</w:t>
            </w:r>
          </w:p>
        </w:tc>
        <w:tc>
          <w:tcPr>
            <w:tcW w:w="4946" w:type="dxa"/>
            <w:tcBorders>
              <w:tl2br w:val="nil"/>
              <w:tr2bl w:val="nil"/>
            </w:tcBorders>
          </w:tcPr>
          <w:p w14:paraId="485F2874">
            <w:pPr>
              <w:ind w:right="-166" w:rightChars="-83"/>
              <w:rPr>
                <w:rFonts w:ascii="仿宋" w:hAnsi="仿宋" w:eastAsia="仿宋" w:cs="仿宋"/>
                <w:sz w:val="28"/>
                <w:szCs w:val="28"/>
              </w:rPr>
            </w:pPr>
            <w:r>
              <w:rPr>
                <w:rFonts w:hint="eastAsia" w:ascii="仿宋" w:hAnsi="仿宋" w:eastAsia="仿宋" w:cs="仿宋"/>
                <w:sz w:val="28"/>
                <w:szCs w:val="28"/>
              </w:rPr>
              <w:t>签约时间：   年   月   日</w:t>
            </w:r>
          </w:p>
        </w:tc>
      </w:tr>
      <w:tr w14:paraId="13CA4DFE">
        <w:tblPrEx>
          <w:tblCellMar>
            <w:top w:w="0" w:type="dxa"/>
            <w:left w:w="108" w:type="dxa"/>
            <w:bottom w:w="0" w:type="dxa"/>
            <w:right w:w="108" w:type="dxa"/>
          </w:tblCellMar>
        </w:tblPrEx>
        <w:trPr>
          <w:trHeight w:val="391" w:hRule="atLeast"/>
          <w:jc w:val="center"/>
        </w:trPr>
        <w:tc>
          <w:tcPr>
            <w:tcW w:w="9779" w:type="dxa"/>
            <w:gridSpan w:val="2"/>
            <w:tcBorders>
              <w:tl2br w:val="nil"/>
              <w:tr2bl w:val="nil"/>
            </w:tcBorders>
          </w:tcPr>
          <w:p w14:paraId="6A6C6C0B">
            <w:pPr>
              <w:ind w:right="-166" w:rightChars="-83"/>
              <w:rPr>
                <w:rFonts w:ascii="仿宋" w:hAnsi="仿宋" w:eastAsia="仿宋" w:cs="仿宋"/>
                <w:sz w:val="28"/>
                <w:szCs w:val="28"/>
              </w:rPr>
            </w:pPr>
            <w:r>
              <w:rPr>
                <w:rFonts w:hint="eastAsia" w:ascii="仿宋" w:hAnsi="仿宋" w:eastAsia="仿宋" w:cs="仿宋"/>
                <w:sz w:val="28"/>
                <w:szCs w:val="28"/>
              </w:rPr>
              <w:t>签约地点：广东省广裕集团肇庆祥达实业有限公司</w:t>
            </w:r>
          </w:p>
        </w:tc>
      </w:tr>
    </w:tbl>
    <w:p w14:paraId="16606D4B">
      <w:pPr>
        <w:tabs>
          <w:tab w:val="left" w:pos="624"/>
        </w:tabs>
        <w:snapToGrid w:val="0"/>
        <w:spacing w:line="440" w:lineRule="exact"/>
        <w:rPr>
          <w:rFonts w:ascii="仿宋" w:hAnsi="仿宋" w:eastAsia="仿宋" w:cs="仿宋"/>
          <w:sz w:val="28"/>
          <w:szCs w:val="28"/>
        </w:rPr>
      </w:pPr>
    </w:p>
    <w:sectPr>
      <w:footerReference r:id="rId3" w:type="default"/>
      <w:pgSz w:w="11906" w:h="16838"/>
      <w:pgMar w:top="1304" w:right="1134" w:bottom="1304" w:left="1417" w:header="567" w:footer="56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18EB4">
    <w:pPr>
      <w:pStyle w:val="8"/>
      <w:tabs>
        <w:tab w:val="left" w:pos="553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8D54FE">
                          <w:pPr>
                            <w:pStyle w:val="8"/>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D8D54FE">
                    <w:pPr>
                      <w:pStyle w:val="8"/>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B04F"/>
    <w:multiLevelType w:val="singleLevel"/>
    <w:tmpl w:val="DA3AB04F"/>
    <w:lvl w:ilvl="0" w:tentative="0">
      <w:start w:val="1"/>
      <w:numFmt w:val="chineseCounting"/>
      <w:suff w:val="nothing"/>
      <w:lvlText w:val="%1、"/>
      <w:lvlJc w:val="left"/>
      <w:rPr>
        <w:rFonts w:hint="eastAsia"/>
      </w:rPr>
    </w:lvl>
  </w:abstractNum>
  <w:abstractNum w:abstractNumId="1">
    <w:nsid w:val="00EE686E"/>
    <w:multiLevelType w:val="multilevel"/>
    <w:tmpl w:val="00EE686E"/>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41"/>
    <w:rsid w:val="000442D5"/>
    <w:rsid w:val="00077ADA"/>
    <w:rsid w:val="001400C8"/>
    <w:rsid w:val="001F0D6A"/>
    <w:rsid w:val="002C1706"/>
    <w:rsid w:val="002D1F10"/>
    <w:rsid w:val="00372375"/>
    <w:rsid w:val="003A70B0"/>
    <w:rsid w:val="00430A85"/>
    <w:rsid w:val="004E47A7"/>
    <w:rsid w:val="004E6480"/>
    <w:rsid w:val="00517C35"/>
    <w:rsid w:val="005205B7"/>
    <w:rsid w:val="00585D6E"/>
    <w:rsid w:val="00593560"/>
    <w:rsid w:val="00654000"/>
    <w:rsid w:val="006B3133"/>
    <w:rsid w:val="0074153B"/>
    <w:rsid w:val="007473C3"/>
    <w:rsid w:val="007512D2"/>
    <w:rsid w:val="00751FBC"/>
    <w:rsid w:val="007A61D5"/>
    <w:rsid w:val="007F1966"/>
    <w:rsid w:val="008727B4"/>
    <w:rsid w:val="008D31D5"/>
    <w:rsid w:val="009349CC"/>
    <w:rsid w:val="009F35FC"/>
    <w:rsid w:val="00A5216E"/>
    <w:rsid w:val="00B53A81"/>
    <w:rsid w:val="00B65844"/>
    <w:rsid w:val="00B86198"/>
    <w:rsid w:val="00BD4141"/>
    <w:rsid w:val="00C015C0"/>
    <w:rsid w:val="00C1271B"/>
    <w:rsid w:val="00C51776"/>
    <w:rsid w:val="00C90F85"/>
    <w:rsid w:val="00CA3ECC"/>
    <w:rsid w:val="00D108FF"/>
    <w:rsid w:val="00DD2AAF"/>
    <w:rsid w:val="00DE0404"/>
    <w:rsid w:val="00E45ABD"/>
    <w:rsid w:val="00EA065C"/>
    <w:rsid w:val="00EB179A"/>
    <w:rsid w:val="00F4096A"/>
    <w:rsid w:val="00F752B1"/>
    <w:rsid w:val="06E615E3"/>
    <w:rsid w:val="10961691"/>
    <w:rsid w:val="12115DDE"/>
    <w:rsid w:val="1F1761C1"/>
    <w:rsid w:val="2A6A2B3D"/>
    <w:rsid w:val="2BE3787A"/>
    <w:rsid w:val="2F0B1528"/>
    <w:rsid w:val="3F5934D4"/>
    <w:rsid w:val="56876F8C"/>
    <w:rsid w:val="64DA19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annotation text"/>
    <w:basedOn w:val="1"/>
    <w:uiPriority w:val="0"/>
    <w:pPr>
      <w:jc w:val="left"/>
    </w:pPr>
  </w:style>
  <w:style w:type="paragraph" w:styleId="4">
    <w:name w:val="Body Text"/>
    <w:basedOn w:val="1"/>
    <w:next w:val="1"/>
    <w:link w:val="15"/>
    <w:qFormat/>
    <w:uiPriority w:val="0"/>
    <w:rPr>
      <w:kern w:val="2"/>
      <w:sz w:val="24"/>
      <w:szCs w:val="21"/>
    </w:rPr>
  </w:style>
  <w:style w:type="paragraph" w:styleId="5">
    <w:name w:val="Body Text Indent"/>
    <w:basedOn w:val="1"/>
    <w:next w:val="6"/>
    <w:qFormat/>
    <w:uiPriority w:val="0"/>
    <w:pPr>
      <w:ind w:left="420"/>
    </w:pPr>
    <w:rPr>
      <w:kern w:val="2"/>
      <w:sz w:val="21"/>
      <w:szCs w:val="21"/>
    </w:rPr>
  </w:style>
  <w:style w:type="paragraph" w:styleId="6">
    <w:name w:val="envelope return"/>
    <w:basedOn w:val="1"/>
    <w:qFormat/>
    <w:uiPriority w:val="0"/>
    <w:pPr>
      <w:snapToGrid w:val="0"/>
    </w:pPr>
    <w:rPr>
      <w:rFonts w:ascii="Arial" w:hAnsi="Arial" w:cs="Arial"/>
      <w:kern w:val="2"/>
      <w:sz w:val="21"/>
    </w:rPr>
  </w:style>
  <w:style w:type="paragraph" w:styleId="7">
    <w:name w:val="Balloon Text"/>
    <w:basedOn w:val="1"/>
    <w:link w:val="18"/>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ascii="Calibri" w:hAnsi="Calibri"/>
      <w:sz w:val="24"/>
      <w:szCs w:val="24"/>
    </w:rPr>
  </w:style>
  <w:style w:type="paragraph" w:styleId="11">
    <w:name w:val="Body Text First Indent"/>
    <w:basedOn w:val="4"/>
    <w:link w:val="16"/>
    <w:unhideWhenUsed/>
    <w:qFormat/>
    <w:uiPriority w:val="99"/>
    <w:pPr>
      <w:spacing w:after="120"/>
      <w:ind w:firstLine="420" w:firstLineChars="100"/>
    </w:pPr>
    <w:rPr>
      <w:szCs w:val="22"/>
    </w:rPr>
  </w:style>
  <w:style w:type="paragraph" w:styleId="12">
    <w:name w:val="Body Text First Indent 2"/>
    <w:basedOn w:val="5"/>
    <w:qFormat/>
    <w:uiPriority w:val="0"/>
    <w:pPr>
      <w:widowControl/>
      <w:spacing w:after="120"/>
      <w:ind w:left="200" w:leftChars="200" w:firstLine="420" w:firstLineChars="200"/>
      <w:jc w:val="left"/>
    </w:pPr>
  </w:style>
  <w:style w:type="character" w:customStyle="1" w:styleId="15">
    <w:name w:val="正文文本 Char"/>
    <w:basedOn w:val="14"/>
    <w:link w:val="4"/>
    <w:qFormat/>
    <w:uiPriority w:val="0"/>
    <w:rPr>
      <w:kern w:val="2"/>
      <w:sz w:val="24"/>
      <w:szCs w:val="21"/>
    </w:rPr>
  </w:style>
  <w:style w:type="character" w:customStyle="1" w:styleId="16">
    <w:name w:val="正文首行缩进 Char"/>
    <w:basedOn w:val="15"/>
    <w:link w:val="11"/>
    <w:qFormat/>
    <w:uiPriority w:val="99"/>
    <w:rPr>
      <w:szCs w:val="22"/>
    </w:rPr>
  </w:style>
  <w:style w:type="paragraph" w:styleId="17">
    <w:name w:val="List Paragraph"/>
    <w:basedOn w:val="1"/>
    <w:unhideWhenUsed/>
    <w:qFormat/>
    <w:uiPriority w:val="99"/>
    <w:pPr>
      <w:ind w:firstLine="420" w:firstLineChars="200"/>
    </w:pPr>
  </w:style>
  <w:style w:type="character" w:customStyle="1" w:styleId="18">
    <w:name w:val="批注框文本 Char"/>
    <w:basedOn w:val="14"/>
    <w:link w:val="7"/>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4044</Words>
  <Characters>4226</Characters>
  <Lines>34</Lines>
  <Paragraphs>9</Paragraphs>
  <TotalTime>6</TotalTime>
  <ScaleCrop>false</ScaleCrop>
  <LinksUpToDate>false</LinksUpToDate>
  <CharactersWithSpaces>4569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2022-01-24T07:03:00Z</dcterms:created>
  <dc:creator>zhi lin</dc:creator>
  <cp:lastModifiedBy>云采链</cp:lastModifiedBy>
  <dcterms:modified xsi:type="dcterms:W3CDTF">2025-04-29T09:26:13Z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07FA1184089F4DBB938933A746A6B065_13</vt:lpwstr>
  </property>
  <property fmtid="{D5CDD505-2E9C-101B-9397-08002B2CF9AE}" pid="4" name="KSOTemplateDocerSaveRecord">
    <vt:lpwstr>eyJoZGlkIjoiNjllMTQ1N2NiYWJhNmE3MmJmNjczYjE3MmE0Mzc5ZDEiLCJ1c2VySWQiOiIyNzgxOTkwNjUifQ==</vt:lpwstr>
  </property>
</Properties>
</file>