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E8D09">
      <w:pPr>
        <w:snapToGrid w:val="0"/>
        <w:spacing w:before="156" w:beforeLines="50"/>
        <w:jc w:val="center"/>
        <w:rPr>
          <w:rFonts w:hint="eastAsia" w:ascii="宋体" w:hAnsi="宋体"/>
          <w:b/>
          <w:color w:val="000000"/>
          <w:sz w:val="84"/>
          <w:szCs w:val="84"/>
        </w:rPr>
      </w:pPr>
    </w:p>
    <w:p w14:paraId="0D523B18">
      <w:pPr>
        <w:snapToGrid w:val="0"/>
        <w:spacing w:before="156" w:beforeLines="50"/>
        <w:jc w:val="center"/>
        <w:rPr>
          <w:rFonts w:hint="eastAsia" w:ascii="宋体" w:hAnsi="宋体"/>
          <w:b/>
          <w:color w:val="000000"/>
          <w:sz w:val="84"/>
          <w:szCs w:val="84"/>
        </w:rPr>
      </w:pPr>
    </w:p>
    <w:p w14:paraId="1F448200">
      <w:pPr>
        <w:snapToGrid w:val="0"/>
        <w:spacing w:before="156" w:beforeLines="50"/>
        <w:jc w:val="center"/>
        <w:rPr>
          <w:rFonts w:hint="eastAsia" w:ascii="宋体" w:hAnsi="宋体"/>
          <w:b/>
          <w:bCs/>
          <w:color w:val="000000"/>
          <w:sz w:val="84"/>
          <w:szCs w:val="84"/>
        </w:rPr>
      </w:pPr>
      <w:r>
        <w:rPr>
          <w:rFonts w:hint="eastAsia" w:ascii="宋体" w:hAnsi="宋体"/>
          <w:b/>
          <w:color w:val="000000"/>
          <w:sz w:val="84"/>
          <w:szCs w:val="84"/>
        </w:rPr>
        <w:t>竞价文件</w:t>
      </w:r>
    </w:p>
    <w:p w14:paraId="4F3B42C5">
      <w:pPr>
        <w:spacing w:line="360" w:lineRule="auto"/>
        <w:jc w:val="center"/>
        <w:rPr>
          <w:rFonts w:hint="eastAsia" w:ascii="宋体" w:hAnsi="宋体"/>
          <w:b/>
          <w:bCs/>
          <w:color w:val="000000"/>
          <w:sz w:val="24"/>
          <w:szCs w:val="24"/>
        </w:rPr>
      </w:pPr>
    </w:p>
    <w:p w14:paraId="35B7D6C0">
      <w:pPr>
        <w:spacing w:line="360" w:lineRule="auto"/>
        <w:rPr>
          <w:rFonts w:hint="eastAsia" w:ascii="宋体" w:hAnsi="宋体"/>
          <w:color w:val="000000"/>
          <w:sz w:val="30"/>
          <w:szCs w:val="30"/>
        </w:rPr>
      </w:pPr>
    </w:p>
    <w:p w14:paraId="536D114A">
      <w:pPr>
        <w:spacing w:line="360" w:lineRule="auto"/>
        <w:rPr>
          <w:rFonts w:hint="eastAsia" w:ascii="宋体" w:hAnsi="宋体"/>
          <w:color w:val="000000"/>
          <w:sz w:val="30"/>
          <w:szCs w:val="30"/>
        </w:rPr>
      </w:pPr>
    </w:p>
    <w:p w14:paraId="05B73EDD">
      <w:pPr>
        <w:spacing w:line="360" w:lineRule="auto"/>
        <w:rPr>
          <w:rFonts w:hint="eastAsia" w:ascii="宋体" w:hAnsi="宋体"/>
          <w:color w:val="000000"/>
          <w:sz w:val="30"/>
          <w:szCs w:val="30"/>
        </w:rPr>
      </w:pPr>
    </w:p>
    <w:p w14:paraId="254DCF6D">
      <w:pPr>
        <w:spacing w:line="360" w:lineRule="auto"/>
        <w:rPr>
          <w:rFonts w:hint="eastAsia" w:ascii="宋体" w:hAnsi="宋体"/>
          <w:color w:val="000000"/>
          <w:sz w:val="30"/>
          <w:szCs w:val="30"/>
        </w:rPr>
      </w:pPr>
    </w:p>
    <w:p w14:paraId="72EFBC04">
      <w:pPr>
        <w:spacing w:line="360" w:lineRule="auto"/>
        <w:jc w:val="left"/>
        <w:rPr>
          <w:rFonts w:hint="eastAsia" w:ascii="宋体" w:hAnsi="宋体"/>
          <w:b/>
          <w:bCs/>
          <w:color w:val="000000"/>
          <w:sz w:val="28"/>
          <w:szCs w:val="32"/>
        </w:rPr>
      </w:pPr>
      <w:r>
        <w:rPr>
          <w:rFonts w:hint="eastAsia" w:ascii="宋体" w:hAnsi="宋体"/>
          <w:b/>
          <w:bCs/>
          <w:color w:val="000000"/>
          <w:sz w:val="28"/>
          <w:szCs w:val="32"/>
        </w:rPr>
        <w:t>采购方式：线上竞价</w:t>
      </w:r>
    </w:p>
    <w:p w14:paraId="1532D51B">
      <w:pPr>
        <w:spacing w:line="360" w:lineRule="auto"/>
        <w:ind w:left="1421" w:hanging="1415" w:hangingChars="500"/>
        <w:jc w:val="left"/>
        <w:rPr>
          <w:rFonts w:hint="eastAsia" w:ascii="宋体" w:hAnsi="宋体" w:eastAsia="宋体"/>
          <w:b/>
          <w:bCs/>
          <w:color w:val="000000"/>
          <w:sz w:val="28"/>
          <w:szCs w:val="32"/>
          <w:u w:val="single"/>
          <w:lang w:eastAsia="zh-CN"/>
        </w:rPr>
      </w:pPr>
      <w:r>
        <w:rPr>
          <w:rFonts w:hint="eastAsia" w:ascii="宋体" w:hAnsi="宋体"/>
          <w:b/>
          <w:bCs/>
          <w:color w:val="000000"/>
          <w:sz w:val="28"/>
          <w:szCs w:val="32"/>
        </w:rPr>
        <w:t>项目名称：</w:t>
      </w:r>
      <w:r>
        <w:rPr>
          <w:rFonts w:hint="eastAsia" w:ascii="宋体" w:hAnsi="宋体"/>
          <w:b/>
          <w:bCs/>
          <w:sz w:val="28"/>
          <w:szCs w:val="32"/>
          <w:u w:val="single"/>
          <w:lang w:eastAsia="zh-CN"/>
        </w:rPr>
        <w:t>广东省肇庆监狱无线智能微震生命探测系统租赁项目（第二次）</w:t>
      </w:r>
    </w:p>
    <w:p w14:paraId="156437A5">
      <w:pPr>
        <w:snapToGrid w:val="0"/>
        <w:spacing w:before="156" w:beforeLines="50" w:after="156" w:afterLines="50" w:line="360" w:lineRule="auto"/>
        <w:jc w:val="center"/>
        <w:rPr>
          <w:rFonts w:hint="eastAsia" w:ascii="宋体" w:hAnsi="宋体"/>
          <w:color w:val="000000"/>
          <w:sz w:val="30"/>
          <w:szCs w:val="30"/>
        </w:rPr>
      </w:pPr>
    </w:p>
    <w:p w14:paraId="60393D3E">
      <w:pPr>
        <w:autoSpaceDE w:val="0"/>
        <w:autoSpaceDN w:val="0"/>
        <w:adjustRightInd w:val="0"/>
        <w:snapToGrid w:val="0"/>
        <w:spacing w:before="156" w:beforeLines="50" w:after="156" w:afterLines="50" w:line="360" w:lineRule="auto"/>
        <w:jc w:val="center"/>
        <w:rPr>
          <w:rFonts w:hint="eastAsia" w:ascii="宋体" w:hAnsi="宋体"/>
          <w:color w:val="000000"/>
          <w:kern w:val="0"/>
          <w:sz w:val="30"/>
          <w:szCs w:val="30"/>
        </w:rPr>
      </w:pPr>
    </w:p>
    <w:p w14:paraId="2D81AEC2">
      <w:pPr>
        <w:autoSpaceDE w:val="0"/>
        <w:autoSpaceDN w:val="0"/>
        <w:adjustRightInd w:val="0"/>
        <w:snapToGrid w:val="0"/>
        <w:spacing w:before="156" w:beforeLines="50" w:after="156" w:afterLines="50" w:line="360" w:lineRule="auto"/>
        <w:jc w:val="left"/>
        <w:rPr>
          <w:rFonts w:hint="eastAsia" w:ascii="宋体" w:hAnsi="宋体"/>
          <w:color w:val="000000"/>
          <w:kern w:val="0"/>
          <w:sz w:val="30"/>
          <w:szCs w:val="30"/>
        </w:rPr>
      </w:pPr>
    </w:p>
    <w:p w14:paraId="33506245">
      <w:pPr>
        <w:autoSpaceDE w:val="0"/>
        <w:autoSpaceDN w:val="0"/>
        <w:adjustRightInd w:val="0"/>
        <w:snapToGrid w:val="0"/>
        <w:spacing w:line="360" w:lineRule="auto"/>
        <w:ind w:left="420" w:firstLine="420"/>
        <w:jc w:val="center"/>
        <w:rPr>
          <w:rFonts w:hint="eastAsia" w:ascii="宋体" w:hAnsi="宋体"/>
          <w:b/>
          <w:bCs/>
          <w:color w:val="000000"/>
          <w:sz w:val="28"/>
          <w:szCs w:val="32"/>
        </w:rPr>
      </w:pPr>
      <w:r>
        <w:rPr>
          <w:rFonts w:hint="eastAsia" w:ascii="宋体" w:hAnsi="宋体"/>
          <w:b/>
          <w:bCs/>
          <w:color w:val="000000"/>
          <w:sz w:val="28"/>
          <w:szCs w:val="32"/>
        </w:rPr>
        <w:t>广东省肇庆监狱</w:t>
      </w:r>
    </w:p>
    <w:p w14:paraId="56542561">
      <w:pPr>
        <w:autoSpaceDE w:val="0"/>
        <w:autoSpaceDN w:val="0"/>
        <w:adjustRightInd w:val="0"/>
        <w:snapToGrid w:val="0"/>
        <w:spacing w:line="360" w:lineRule="auto"/>
        <w:ind w:left="420" w:firstLine="420"/>
        <w:jc w:val="center"/>
        <w:rPr>
          <w:rFonts w:hint="eastAsia" w:ascii="宋体" w:hAnsi="宋体"/>
          <w:b/>
          <w:color w:val="000000"/>
          <w:sz w:val="28"/>
        </w:rPr>
      </w:pPr>
      <w:r>
        <w:rPr>
          <w:rFonts w:hint="eastAsia" w:ascii="宋体" w:hAnsi="宋体"/>
          <w:b/>
          <w:color w:val="000000"/>
          <w:sz w:val="28"/>
        </w:rPr>
        <w:t>采联国际招标采购集团有限公司</w:t>
      </w:r>
    </w:p>
    <w:p w14:paraId="4AF1FB02">
      <w:pPr>
        <w:autoSpaceDE w:val="0"/>
        <w:autoSpaceDN w:val="0"/>
        <w:adjustRightInd w:val="0"/>
        <w:snapToGrid w:val="0"/>
        <w:spacing w:line="360" w:lineRule="auto"/>
        <w:ind w:left="420" w:firstLine="420"/>
        <w:jc w:val="center"/>
        <w:rPr>
          <w:rFonts w:hint="eastAsia" w:ascii="宋体" w:hAnsi="宋体"/>
          <w:b/>
          <w:color w:val="000000"/>
          <w:sz w:val="28"/>
        </w:rPr>
      </w:pPr>
      <w:r>
        <w:rPr>
          <w:rFonts w:hint="eastAsia" w:ascii="宋体" w:hAnsi="宋体"/>
          <w:b/>
          <w:color w:val="000000"/>
          <w:sz w:val="28"/>
        </w:rPr>
        <w:t>二〇二五年</w:t>
      </w:r>
      <w:r>
        <w:rPr>
          <w:rFonts w:hint="eastAsia" w:ascii="宋体" w:hAnsi="宋体"/>
          <w:b/>
          <w:color w:val="000000"/>
          <w:sz w:val="28"/>
          <w:lang w:val="en-US" w:eastAsia="zh-CN"/>
        </w:rPr>
        <w:t>五</w:t>
      </w:r>
      <w:bookmarkStart w:id="6" w:name="_GoBack"/>
      <w:bookmarkEnd w:id="6"/>
      <w:r>
        <w:rPr>
          <w:rFonts w:hint="eastAsia" w:ascii="宋体" w:hAnsi="宋体"/>
          <w:b/>
          <w:sz w:val="28"/>
        </w:rPr>
        <w:t>月</w:t>
      </w:r>
    </w:p>
    <w:p w14:paraId="0851C232">
      <w:pPr>
        <w:widowControl/>
        <w:jc w:val="left"/>
        <w:rPr>
          <w:rFonts w:hint="eastAsia" w:ascii="宋体" w:hAnsi="宋体"/>
          <w:color w:val="000000"/>
          <w:sz w:val="28"/>
        </w:rPr>
      </w:pPr>
      <w:r>
        <w:rPr>
          <w:rFonts w:ascii="宋体" w:hAnsi="宋体"/>
          <w:color w:val="000000"/>
          <w:sz w:val="28"/>
        </w:rPr>
        <w:br w:type="page"/>
      </w:r>
    </w:p>
    <w:p w14:paraId="22DD0CCD">
      <w:pPr>
        <w:pStyle w:val="20"/>
        <w:spacing w:before="0" w:after="0"/>
        <w:rPr>
          <w:rFonts w:hint="eastAsia" w:ascii="宋体" w:hAnsi="宋体"/>
          <w:color w:val="000000"/>
        </w:rPr>
      </w:pPr>
      <w:r>
        <w:rPr>
          <w:rFonts w:hint="eastAsia" w:ascii="宋体" w:hAnsi="宋体"/>
          <w:color w:val="000000"/>
        </w:rPr>
        <w:t>第一章 竞价须知</w:t>
      </w:r>
    </w:p>
    <w:p w14:paraId="1E0F8983">
      <w:pPr>
        <w:pStyle w:val="32"/>
        <w:numPr>
          <w:ilvl w:val="0"/>
          <w:numId w:val="2"/>
        </w:numPr>
        <w:spacing w:line="360" w:lineRule="auto"/>
        <w:ind w:firstLineChars="0"/>
        <w:rPr>
          <w:rFonts w:hint="eastAsia" w:ascii="宋体" w:hAnsi="宋体"/>
          <w:color w:val="000000"/>
        </w:rPr>
      </w:pPr>
      <w:r>
        <w:rPr>
          <w:rFonts w:hint="eastAsia" w:ascii="宋体" w:hAnsi="宋体"/>
          <w:color w:val="000000"/>
          <w:szCs w:val="21"/>
        </w:rPr>
        <w:t>本项目通过云采链线上采购一体化平台（www.choicelink.cn）进行竞价，参与竞价的供应商必须登录平台进行注册，注册成功后方可参与项目竞价。</w:t>
      </w:r>
    </w:p>
    <w:p w14:paraId="4F21FA20">
      <w:pPr>
        <w:pStyle w:val="32"/>
        <w:numPr>
          <w:ilvl w:val="0"/>
          <w:numId w:val="2"/>
        </w:numPr>
        <w:spacing w:line="360" w:lineRule="auto"/>
        <w:ind w:firstLineChars="0"/>
        <w:rPr>
          <w:rFonts w:hint="eastAsia" w:ascii="宋体" w:hAnsi="宋体"/>
          <w:color w:val="000000"/>
        </w:rPr>
      </w:pPr>
      <w:r>
        <w:rPr>
          <w:rFonts w:hint="eastAsia" w:ascii="宋体" w:hAnsi="宋体"/>
          <w:color w:val="000000"/>
        </w:rPr>
        <w:t>语言要求</w:t>
      </w:r>
    </w:p>
    <w:p w14:paraId="62E14505">
      <w:pPr>
        <w:spacing w:line="360" w:lineRule="auto"/>
        <w:ind w:left="426" w:leftChars="200"/>
        <w:rPr>
          <w:rFonts w:hint="eastAsia" w:ascii="宋体" w:hAnsi="宋体"/>
          <w:color w:val="000000"/>
        </w:rPr>
      </w:pPr>
      <w:r>
        <w:rPr>
          <w:rFonts w:hint="eastAsia" w:ascii="宋体" w:hAnsi="宋体"/>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78DAA2D">
      <w:pPr>
        <w:pStyle w:val="32"/>
        <w:numPr>
          <w:ilvl w:val="0"/>
          <w:numId w:val="2"/>
        </w:numPr>
        <w:spacing w:line="360" w:lineRule="auto"/>
        <w:ind w:firstLineChars="0"/>
        <w:rPr>
          <w:rFonts w:hint="eastAsia" w:ascii="宋体" w:hAnsi="宋体"/>
          <w:b/>
          <w:bCs/>
          <w:color w:val="000000"/>
        </w:rPr>
      </w:pPr>
      <w:r>
        <w:rPr>
          <w:rFonts w:hint="eastAsia" w:ascii="宋体" w:hAnsi="宋体"/>
          <w:b/>
          <w:bCs/>
          <w:color w:val="000000"/>
          <w:szCs w:val="21"/>
        </w:rPr>
        <w:t>在云采链平台参与项目竞价后放弃成交资格超过三次（含三次）的供应商连同该供应商同一法人名下所有公司将被列入平台黑名单，永久不得参与平台的项目竞价。</w:t>
      </w:r>
    </w:p>
    <w:p w14:paraId="67A5ED52">
      <w:pPr>
        <w:pStyle w:val="32"/>
        <w:numPr>
          <w:ilvl w:val="0"/>
          <w:numId w:val="2"/>
        </w:numPr>
        <w:spacing w:line="360" w:lineRule="auto"/>
        <w:ind w:firstLineChars="0"/>
        <w:rPr>
          <w:rFonts w:hint="eastAsia" w:ascii="宋体" w:hAnsi="宋体"/>
          <w:color w:val="000000"/>
        </w:rPr>
      </w:pPr>
      <w:r>
        <w:rPr>
          <w:rFonts w:hint="eastAsia" w:ascii="宋体" w:hAnsi="宋体"/>
          <w:color w:val="000000"/>
        </w:rPr>
        <w:t>竞价须知</w:t>
      </w:r>
    </w:p>
    <w:p w14:paraId="4CDD9A93">
      <w:pPr>
        <w:pStyle w:val="32"/>
        <w:numPr>
          <w:ilvl w:val="0"/>
          <w:numId w:val="3"/>
        </w:numPr>
        <w:spacing w:line="360" w:lineRule="auto"/>
        <w:ind w:left="420" w:hanging="420" w:firstLineChars="0"/>
        <w:rPr>
          <w:rFonts w:hint="eastAsia" w:ascii="宋体" w:hAnsi="宋体"/>
          <w:b/>
          <w:color w:val="000000"/>
        </w:rPr>
      </w:pPr>
      <w:r>
        <w:rPr>
          <w:rStyle w:val="27"/>
          <w:rFonts w:hint="eastAsia" w:ascii="宋体" w:hAnsi="宋体"/>
          <w:bCs w:val="0"/>
          <w:color w:val="000000"/>
        </w:rPr>
        <w:t>竞价说明</w:t>
      </w:r>
    </w:p>
    <w:p w14:paraId="04C88896">
      <w:pPr>
        <w:pStyle w:val="32"/>
        <w:numPr>
          <w:ilvl w:val="0"/>
          <w:numId w:val="4"/>
        </w:numPr>
        <w:tabs>
          <w:tab w:val="left" w:pos="851"/>
        </w:tabs>
        <w:spacing w:line="360" w:lineRule="auto"/>
        <w:ind w:left="760" w:hanging="340" w:firstLineChars="0"/>
        <w:rPr>
          <w:rFonts w:hint="eastAsia" w:ascii="宋体" w:hAnsi="宋体"/>
          <w:color w:val="000000"/>
        </w:rPr>
      </w:pPr>
      <w:r>
        <w:rPr>
          <w:rFonts w:hint="eastAsia" w:ascii="宋体" w:hAnsi="宋体"/>
          <w:color w:val="000000"/>
          <w:szCs w:val="21"/>
        </w:rPr>
        <w:t>参与竞价的供应商应承担所有与准备和参加竞价有关的费用，不</w:t>
      </w:r>
      <w:r>
        <w:rPr>
          <w:rFonts w:hint="eastAsia" w:ascii="宋体" w:hAnsi="宋体"/>
          <w:color w:val="000000"/>
          <w:szCs w:val="21"/>
          <w:lang w:eastAsia="zh-TW"/>
        </w:rPr>
        <w:t>论</w:t>
      </w:r>
      <w:r>
        <w:rPr>
          <w:rFonts w:hint="eastAsia" w:ascii="宋体" w:hAnsi="宋体"/>
          <w:color w:val="000000"/>
          <w:szCs w:val="21"/>
        </w:rPr>
        <w:t>竞价</w:t>
      </w:r>
      <w:r>
        <w:rPr>
          <w:rFonts w:hint="eastAsia" w:ascii="宋体" w:hAnsi="宋体"/>
          <w:color w:val="000000"/>
          <w:szCs w:val="21"/>
          <w:lang w:eastAsia="zh-TW"/>
        </w:rPr>
        <w:t>的结果如何</w:t>
      </w:r>
      <w:r>
        <w:rPr>
          <w:rFonts w:hint="eastAsia" w:ascii="宋体" w:hAnsi="宋体"/>
          <w:color w:val="000000"/>
          <w:szCs w:val="21"/>
        </w:rPr>
        <w:t>，采购</w:t>
      </w:r>
      <w:r>
        <w:rPr>
          <w:rFonts w:hint="eastAsia" w:ascii="宋体" w:hAnsi="宋体"/>
          <w:color w:val="000000"/>
          <w:szCs w:val="21"/>
          <w:lang w:eastAsia="zh-TW"/>
        </w:rPr>
        <w:t>人</w:t>
      </w:r>
      <w:r>
        <w:rPr>
          <w:rFonts w:hint="eastAsia" w:ascii="宋体" w:hAnsi="宋体"/>
          <w:color w:val="000000"/>
          <w:szCs w:val="21"/>
        </w:rPr>
        <w:t>和</w:t>
      </w:r>
      <w:r>
        <w:rPr>
          <w:rFonts w:hint="eastAsia" w:ascii="宋体" w:hAnsi="宋体"/>
          <w:color w:val="000000"/>
          <w:szCs w:val="21"/>
          <w:lang w:eastAsia="zh-TW"/>
        </w:rPr>
        <w:t>代理机构均无义务和责任承担这些费用</w:t>
      </w:r>
      <w:r>
        <w:rPr>
          <w:rFonts w:hint="eastAsia" w:ascii="宋体" w:hAnsi="宋体"/>
          <w:color w:val="000000"/>
          <w:szCs w:val="21"/>
        </w:rPr>
        <w:t>。</w:t>
      </w:r>
    </w:p>
    <w:p w14:paraId="709E496E">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szCs w:val="21"/>
        </w:rPr>
        <w:t>参与竞价的</w:t>
      </w:r>
      <w:r>
        <w:rPr>
          <w:rFonts w:hint="eastAsia" w:ascii="宋体" w:hAnsi="宋体"/>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0904B13C">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szCs w:val="21"/>
        </w:rPr>
        <w:t>参与竞价的</w:t>
      </w:r>
      <w:r>
        <w:rPr>
          <w:rFonts w:hint="eastAsia" w:ascii="宋体" w:hAnsi="宋体"/>
          <w:color w:val="000000"/>
          <w:szCs w:val="21"/>
          <w:lang w:val="zh-CN"/>
        </w:rPr>
        <w:t>供应商需对</w:t>
      </w:r>
      <w:r>
        <w:rPr>
          <w:rFonts w:hint="eastAsia" w:ascii="宋体" w:hAnsi="宋体"/>
          <w:color w:val="000000"/>
        </w:rPr>
        <w:t>采购</w:t>
      </w:r>
      <w:r>
        <w:rPr>
          <w:rFonts w:hint="eastAsia" w:ascii="宋体" w:hAnsi="宋体"/>
          <w:color w:val="000000"/>
          <w:szCs w:val="21"/>
          <w:lang w:val="zh-CN"/>
        </w:rPr>
        <w:t>需求书的所有条款进行整体响应，</w:t>
      </w:r>
      <w:r>
        <w:rPr>
          <w:rFonts w:hint="eastAsia" w:ascii="宋体" w:hAnsi="宋体"/>
          <w:color w:val="000000"/>
        </w:rPr>
        <w:t>采购</w:t>
      </w:r>
      <w:r>
        <w:rPr>
          <w:rFonts w:hint="eastAsia" w:ascii="宋体" w:hAnsi="宋体"/>
          <w:color w:val="000000"/>
          <w:szCs w:val="21"/>
          <w:lang w:val="zh-CN"/>
        </w:rPr>
        <w:t>需求书条款若有一条负偏离或不响应，</w:t>
      </w:r>
      <w:r>
        <w:rPr>
          <w:rFonts w:hint="eastAsia" w:ascii="宋体" w:hAnsi="宋体"/>
          <w:bCs/>
          <w:color w:val="000000"/>
          <w:szCs w:val="21"/>
        </w:rPr>
        <w:t>不推荐为成交候选人</w:t>
      </w:r>
      <w:r>
        <w:rPr>
          <w:rFonts w:hint="eastAsia" w:ascii="宋体" w:hAnsi="宋体"/>
          <w:color w:val="000000"/>
          <w:szCs w:val="21"/>
          <w:lang w:val="zh-CN"/>
        </w:rPr>
        <w:t>。</w:t>
      </w:r>
    </w:p>
    <w:p w14:paraId="36E212DA">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szCs w:val="21"/>
        </w:rPr>
        <w:t>若成交供应商自身原因无法完成本项目，则采购人有权利保留追究责任。</w:t>
      </w:r>
    </w:p>
    <w:p w14:paraId="0DB6546A">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rPr>
        <w:t>成交供应商因自身原因被取消成交资格，采购人可重新启动采购或按竞价公告规定顺延推选符合要求的供应商作为成交供应商。</w:t>
      </w:r>
    </w:p>
    <w:p w14:paraId="4883FFC7">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rPr>
        <w:t>若本项目竞价采购失败，采购人将重新采购，届时采购人有权根据项目具体情况，决定重新采购项目的采购方式。</w:t>
      </w:r>
    </w:p>
    <w:p w14:paraId="6EF86F3E">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rPr>
        <w:t>成交供应商若无正当理由恶意放弃成交资格，采购人有权将拒绝其参加本项目重新组织的竞价采购活动。</w:t>
      </w:r>
    </w:p>
    <w:p w14:paraId="4EBF513C">
      <w:pPr>
        <w:pStyle w:val="32"/>
        <w:numPr>
          <w:ilvl w:val="0"/>
          <w:numId w:val="4"/>
        </w:numPr>
        <w:spacing w:line="360" w:lineRule="auto"/>
        <w:ind w:left="760" w:hanging="340" w:firstLineChars="0"/>
        <w:rPr>
          <w:rFonts w:hint="eastAsia" w:ascii="宋体" w:hAnsi="宋体"/>
          <w:color w:val="000000"/>
        </w:rPr>
      </w:pPr>
      <w:r>
        <w:rPr>
          <w:rFonts w:hint="eastAsia" w:ascii="宋体" w:hAnsi="宋体"/>
          <w:color w:val="000000"/>
        </w:rPr>
        <w:t>如采购人或代理机构在审核或复核</w:t>
      </w:r>
      <w:r>
        <w:rPr>
          <w:rFonts w:hint="eastAsia" w:ascii="宋体" w:hAnsi="宋体"/>
          <w:color w:val="000000"/>
          <w:szCs w:val="21"/>
        </w:rPr>
        <w:t>参与竞价的</w:t>
      </w:r>
      <w:r>
        <w:rPr>
          <w:rFonts w:hint="eastAsia" w:ascii="宋体" w:hAnsi="宋体"/>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01142927">
      <w:pPr>
        <w:pStyle w:val="32"/>
        <w:numPr>
          <w:ilvl w:val="0"/>
          <w:numId w:val="4"/>
        </w:numPr>
        <w:spacing w:line="360" w:lineRule="auto"/>
        <w:ind w:left="840" w:hanging="420" w:firstLineChars="0"/>
        <w:rPr>
          <w:rFonts w:hint="eastAsia" w:ascii="宋体" w:hAnsi="宋体"/>
          <w:color w:val="000000"/>
        </w:rPr>
      </w:pPr>
      <w:r>
        <w:rPr>
          <w:rFonts w:hint="eastAsia" w:ascii="宋体" w:hAnsi="宋体"/>
          <w:color w:val="000000"/>
          <w:szCs w:val="21"/>
        </w:rPr>
        <w:t>参与竞价的</w:t>
      </w:r>
      <w:r>
        <w:rPr>
          <w:rFonts w:hint="eastAsia" w:ascii="宋体" w:hAnsi="宋体"/>
          <w:color w:val="000000"/>
          <w:szCs w:val="21"/>
          <w:lang w:eastAsia="zh-TW"/>
        </w:rPr>
        <w:t>供应商向我司咨询的有关项目事项，一切以</w:t>
      </w:r>
      <w:r>
        <w:rPr>
          <w:rFonts w:hint="eastAsia" w:ascii="宋体" w:hAnsi="宋体"/>
          <w:color w:val="000000"/>
          <w:szCs w:val="21"/>
        </w:rPr>
        <w:t>竞价文件</w:t>
      </w:r>
      <w:r>
        <w:rPr>
          <w:rFonts w:hint="eastAsia" w:ascii="宋体" w:hAnsi="宋体"/>
          <w:color w:val="000000"/>
          <w:szCs w:val="21"/>
          <w:lang w:eastAsia="zh-TW"/>
        </w:rPr>
        <w:t>规定</w:t>
      </w:r>
      <w:r>
        <w:rPr>
          <w:rFonts w:hint="eastAsia" w:ascii="宋体" w:hAnsi="宋体"/>
          <w:color w:val="000000"/>
          <w:szCs w:val="21"/>
        </w:rPr>
        <w:t>和竞价公告规定以及</w:t>
      </w:r>
      <w:r>
        <w:rPr>
          <w:rFonts w:hint="eastAsia" w:ascii="宋体" w:hAnsi="宋体"/>
          <w:color w:val="000000"/>
          <w:szCs w:val="21"/>
          <w:lang w:eastAsia="zh-TW"/>
        </w:rPr>
        <w:t>本公司</w:t>
      </w:r>
      <w:r>
        <w:rPr>
          <w:rFonts w:hint="eastAsia" w:ascii="宋体" w:hAnsi="宋体"/>
          <w:color w:val="000000"/>
          <w:szCs w:val="21"/>
        </w:rPr>
        <w:t>的</w:t>
      </w:r>
      <w:r>
        <w:rPr>
          <w:rFonts w:hint="eastAsia" w:ascii="宋体" w:hAnsi="宋体"/>
          <w:color w:val="000000"/>
          <w:szCs w:val="21"/>
          <w:lang w:eastAsia="zh-TW"/>
        </w:rPr>
        <w:t>书面答复为准，其他一切形式均为个人意见，不代表本公司的意见</w:t>
      </w:r>
      <w:r>
        <w:rPr>
          <w:rFonts w:hint="eastAsia" w:ascii="宋体" w:hAnsi="宋体"/>
          <w:color w:val="000000"/>
          <w:szCs w:val="21"/>
        </w:rPr>
        <w:t>。</w:t>
      </w:r>
    </w:p>
    <w:p w14:paraId="2C9262AA">
      <w:pPr>
        <w:pStyle w:val="32"/>
        <w:numPr>
          <w:ilvl w:val="0"/>
          <w:numId w:val="4"/>
        </w:numPr>
        <w:spacing w:line="360" w:lineRule="auto"/>
        <w:ind w:left="840" w:hanging="420" w:firstLineChars="0"/>
        <w:rPr>
          <w:rFonts w:hint="eastAsia" w:ascii="宋体" w:hAnsi="宋体"/>
          <w:color w:val="000000"/>
        </w:rPr>
      </w:pPr>
      <w:r>
        <w:rPr>
          <w:rFonts w:hint="eastAsia" w:ascii="宋体" w:hAnsi="宋体"/>
          <w:color w:val="000000"/>
          <w:szCs w:val="21"/>
        </w:rPr>
        <w:t>参与竞价的供应商应认真阅读</w:t>
      </w:r>
      <w:r>
        <w:rPr>
          <w:rFonts w:hint="eastAsia" w:ascii="宋体" w:hAnsi="宋体"/>
          <w:color w:val="000000"/>
          <w:szCs w:val="21"/>
          <w:lang w:eastAsia="zh-TW"/>
        </w:rPr>
        <w:t>、并充分理解</w:t>
      </w:r>
      <w:r>
        <w:rPr>
          <w:rFonts w:hint="eastAsia" w:ascii="宋体" w:hAnsi="宋体"/>
          <w:color w:val="000000"/>
          <w:szCs w:val="21"/>
        </w:rPr>
        <w:t>竞价</w:t>
      </w:r>
      <w:r>
        <w:rPr>
          <w:rFonts w:hint="eastAsia" w:ascii="宋体" w:hAnsi="宋体"/>
          <w:color w:val="000000"/>
          <w:szCs w:val="21"/>
          <w:lang w:eastAsia="zh-TW"/>
        </w:rPr>
        <w:t>文件的全部内容（包括所有的补充、修改内容重要事项、格式、条款</w:t>
      </w:r>
      <w:r>
        <w:rPr>
          <w:rFonts w:hint="eastAsia" w:ascii="宋体" w:hAnsi="宋体"/>
          <w:color w:val="000000"/>
          <w:szCs w:val="21"/>
        </w:rPr>
        <w:t>、服务要求</w:t>
      </w:r>
      <w:r>
        <w:rPr>
          <w:rFonts w:hint="eastAsia" w:ascii="宋体" w:hAnsi="宋体"/>
          <w:color w:val="000000"/>
          <w:szCs w:val="21"/>
          <w:lang w:eastAsia="zh-TW"/>
        </w:rPr>
        <w:t>和技术规范、参数及要求等）。</w:t>
      </w:r>
      <w:r>
        <w:rPr>
          <w:rFonts w:hint="eastAsia" w:ascii="宋体" w:hAnsi="宋体"/>
          <w:color w:val="000000"/>
          <w:szCs w:val="21"/>
        </w:rPr>
        <w:t>供应商</w:t>
      </w:r>
      <w:r>
        <w:rPr>
          <w:rFonts w:hint="eastAsia" w:ascii="宋体" w:hAnsi="宋体"/>
          <w:color w:val="000000"/>
          <w:szCs w:val="21"/>
          <w:lang w:eastAsia="zh-TW"/>
        </w:rPr>
        <w:t>没有按照</w:t>
      </w:r>
      <w:r>
        <w:rPr>
          <w:rFonts w:hint="eastAsia" w:ascii="宋体" w:hAnsi="宋体"/>
          <w:color w:val="000000"/>
          <w:szCs w:val="21"/>
        </w:rPr>
        <w:t>竞价</w:t>
      </w:r>
      <w:r>
        <w:rPr>
          <w:rFonts w:hint="eastAsia" w:ascii="宋体" w:hAnsi="宋体"/>
          <w:color w:val="000000"/>
          <w:szCs w:val="21"/>
          <w:lang w:eastAsia="zh-TW"/>
        </w:rPr>
        <w:t>文件要求提交全部资料，或者</w:t>
      </w:r>
      <w:r>
        <w:rPr>
          <w:rFonts w:hint="eastAsia" w:ascii="宋体" w:hAnsi="宋体"/>
          <w:color w:val="000000"/>
          <w:szCs w:val="21"/>
        </w:rPr>
        <w:t>参与竞价所上传的</w:t>
      </w:r>
      <w:r>
        <w:rPr>
          <w:rFonts w:hint="eastAsia" w:ascii="宋体" w:hAnsi="宋体"/>
          <w:color w:val="000000"/>
          <w:szCs w:val="21"/>
          <w:lang w:eastAsia="zh-TW"/>
        </w:rPr>
        <w:t>文件没有对</w:t>
      </w:r>
      <w:r>
        <w:rPr>
          <w:rFonts w:hint="eastAsia" w:ascii="宋体" w:hAnsi="宋体"/>
          <w:color w:val="000000"/>
          <w:szCs w:val="21"/>
        </w:rPr>
        <w:t>竞价</w:t>
      </w:r>
      <w:r>
        <w:rPr>
          <w:rFonts w:hint="eastAsia" w:ascii="宋体" w:hAnsi="宋体"/>
          <w:color w:val="000000"/>
          <w:szCs w:val="21"/>
          <w:lang w:eastAsia="zh-TW"/>
        </w:rPr>
        <w:t>文件在各方面都作出实质性响应是</w:t>
      </w:r>
      <w:r>
        <w:rPr>
          <w:rFonts w:hint="eastAsia" w:ascii="宋体" w:hAnsi="宋体"/>
          <w:color w:val="000000"/>
          <w:szCs w:val="21"/>
        </w:rPr>
        <w:t>供应商</w:t>
      </w:r>
      <w:r>
        <w:rPr>
          <w:rFonts w:hint="eastAsia" w:ascii="宋体" w:hAnsi="宋体"/>
          <w:color w:val="000000"/>
          <w:szCs w:val="21"/>
          <w:lang w:eastAsia="zh-TW"/>
        </w:rPr>
        <w:t>的风险，有可能导致其</w:t>
      </w:r>
      <w:r>
        <w:rPr>
          <w:rFonts w:hint="eastAsia" w:ascii="宋体" w:hAnsi="宋体"/>
          <w:color w:val="000000"/>
          <w:szCs w:val="21"/>
        </w:rPr>
        <w:t>竞价</w:t>
      </w:r>
      <w:r>
        <w:rPr>
          <w:rFonts w:hint="eastAsia" w:ascii="宋体" w:hAnsi="宋体"/>
          <w:color w:val="000000"/>
          <w:szCs w:val="21"/>
          <w:lang w:eastAsia="zh-TW"/>
        </w:rPr>
        <w:t>被拒绝，</w:t>
      </w:r>
      <w:r>
        <w:rPr>
          <w:rFonts w:hint="eastAsia" w:ascii="宋体" w:hAnsi="宋体"/>
          <w:color w:val="000000"/>
          <w:szCs w:val="21"/>
        </w:rPr>
        <w:t>或被认定为无效竞价。</w:t>
      </w:r>
    </w:p>
    <w:p w14:paraId="70392A9B">
      <w:pPr>
        <w:pStyle w:val="32"/>
        <w:numPr>
          <w:ilvl w:val="0"/>
          <w:numId w:val="4"/>
        </w:numPr>
        <w:spacing w:line="360" w:lineRule="auto"/>
        <w:ind w:left="840" w:hanging="420" w:firstLineChars="0"/>
        <w:rPr>
          <w:rFonts w:hint="eastAsia" w:ascii="宋体" w:hAnsi="宋体"/>
          <w:color w:val="000000"/>
        </w:rPr>
      </w:pPr>
      <w:r>
        <w:rPr>
          <w:rFonts w:hint="eastAsia" w:ascii="宋体" w:hAnsi="宋体"/>
          <w:color w:val="000000"/>
          <w:kern w:val="0"/>
          <w:szCs w:val="21"/>
        </w:rPr>
        <w:t>采购人有权拒绝接受任何不合格的货物或服务，由此产生的费用及相关后果均由成交供应商自行承担。</w:t>
      </w:r>
    </w:p>
    <w:p w14:paraId="5DFBAA5D">
      <w:pPr>
        <w:pStyle w:val="32"/>
        <w:numPr>
          <w:ilvl w:val="0"/>
          <w:numId w:val="4"/>
        </w:numPr>
        <w:spacing w:line="360" w:lineRule="auto"/>
        <w:ind w:left="840" w:hanging="420" w:firstLineChars="0"/>
        <w:rPr>
          <w:rFonts w:hint="eastAsia" w:ascii="宋体" w:hAnsi="宋体"/>
          <w:color w:val="000000"/>
        </w:rPr>
      </w:pPr>
      <w:r>
        <w:rPr>
          <w:rFonts w:hint="eastAsia" w:ascii="宋体" w:hAnsi="宋体"/>
          <w:color w:val="000000"/>
        </w:rPr>
        <w:t>供应商认为竞价结果损害其权益的，应按照云采链平台相关指引在规定的时间内向采购人或代理机构提交书面质疑，不提交的视为无异议，逾期提交将不予受理。</w:t>
      </w:r>
    </w:p>
    <w:p w14:paraId="55255225">
      <w:pPr>
        <w:pStyle w:val="32"/>
        <w:numPr>
          <w:ilvl w:val="0"/>
          <w:numId w:val="4"/>
        </w:numPr>
        <w:spacing w:line="360" w:lineRule="auto"/>
        <w:ind w:left="840" w:hanging="420" w:firstLineChars="0"/>
        <w:rPr>
          <w:rFonts w:hint="eastAsia" w:ascii="宋体" w:hAnsi="宋体"/>
          <w:color w:val="000000"/>
        </w:rPr>
      </w:pPr>
      <w:r>
        <w:rPr>
          <w:rFonts w:hint="eastAsia" w:ascii="宋体" w:hAnsi="宋体"/>
          <w:color w:val="000000"/>
          <w:szCs w:val="21"/>
        </w:rPr>
        <w:t>本竞价公告和竞价文件的解释权归</w:t>
      </w:r>
      <w:r>
        <w:rPr>
          <w:rFonts w:hint="eastAsia" w:ascii="宋体" w:hAnsi="宋体"/>
          <w:color w:val="000000"/>
          <w:szCs w:val="21"/>
          <w:lang w:eastAsia="zh-TW"/>
        </w:rPr>
        <w:t>“云采链</w:t>
      </w:r>
      <w:r>
        <w:rPr>
          <w:rFonts w:hint="eastAsia" w:ascii="宋体" w:hAnsi="宋体"/>
          <w:color w:val="000000"/>
        </w:rPr>
        <w:t>线上采购一体化平台</w:t>
      </w:r>
      <w:r>
        <w:rPr>
          <w:rFonts w:hint="eastAsia" w:ascii="宋体" w:hAnsi="宋体"/>
          <w:color w:val="000000"/>
          <w:szCs w:val="21"/>
          <w:lang w:eastAsia="zh-TW"/>
        </w:rPr>
        <w:t>”所有。</w:t>
      </w:r>
    </w:p>
    <w:p w14:paraId="53C21C45">
      <w:pPr>
        <w:pStyle w:val="32"/>
        <w:numPr>
          <w:ilvl w:val="0"/>
          <w:numId w:val="3"/>
        </w:numPr>
        <w:spacing w:line="360" w:lineRule="auto"/>
        <w:ind w:left="420" w:hanging="420" w:firstLineChars="0"/>
        <w:rPr>
          <w:rFonts w:hint="eastAsia" w:ascii="宋体" w:hAnsi="宋体"/>
          <w:color w:val="000000"/>
        </w:rPr>
      </w:pPr>
      <w:r>
        <w:rPr>
          <w:rFonts w:hint="eastAsia" w:ascii="宋体" w:hAnsi="宋体"/>
          <w:b/>
          <w:color w:val="000000"/>
        </w:rPr>
        <w:t>竞价文件的澄清或修改</w:t>
      </w:r>
    </w:p>
    <w:p w14:paraId="2D1282E2">
      <w:pPr>
        <w:pStyle w:val="32"/>
        <w:numPr>
          <w:ilvl w:val="0"/>
          <w:numId w:val="5"/>
        </w:numPr>
        <w:spacing w:line="360" w:lineRule="auto"/>
        <w:ind w:left="704" w:hanging="284" w:firstLineChars="0"/>
        <w:rPr>
          <w:rFonts w:hint="eastAsia" w:ascii="宋体" w:hAnsi="宋体"/>
          <w:color w:val="000000"/>
        </w:rPr>
      </w:pPr>
      <w:r>
        <w:rPr>
          <w:rFonts w:hint="eastAsia" w:ascii="宋体" w:hAnsi="宋体"/>
          <w:color w:val="000000"/>
        </w:rPr>
        <w:t>采购人或者采购代理机构可以对已发出的竞价文件进行必要的澄清或者修改。澄清或者修改的内容将在云采链平台上发布澄清（更正/变更）公告。</w:t>
      </w:r>
    </w:p>
    <w:p w14:paraId="4FD2F11B">
      <w:pPr>
        <w:pStyle w:val="32"/>
        <w:numPr>
          <w:ilvl w:val="0"/>
          <w:numId w:val="5"/>
        </w:numPr>
        <w:spacing w:line="360" w:lineRule="auto"/>
        <w:ind w:left="704" w:hanging="284" w:firstLineChars="0"/>
        <w:rPr>
          <w:rFonts w:hint="eastAsia" w:ascii="宋体" w:hAnsi="宋体"/>
          <w:color w:val="000000"/>
        </w:rPr>
      </w:pPr>
      <w:r>
        <w:rPr>
          <w:rFonts w:hint="eastAsia" w:ascii="宋体" w:hAnsi="宋体"/>
          <w:color w:val="000000"/>
        </w:rPr>
        <w:t>无论澄清或者修改的内容是否影响竞价，平台将以短信形式通知所有的报名供应商；报名供应商应按要求履行相应的义务；</w:t>
      </w:r>
      <w:r>
        <w:rPr>
          <w:rFonts w:hint="eastAsia" w:ascii="宋体" w:hAnsi="宋体"/>
          <w:color w:val="000000"/>
          <w:szCs w:val="21"/>
        </w:rPr>
        <w:t>如报名</w:t>
      </w:r>
      <w:r>
        <w:rPr>
          <w:rFonts w:hint="eastAsia" w:ascii="宋体" w:hAnsi="宋体"/>
          <w:color w:val="000000"/>
          <w:szCs w:val="21"/>
          <w:lang w:eastAsia="zh-TW"/>
        </w:rPr>
        <w:t>截止时间</w:t>
      </w:r>
      <w:r>
        <w:rPr>
          <w:rFonts w:hint="eastAsia" w:ascii="宋体" w:hAnsi="宋体"/>
          <w:color w:val="000000"/>
          <w:szCs w:val="21"/>
        </w:rPr>
        <w:t>少于一个工作日的，</w:t>
      </w:r>
      <w:r>
        <w:rPr>
          <w:rFonts w:hint="eastAsia" w:ascii="宋体" w:hAnsi="宋体"/>
          <w:color w:val="000000"/>
        </w:rPr>
        <w:t>采购人或者采购代理机构应当相应顺延报名的截止时间。</w:t>
      </w:r>
    </w:p>
    <w:p w14:paraId="7DA4D13C">
      <w:pPr>
        <w:pStyle w:val="32"/>
        <w:numPr>
          <w:ilvl w:val="0"/>
          <w:numId w:val="5"/>
        </w:numPr>
        <w:spacing w:line="360" w:lineRule="auto"/>
        <w:ind w:left="704" w:hanging="284" w:firstLineChars="0"/>
        <w:rPr>
          <w:rFonts w:hint="eastAsia" w:ascii="宋体" w:hAnsi="宋体"/>
          <w:color w:val="000000"/>
        </w:rPr>
      </w:pPr>
      <w:r>
        <w:rPr>
          <w:rFonts w:hint="eastAsia" w:ascii="宋体" w:hAnsi="宋体"/>
          <w:color w:val="000000"/>
        </w:rPr>
        <w:t>采购人或者采购代理机构发出的澄清或修改（更正/变更）的内容为竞价文件的组成部分，并对供应商具有约束力。</w:t>
      </w:r>
    </w:p>
    <w:p w14:paraId="45987641">
      <w:pPr>
        <w:pStyle w:val="32"/>
        <w:numPr>
          <w:ilvl w:val="0"/>
          <w:numId w:val="3"/>
        </w:numPr>
        <w:spacing w:line="360" w:lineRule="auto"/>
        <w:ind w:left="420" w:hanging="420" w:firstLineChars="0"/>
        <w:rPr>
          <w:rStyle w:val="27"/>
          <w:rFonts w:hint="eastAsia" w:ascii="宋体" w:hAnsi="宋体"/>
          <w:bCs w:val="0"/>
        </w:rPr>
      </w:pPr>
      <w:r>
        <w:rPr>
          <w:rStyle w:val="27"/>
          <w:rFonts w:hint="eastAsia" w:ascii="宋体" w:hAnsi="宋体"/>
          <w:bCs w:val="0"/>
        </w:rPr>
        <w:t>报名要求</w:t>
      </w:r>
      <w:r>
        <w:rPr>
          <w:rStyle w:val="27"/>
          <w:rFonts w:hint="eastAsia" w:ascii="宋体" w:hAnsi="宋体"/>
          <w:b w:val="0"/>
        </w:rPr>
        <w:t>（参与竞价的供应商资质要求: 报名时需要提供以下</w:t>
      </w:r>
      <w:r>
        <w:rPr>
          <w:rStyle w:val="27"/>
          <w:rFonts w:hint="eastAsia" w:ascii="宋体" w:hAnsi="宋体"/>
          <w:bCs w:val="0"/>
          <w:u w:val="single"/>
        </w:rPr>
        <w:t>盖章</w:t>
      </w:r>
      <w:r>
        <w:rPr>
          <w:rStyle w:val="27"/>
          <w:rFonts w:hint="eastAsia" w:ascii="宋体" w:hAnsi="宋体"/>
          <w:b w:val="0"/>
        </w:rPr>
        <w:t>资料，并对上传的报名文件资料承担责任）</w:t>
      </w:r>
    </w:p>
    <w:p w14:paraId="5A15E513">
      <w:pPr>
        <w:pStyle w:val="32"/>
        <w:widowControl/>
        <w:numPr>
          <w:ilvl w:val="0"/>
          <w:numId w:val="6"/>
        </w:numPr>
        <w:spacing w:line="360" w:lineRule="auto"/>
        <w:ind w:left="760" w:hanging="312" w:firstLineChars="0"/>
        <w:jc w:val="left"/>
        <w:rPr>
          <w:rFonts w:hint="eastAsia" w:ascii="宋体" w:hAnsi="宋体"/>
          <w:color w:val="000000"/>
          <w:kern w:val="0"/>
          <w:szCs w:val="20"/>
        </w:rPr>
      </w:pPr>
      <w:r>
        <w:rPr>
          <w:rFonts w:hint="eastAsia" w:ascii="宋体" w:hAnsi="宋体"/>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D213100">
      <w:pPr>
        <w:pStyle w:val="32"/>
        <w:widowControl/>
        <w:numPr>
          <w:ilvl w:val="0"/>
          <w:numId w:val="6"/>
        </w:numPr>
        <w:spacing w:line="360" w:lineRule="auto"/>
        <w:ind w:left="840" w:hanging="312" w:firstLineChars="0"/>
        <w:jc w:val="left"/>
        <w:rPr>
          <w:rFonts w:hint="eastAsia" w:ascii="宋体" w:hAnsi="宋体"/>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hint="eastAsia" w:ascii="宋体" w:hAnsi="宋体"/>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履行合同所必需的设备和专业技术能力；参加采购活动前3年内在经营活动中没有重大违法记录的书面声明；具备法律、行政法规规定的其他条件</w:t>
      </w:r>
      <w:r>
        <w:rPr>
          <w:rFonts w:hint="eastAsia" w:ascii="宋体" w:hAnsi="宋体"/>
          <w:color w:val="000000"/>
          <w:kern w:val="0"/>
          <w:szCs w:val="20"/>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3036EBDB">
      <w:pPr>
        <w:pStyle w:val="32"/>
        <w:widowControl/>
        <w:numPr>
          <w:ilvl w:val="0"/>
          <w:numId w:val="6"/>
        </w:numPr>
        <w:spacing w:line="360" w:lineRule="auto"/>
        <w:ind w:left="840" w:hanging="312" w:firstLineChars="0"/>
        <w:jc w:val="left"/>
        <w:rPr>
          <w:rFonts w:hint="eastAsia" w:ascii="宋体" w:hAnsi="宋体"/>
          <w:color w:val="000000"/>
          <w:kern w:val="0"/>
          <w:szCs w:val="20"/>
        </w:rPr>
      </w:pPr>
      <w:r>
        <w:rPr>
          <w:rFonts w:hint="eastAsia" w:ascii="宋体" w:hAnsi="宋体"/>
          <w:color w:val="000000"/>
          <w:kern w:val="0"/>
          <w:szCs w:val="21"/>
        </w:rPr>
        <w:t>供应商完全响应本项目</w:t>
      </w:r>
      <w:r>
        <w:rPr>
          <w:rFonts w:hint="eastAsia" w:ascii="宋体" w:hAnsi="宋体"/>
          <w:color w:val="000000"/>
        </w:rPr>
        <w:t>采购</w:t>
      </w:r>
      <w:r>
        <w:rPr>
          <w:rFonts w:hint="eastAsia" w:ascii="宋体" w:hAnsi="宋体"/>
          <w:color w:val="000000"/>
          <w:kern w:val="0"/>
          <w:szCs w:val="21"/>
        </w:rPr>
        <w:t>需求的条款、内容及要求的，提供</w:t>
      </w:r>
      <w:r>
        <w:rPr>
          <w:rFonts w:hint="eastAsia" w:ascii="宋体" w:hAnsi="宋体"/>
          <w:color w:val="000000"/>
        </w:rPr>
        <w:t>采购</w:t>
      </w:r>
      <w:r>
        <w:rPr>
          <w:rFonts w:hint="eastAsia" w:ascii="宋体" w:hAnsi="宋体"/>
          <w:color w:val="000000"/>
          <w:kern w:val="0"/>
          <w:szCs w:val="21"/>
        </w:rPr>
        <w:t>需求书响应声明函，格式详见附件；</w:t>
      </w:r>
    </w:p>
    <w:p w14:paraId="37432786">
      <w:pPr>
        <w:pStyle w:val="32"/>
        <w:numPr>
          <w:ilvl w:val="0"/>
          <w:numId w:val="3"/>
        </w:numPr>
        <w:spacing w:line="360" w:lineRule="auto"/>
        <w:ind w:left="420" w:hanging="420" w:firstLineChars="0"/>
        <w:rPr>
          <w:rStyle w:val="27"/>
          <w:rFonts w:hint="eastAsia" w:ascii="宋体" w:hAnsi="宋体"/>
          <w:bCs w:val="0"/>
          <w:color w:val="000000"/>
        </w:rPr>
      </w:pPr>
      <w:r>
        <w:rPr>
          <w:rStyle w:val="27"/>
          <w:rFonts w:hint="eastAsia" w:ascii="宋体" w:hAnsi="宋体"/>
          <w:bCs w:val="0"/>
          <w:color w:val="000000"/>
        </w:rPr>
        <w:t>报价要求</w:t>
      </w:r>
      <w:r>
        <w:rPr>
          <w:rStyle w:val="27"/>
          <w:rFonts w:hint="eastAsia" w:ascii="宋体" w:hAnsi="宋体"/>
          <w:color w:val="000000"/>
          <w:szCs w:val="21"/>
        </w:rPr>
        <w:t>（</w:t>
      </w:r>
      <w:r>
        <w:rPr>
          <w:rStyle w:val="27"/>
          <w:rFonts w:hint="eastAsia" w:ascii="宋体" w:hAnsi="宋体"/>
          <w:b w:val="0"/>
          <w:color w:val="000000"/>
          <w:szCs w:val="21"/>
        </w:rPr>
        <w:t>报价时需要提供以下</w:t>
      </w:r>
      <w:r>
        <w:rPr>
          <w:rStyle w:val="27"/>
          <w:rFonts w:hint="eastAsia" w:ascii="宋体" w:hAnsi="宋体"/>
          <w:color w:val="000000"/>
          <w:szCs w:val="21"/>
          <w:u w:val="double"/>
        </w:rPr>
        <w:t>盖章</w:t>
      </w:r>
      <w:r>
        <w:rPr>
          <w:rStyle w:val="27"/>
          <w:rFonts w:hint="eastAsia" w:ascii="宋体" w:hAnsi="宋体"/>
          <w:b w:val="0"/>
          <w:color w:val="000000"/>
          <w:szCs w:val="21"/>
        </w:rPr>
        <w:t>资料，</w:t>
      </w:r>
      <w:r>
        <w:rPr>
          <w:rFonts w:hint="eastAsia" w:ascii="宋体" w:hAnsi="宋体"/>
          <w:color w:val="000000"/>
          <w:szCs w:val="21"/>
        </w:rPr>
        <w:t>并对上传的竞价文件资料承担责任</w:t>
      </w:r>
      <w:r>
        <w:rPr>
          <w:rStyle w:val="27"/>
          <w:rFonts w:hint="eastAsia" w:ascii="宋体" w:hAnsi="宋体"/>
          <w:color w:val="000000"/>
          <w:szCs w:val="21"/>
        </w:rPr>
        <w:t>）</w:t>
      </w:r>
    </w:p>
    <w:p w14:paraId="46DDD6C0">
      <w:pPr>
        <w:pStyle w:val="32"/>
        <w:numPr>
          <w:ilvl w:val="0"/>
          <w:numId w:val="7"/>
        </w:numPr>
        <w:spacing w:line="360" w:lineRule="auto"/>
        <w:ind w:left="732" w:hanging="312" w:firstLineChars="0"/>
        <w:rPr>
          <w:rFonts w:hint="eastAsia" w:ascii="宋体" w:hAnsi="宋体"/>
          <w:szCs w:val="21"/>
        </w:rPr>
      </w:pPr>
      <w:r>
        <w:rPr>
          <w:rFonts w:hint="eastAsia" w:ascii="宋体" w:hAnsi="宋体"/>
          <w:color w:val="000000"/>
          <w:szCs w:val="21"/>
        </w:rPr>
        <w:t>通过报名供应商应根据本公告要求，在规定的竞价时间内对采购项目进行报价，同时按本公告要求完整</w:t>
      </w:r>
      <w:r>
        <w:rPr>
          <w:rFonts w:hint="eastAsia" w:ascii="宋体" w:hAnsi="宋体"/>
          <w:color w:val="000000"/>
          <w:szCs w:val="21"/>
          <w:lang w:eastAsia="zh-TW"/>
        </w:rPr>
        <w:t>、真实、准确地</w:t>
      </w:r>
      <w:r>
        <w:rPr>
          <w:rFonts w:hint="eastAsia" w:ascii="宋体" w:hAnsi="宋体"/>
          <w:color w:val="000000"/>
          <w:szCs w:val="21"/>
        </w:rPr>
        <w:t>填写并上传相应报价附件</w:t>
      </w:r>
      <w:r>
        <w:rPr>
          <w:rFonts w:hint="eastAsia" w:ascii="宋体" w:hAnsi="宋体"/>
          <w:b/>
          <w:bCs/>
          <w:color w:val="000000"/>
          <w:szCs w:val="21"/>
        </w:rPr>
        <w:t>（</w:t>
      </w:r>
      <w:r>
        <w:rPr>
          <w:rFonts w:hint="eastAsia" w:ascii="宋体" w:hAnsi="宋体"/>
          <w:b/>
          <w:szCs w:val="21"/>
        </w:rPr>
        <w:t>上传</w:t>
      </w:r>
      <w:r>
        <w:rPr>
          <w:rFonts w:hint="eastAsia" w:ascii="宋体" w:hAnsi="宋体"/>
          <w:b/>
          <w:bCs/>
          <w:szCs w:val="21"/>
          <w:shd w:val="clear" w:color="auto" w:fill="FFFFFF"/>
        </w:rPr>
        <w:t>报价表）。</w:t>
      </w:r>
    </w:p>
    <w:p w14:paraId="3F46AD5A">
      <w:pPr>
        <w:pStyle w:val="32"/>
        <w:numPr>
          <w:ilvl w:val="0"/>
          <w:numId w:val="7"/>
        </w:numPr>
        <w:spacing w:line="360" w:lineRule="auto"/>
        <w:ind w:left="732" w:hanging="312" w:firstLineChars="0"/>
        <w:rPr>
          <w:rFonts w:hint="eastAsia" w:ascii="宋体" w:hAnsi="宋体"/>
          <w:color w:val="000000"/>
        </w:rPr>
      </w:pPr>
      <w:r>
        <w:rPr>
          <w:rFonts w:hint="eastAsia" w:ascii="宋体" w:hAnsi="宋体"/>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0C3F7081">
      <w:pPr>
        <w:pStyle w:val="32"/>
        <w:numPr>
          <w:ilvl w:val="0"/>
          <w:numId w:val="3"/>
        </w:numPr>
        <w:spacing w:line="360" w:lineRule="auto"/>
        <w:ind w:left="420" w:hanging="420" w:firstLineChars="0"/>
        <w:rPr>
          <w:rStyle w:val="27"/>
          <w:rFonts w:hint="eastAsia" w:ascii="宋体" w:hAnsi="宋体"/>
          <w:bCs w:val="0"/>
          <w:color w:val="000000"/>
        </w:rPr>
      </w:pPr>
      <w:r>
        <w:rPr>
          <w:rStyle w:val="27"/>
          <w:rFonts w:hint="eastAsia" w:ascii="宋体" w:hAnsi="宋体"/>
          <w:bCs w:val="0"/>
          <w:color w:val="000000"/>
        </w:rPr>
        <w:t>确定成交候选人</w:t>
      </w:r>
    </w:p>
    <w:p w14:paraId="764FA444">
      <w:pPr>
        <w:pStyle w:val="32"/>
        <w:numPr>
          <w:ilvl w:val="0"/>
          <w:numId w:val="8"/>
        </w:numPr>
        <w:spacing w:line="360" w:lineRule="auto"/>
        <w:ind w:left="732" w:hanging="312" w:firstLineChars="0"/>
        <w:rPr>
          <w:rFonts w:hint="eastAsia" w:ascii="宋体" w:hAnsi="宋体"/>
          <w:bCs/>
          <w:color w:val="000000"/>
        </w:rPr>
      </w:pPr>
      <w:r>
        <w:rPr>
          <w:rFonts w:hint="eastAsia" w:ascii="宋体" w:hAnsi="宋体"/>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7A2B0001">
      <w:pPr>
        <w:pStyle w:val="32"/>
        <w:numPr>
          <w:ilvl w:val="0"/>
          <w:numId w:val="3"/>
        </w:numPr>
        <w:spacing w:line="360" w:lineRule="auto"/>
        <w:ind w:left="420" w:hanging="420" w:firstLineChars="0"/>
        <w:rPr>
          <w:rFonts w:hint="eastAsia" w:ascii="宋体" w:hAnsi="宋体"/>
          <w:b/>
          <w:color w:val="000000"/>
          <w:szCs w:val="21"/>
        </w:rPr>
      </w:pPr>
      <w:r>
        <w:rPr>
          <w:rFonts w:hint="eastAsia" w:ascii="宋体" w:hAnsi="宋体"/>
          <w:b/>
          <w:color w:val="000000"/>
          <w:szCs w:val="21"/>
        </w:rPr>
        <w:t>无效报价</w:t>
      </w:r>
    </w:p>
    <w:p w14:paraId="62C8D410">
      <w:pPr>
        <w:pStyle w:val="32"/>
        <w:numPr>
          <w:ilvl w:val="0"/>
          <w:numId w:val="9"/>
        </w:numPr>
        <w:spacing w:line="360" w:lineRule="auto"/>
        <w:ind w:left="732" w:hanging="312" w:firstLineChars="0"/>
        <w:rPr>
          <w:rFonts w:hint="eastAsia" w:ascii="宋体" w:hAnsi="宋体"/>
          <w:color w:val="000000"/>
          <w:szCs w:val="21"/>
        </w:rPr>
      </w:pPr>
      <w:r>
        <w:rPr>
          <w:rFonts w:hint="eastAsia" w:ascii="宋体" w:hAnsi="宋体"/>
          <w:color w:val="000000"/>
          <w:szCs w:val="21"/>
        </w:rPr>
        <w:t>参与竞价的供应商报价超过最高限价或低于最低限价或超过项目对应产品单项最高限价的视为无效报价。</w:t>
      </w:r>
    </w:p>
    <w:p w14:paraId="5044E961">
      <w:pPr>
        <w:pStyle w:val="32"/>
        <w:numPr>
          <w:ilvl w:val="0"/>
          <w:numId w:val="9"/>
        </w:numPr>
        <w:spacing w:line="360" w:lineRule="auto"/>
        <w:ind w:left="732" w:hanging="312" w:firstLineChars="0"/>
        <w:rPr>
          <w:rFonts w:hint="eastAsia"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供应商须提供本项目要求的资质文件，如果不按公告规定或竞价文件要求等相关规定提供符合要求的资质文件，将被视为无效报价。</w:t>
      </w:r>
    </w:p>
    <w:p w14:paraId="05942691">
      <w:pPr>
        <w:pStyle w:val="32"/>
        <w:numPr>
          <w:ilvl w:val="0"/>
          <w:numId w:val="9"/>
        </w:numPr>
        <w:spacing w:line="360" w:lineRule="auto"/>
        <w:ind w:left="732" w:hanging="312" w:firstLineChars="0"/>
        <w:rPr>
          <w:rFonts w:hint="eastAsia" w:ascii="宋体" w:hAnsi="宋体"/>
          <w:color w:val="000000"/>
          <w:szCs w:val="21"/>
        </w:rPr>
      </w:pPr>
      <w:r>
        <w:rPr>
          <w:rFonts w:hint="eastAsia" w:ascii="宋体" w:hAnsi="宋体"/>
          <w:color w:val="000000"/>
          <w:szCs w:val="21"/>
        </w:rPr>
        <w:t>参与竞价的</w:t>
      </w:r>
      <w:r>
        <w:rPr>
          <w:rFonts w:hint="eastAsia" w:ascii="宋体" w:hAnsi="宋体"/>
          <w:bCs/>
          <w:color w:val="000000"/>
          <w:szCs w:val="21"/>
        </w:rPr>
        <w:t>供应商须对本项目采购内容进行整体报价，任何只对其中一部分内容进行的报价都被视为无效报价。</w:t>
      </w:r>
    </w:p>
    <w:p w14:paraId="3A644A1B">
      <w:pPr>
        <w:pStyle w:val="32"/>
        <w:numPr>
          <w:ilvl w:val="0"/>
          <w:numId w:val="9"/>
        </w:numPr>
        <w:spacing w:line="360" w:lineRule="auto"/>
        <w:ind w:left="732" w:hanging="312" w:firstLineChars="0"/>
        <w:rPr>
          <w:rFonts w:hint="eastAsia" w:ascii="宋体" w:hAnsi="宋体"/>
          <w:color w:val="000000"/>
          <w:szCs w:val="21"/>
        </w:rPr>
      </w:pPr>
      <w:r>
        <w:rPr>
          <w:rFonts w:hint="eastAsia" w:ascii="宋体" w:hAnsi="宋体"/>
          <w:color w:val="000000"/>
          <w:u w:val="double"/>
        </w:rPr>
        <w:t>报价表以及有报价供应商落款的报价文件必须加盖报价供应商公章，否则视为无效报价。</w:t>
      </w:r>
    </w:p>
    <w:p w14:paraId="5FDD4530">
      <w:pPr>
        <w:pStyle w:val="19"/>
        <w:numPr>
          <w:ilvl w:val="0"/>
          <w:numId w:val="9"/>
        </w:numPr>
        <w:shd w:val="clear" w:color="auto" w:fill="FFFFFF"/>
        <w:spacing w:before="0" w:beforeAutospacing="0" w:after="0" w:afterAutospacing="0" w:line="360" w:lineRule="auto"/>
        <w:ind w:left="732" w:hanging="312"/>
        <w:rPr>
          <w:rFonts w:hint="eastAsia"/>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E60BF0D">
      <w:pPr>
        <w:pStyle w:val="19"/>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7412D158">
      <w:pPr>
        <w:pStyle w:val="19"/>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5883EBAE">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存在单位负责人为同一人或存在控股、管理关系的不同单位参与同一竞价项目；</w:t>
      </w:r>
    </w:p>
    <w:p w14:paraId="5ADC404C">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不同供应商的响应文件由同一单位或者个人编制；</w:t>
      </w:r>
    </w:p>
    <w:p w14:paraId="230B6B49">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不同供应商委托同一单位或者个人办理竞价事宜；</w:t>
      </w:r>
    </w:p>
    <w:p w14:paraId="55466B83">
      <w:pPr>
        <w:pStyle w:val="32"/>
        <w:widowControl/>
        <w:numPr>
          <w:ilvl w:val="0"/>
          <w:numId w:val="10"/>
        </w:numPr>
        <w:spacing w:line="360" w:lineRule="auto"/>
        <w:ind w:left="1418" w:hanging="567" w:firstLineChars="0"/>
        <w:jc w:val="left"/>
        <w:rPr>
          <w:rFonts w:hint="eastAsia" w:ascii="宋体" w:hAnsi="宋体"/>
          <w:b/>
          <w:bCs/>
          <w:color w:val="000000"/>
          <w:szCs w:val="21"/>
          <w:u w:val="double"/>
        </w:rPr>
      </w:pPr>
      <w:r>
        <w:rPr>
          <w:rFonts w:hint="eastAsia" w:ascii="宋体" w:hAnsi="宋体"/>
          <w:b/>
          <w:bCs/>
          <w:color w:val="000000"/>
          <w:szCs w:val="21"/>
          <w:u w:val="double"/>
        </w:rPr>
        <w:t>不同供应商使用同一IP地址参与竞价；</w:t>
      </w:r>
    </w:p>
    <w:p w14:paraId="129EB760">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不同供应商的响应文件载明的项目管理成员或者联系人员为同一人；</w:t>
      </w:r>
    </w:p>
    <w:p w14:paraId="43F599C1">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不同供应商的响应文件异常一致(格式相同，字体一样，表格颜色相同等)或者报价呈规律性差异；</w:t>
      </w:r>
    </w:p>
    <w:p w14:paraId="3FDFDAE5">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不同供应商的响应文件相互混淆；</w:t>
      </w:r>
    </w:p>
    <w:p w14:paraId="1423D666">
      <w:pPr>
        <w:pStyle w:val="32"/>
        <w:widowControl/>
        <w:numPr>
          <w:ilvl w:val="0"/>
          <w:numId w:val="10"/>
        </w:numPr>
        <w:spacing w:line="360" w:lineRule="auto"/>
        <w:ind w:left="1418" w:hanging="567" w:firstLineChars="0"/>
        <w:jc w:val="left"/>
        <w:rPr>
          <w:rFonts w:hint="eastAsia" w:ascii="宋体" w:hAnsi="宋体"/>
          <w:color w:val="000000"/>
          <w:szCs w:val="21"/>
        </w:rPr>
      </w:pPr>
      <w:r>
        <w:rPr>
          <w:rFonts w:hint="eastAsia" w:ascii="宋体" w:hAnsi="宋体"/>
          <w:color w:val="000000"/>
          <w:szCs w:val="21"/>
        </w:rPr>
        <w:t>不同供应商的平台保障金从同一单位或者个人的账户转出（如有）。</w:t>
      </w:r>
    </w:p>
    <w:p w14:paraId="0C2C4556">
      <w:pPr>
        <w:pStyle w:val="32"/>
        <w:numPr>
          <w:ilvl w:val="0"/>
          <w:numId w:val="3"/>
        </w:numPr>
        <w:spacing w:line="360" w:lineRule="auto"/>
        <w:ind w:left="420" w:hanging="420" w:firstLineChars="0"/>
        <w:rPr>
          <w:rFonts w:hint="eastAsia" w:ascii="宋体" w:hAnsi="宋体"/>
          <w:color w:val="000000"/>
          <w:szCs w:val="21"/>
        </w:rPr>
      </w:pPr>
      <w:r>
        <w:rPr>
          <w:rFonts w:hint="eastAsia" w:ascii="宋体" w:hAnsi="宋体"/>
          <w:b/>
          <w:color w:val="000000"/>
          <w:szCs w:val="21"/>
        </w:rPr>
        <w:t>竞价活动失败</w:t>
      </w:r>
    </w:p>
    <w:p w14:paraId="57FF93A1">
      <w:pPr>
        <w:pStyle w:val="32"/>
        <w:numPr>
          <w:ilvl w:val="0"/>
          <w:numId w:val="11"/>
        </w:numPr>
        <w:spacing w:line="360" w:lineRule="auto"/>
        <w:ind w:left="846" w:leftChars="200" w:hanging="420" w:firstLineChars="0"/>
        <w:rPr>
          <w:rFonts w:hint="eastAsia" w:ascii="宋体" w:hAnsi="宋体"/>
          <w:color w:val="000000"/>
        </w:rPr>
      </w:pPr>
      <w:r>
        <w:rPr>
          <w:rFonts w:hint="eastAsia" w:ascii="宋体" w:hAnsi="宋体"/>
          <w:color w:val="000000"/>
          <w:szCs w:val="21"/>
        </w:rPr>
        <w:t>出现下列情况的，本项目竞价活动失败：</w:t>
      </w:r>
    </w:p>
    <w:p w14:paraId="33F7AF66">
      <w:pPr>
        <w:pStyle w:val="32"/>
        <w:numPr>
          <w:ilvl w:val="0"/>
          <w:numId w:val="12"/>
        </w:numPr>
        <w:spacing w:line="360" w:lineRule="auto"/>
        <w:ind w:left="1278" w:leftChars="600" w:firstLineChars="0"/>
        <w:rPr>
          <w:rFonts w:hint="eastAsia" w:ascii="宋体" w:hAnsi="宋体"/>
          <w:color w:val="000000"/>
        </w:rPr>
      </w:pPr>
      <w:r>
        <w:rPr>
          <w:rFonts w:hint="eastAsia" w:ascii="宋体" w:hAnsi="宋体"/>
          <w:color w:val="000000"/>
        </w:rPr>
        <w:t>有效报名供应商不足3家；</w:t>
      </w:r>
    </w:p>
    <w:p w14:paraId="29FEB1D5">
      <w:pPr>
        <w:pStyle w:val="32"/>
        <w:numPr>
          <w:ilvl w:val="0"/>
          <w:numId w:val="12"/>
        </w:numPr>
        <w:spacing w:line="360" w:lineRule="auto"/>
        <w:ind w:left="1278" w:leftChars="600" w:firstLineChars="0"/>
        <w:rPr>
          <w:rFonts w:hint="eastAsia" w:ascii="宋体" w:hAnsi="宋体"/>
          <w:color w:val="000000"/>
          <w:szCs w:val="21"/>
        </w:rPr>
      </w:pPr>
      <w:r>
        <w:rPr>
          <w:rFonts w:hint="eastAsia" w:ascii="宋体" w:hAnsi="宋体"/>
          <w:color w:val="000000"/>
        </w:rPr>
        <w:t>有效报价供应商不足3家。</w:t>
      </w:r>
    </w:p>
    <w:p w14:paraId="1E52E9C4">
      <w:pPr>
        <w:pStyle w:val="32"/>
        <w:spacing w:line="360" w:lineRule="auto"/>
        <w:ind w:left="846" w:leftChars="200" w:hanging="420" w:firstLineChars="0"/>
        <w:rPr>
          <w:rFonts w:hint="eastAsia" w:ascii="宋体" w:hAnsi="宋体"/>
          <w:szCs w:val="21"/>
        </w:rPr>
      </w:pPr>
      <w:r>
        <w:rPr>
          <w:rFonts w:hint="eastAsia" w:ascii="宋体" w:hAnsi="宋体"/>
          <w:szCs w:val="21"/>
        </w:rPr>
        <w:t>2.出现影响采购公正的违法、违规行为的。</w:t>
      </w:r>
    </w:p>
    <w:p w14:paraId="63AE2C6F">
      <w:pPr>
        <w:pStyle w:val="32"/>
        <w:spacing w:line="360" w:lineRule="auto"/>
        <w:ind w:left="846" w:leftChars="200" w:hanging="420" w:firstLineChars="0"/>
        <w:rPr>
          <w:rFonts w:hint="eastAsia" w:ascii="宋体" w:hAnsi="宋体"/>
          <w:szCs w:val="21"/>
        </w:rPr>
      </w:pPr>
      <w:r>
        <w:rPr>
          <w:rFonts w:hint="eastAsia" w:ascii="宋体" w:hAnsi="宋体"/>
          <w:szCs w:val="21"/>
        </w:rPr>
        <w:t>3.因重大变故，采购任务取消的。</w:t>
      </w:r>
    </w:p>
    <w:p w14:paraId="4EF60C89">
      <w:pPr>
        <w:pStyle w:val="32"/>
        <w:numPr>
          <w:ilvl w:val="0"/>
          <w:numId w:val="3"/>
        </w:numPr>
        <w:spacing w:line="360" w:lineRule="auto"/>
        <w:ind w:left="420" w:hanging="420" w:firstLineChars="0"/>
        <w:rPr>
          <w:rFonts w:hint="eastAsia" w:ascii="宋体" w:hAnsi="宋体"/>
          <w:b/>
          <w:szCs w:val="21"/>
        </w:rPr>
      </w:pPr>
      <w:r>
        <w:rPr>
          <w:rFonts w:hint="eastAsia" w:ascii="宋体" w:hAnsi="宋体"/>
          <w:b/>
          <w:szCs w:val="21"/>
        </w:rPr>
        <w:t>使用费</w:t>
      </w:r>
    </w:p>
    <w:p w14:paraId="44F928FB">
      <w:pPr>
        <w:pStyle w:val="32"/>
        <w:spacing w:line="360" w:lineRule="auto"/>
        <w:ind w:left="653" w:leftChars="200" w:hanging="227" w:firstLineChars="0"/>
        <w:rPr>
          <w:rFonts w:hint="eastAsia" w:ascii="宋体" w:hAnsi="宋体"/>
          <w:szCs w:val="21"/>
        </w:rPr>
      </w:pPr>
      <w:r>
        <w:rPr>
          <w:rFonts w:hint="eastAsia" w:ascii="宋体" w:hAnsi="宋体"/>
          <w:szCs w:val="21"/>
        </w:rPr>
        <w:t>1.成交供应商须向平台服务商云采链线上采购一体化平台缴纳平台使用费，金额为</w:t>
      </w:r>
      <w:r>
        <w:rPr>
          <w:rFonts w:hint="eastAsia" w:ascii="宋体" w:hAnsi="宋体"/>
          <w:szCs w:val="21"/>
          <w:lang w:val="en-US" w:eastAsia="zh-CN"/>
        </w:rPr>
        <w:t>成交</w:t>
      </w:r>
      <w:r>
        <w:rPr>
          <w:rFonts w:hint="eastAsia" w:ascii="宋体" w:hAnsi="宋体"/>
          <w:szCs w:val="21"/>
        </w:rPr>
        <w:t>金额的1.2%（四舍五入取整数）。</w:t>
      </w:r>
    </w:p>
    <w:p w14:paraId="6D6EDEC6">
      <w:pPr>
        <w:pStyle w:val="32"/>
        <w:spacing w:line="360" w:lineRule="auto"/>
        <w:ind w:left="653" w:leftChars="200" w:hanging="227" w:firstLineChars="0"/>
        <w:rPr>
          <w:rFonts w:hint="eastAsia" w:ascii="宋体" w:hAnsi="宋体"/>
          <w:szCs w:val="21"/>
        </w:rPr>
      </w:pPr>
      <w:r>
        <w:rPr>
          <w:rFonts w:hint="eastAsia" w:ascii="宋体" w:hAnsi="宋体"/>
          <w:szCs w:val="21"/>
        </w:rPr>
        <w:t>2.成交供应商无正当理由放弃成交资格的必须按竞价公告等相关规定缴纳相应的平台使用费。</w:t>
      </w:r>
    </w:p>
    <w:p w14:paraId="5BACF4A8">
      <w:pPr>
        <w:pStyle w:val="32"/>
        <w:spacing w:line="360" w:lineRule="auto"/>
        <w:ind w:left="653" w:leftChars="200" w:hanging="227" w:firstLineChars="0"/>
        <w:rPr>
          <w:rFonts w:hint="eastAsia" w:ascii="宋体" w:hAnsi="宋体"/>
          <w:szCs w:val="21"/>
        </w:rPr>
      </w:pPr>
      <w:r>
        <w:rPr>
          <w:rFonts w:hint="eastAsia" w:ascii="宋体" w:hAnsi="宋体"/>
          <w:szCs w:val="21"/>
        </w:rPr>
        <w:t>3.如确实因不可抗力放弃成交资格的，应在不可抗力发生后三个工作日内予以通知采购代理机构并提供相关的证明；如逾期，采购代理机构不予退还平台使用费。</w:t>
      </w:r>
    </w:p>
    <w:p w14:paraId="0445EAD0">
      <w:pPr>
        <w:pStyle w:val="32"/>
        <w:numPr>
          <w:ilvl w:val="0"/>
          <w:numId w:val="2"/>
        </w:numPr>
        <w:spacing w:line="360" w:lineRule="auto"/>
        <w:ind w:firstLineChars="0"/>
        <w:rPr>
          <w:rFonts w:hint="eastAsia" w:ascii="宋体" w:hAnsi="宋体"/>
          <w:b/>
          <w:color w:val="000000"/>
        </w:rPr>
      </w:pPr>
      <w:r>
        <w:rPr>
          <w:rFonts w:hint="eastAsia" w:ascii="宋体" w:hAnsi="宋体"/>
          <w:b/>
          <w:color w:val="000000"/>
        </w:rPr>
        <w:t>联系方式</w:t>
      </w:r>
    </w:p>
    <w:p w14:paraId="7DFB5283">
      <w:pPr>
        <w:pStyle w:val="32"/>
        <w:spacing w:line="360" w:lineRule="auto"/>
        <w:ind w:left="420" w:firstLine="0" w:firstLineChars="0"/>
        <w:rPr>
          <w:rFonts w:hint="eastAsia" w:ascii="宋体" w:hAnsi="宋体"/>
          <w:b/>
          <w:color w:val="000000"/>
        </w:rPr>
      </w:pPr>
      <w:r>
        <w:rPr>
          <w:rFonts w:ascii="宋体" w:hAnsi="宋体"/>
        </w:rPr>
        <w:t>1、采购人联系人及联系</w:t>
      </w:r>
      <w:r>
        <w:rPr>
          <w:rFonts w:hint="eastAsia" w:ascii="宋体" w:hAnsi="宋体"/>
        </w:rPr>
        <w:t>方式</w:t>
      </w:r>
      <w:r>
        <w:rPr>
          <w:rFonts w:ascii="宋体" w:hAnsi="宋体"/>
        </w:rPr>
        <w:t>：</w:t>
      </w:r>
      <w:r>
        <w:rPr>
          <w:rFonts w:ascii="宋体" w:hAnsi="宋体"/>
        </w:rPr>
        <w:br w:type="textWrapping"/>
      </w:r>
      <w:r>
        <w:rPr>
          <w:rFonts w:ascii="宋体" w:hAnsi="宋体"/>
        </w:rPr>
        <w:t>广东省肇庆监狱</w:t>
      </w:r>
      <w:r>
        <w:t>业务咨询部门电话</w:t>
      </w:r>
      <w:r>
        <w:rPr>
          <w:rFonts w:ascii="宋体" w:hAnsi="宋体"/>
        </w:rPr>
        <w:t> 0758-3173863。</w:t>
      </w:r>
      <w:r>
        <w:rPr>
          <w:rFonts w:ascii="宋体" w:hAnsi="宋体"/>
        </w:rPr>
        <w:br w:type="textWrapping"/>
      </w:r>
      <w:r>
        <w:rPr>
          <w:rFonts w:ascii="宋体" w:hAnsi="宋体"/>
        </w:rPr>
        <w:t>2、</w:t>
      </w:r>
      <w:r>
        <w:t>纪检监督部门</w:t>
      </w:r>
      <w:r>
        <w:rPr>
          <w:rFonts w:ascii="宋体" w:hAnsi="宋体"/>
        </w:rPr>
        <w:t>：</w:t>
      </w:r>
      <w:r>
        <w:rPr>
          <w:rFonts w:ascii="宋体" w:hAnsi="宋体"/>
        </w:rPr>
        <w:br w:type="textWrapping"/>
      </w:r>
      <w:r>
        <w:rPr>
          <w:rFonts w:ascii="宋体" w:hAnsi="宋体"/>
        </w:rPr>
        <w:t>广东省肇庆监狱</w:t>
      </w:r>
      <w:r>
        <w:rPr>
          <w:rFonts w:hint="eastAsia" w:ascii="宋体" w:hAnsi="宋体"/>
        </w:rPr>
        <w:t xml:space="preserve">纪检监督部门电话 </w:t>
      </w:r>
      <w:r>
        <w:rPr>
          <w:rFonts w:ascii="宋体" w:hAnsi="宋体"/>
        </w:rPr>
        <w:t>0758—3173809。</w:t>
      </w:r>
    </w:p>
    <w:p w14:paraId="5060282D">
      <w:pPr>
        <w:pStyle w:val="32"/>
        <w:widowControl/>
        <w:spacing w:line="360" w:lineRule="auto"/>
        <w:ind w:left="420" w:firstLine="0" w:firstLineChars="0"/>
        <w:jc w:val="left"/>
        <w:rPr>
          <w:rFonts w:hint="eastAsia" w:ascii="宋体" w:hAnsi="宋体"/>
          <w:color w:val="000000"/>
        </w:rPr>
      </w:pPr>
      <w:r>
        <w:rPr>
          <w:rFonts w:hint="eastAsia" w:ascii="宋体" w:hAnsi="宋体"/>
          <w:color w:val="000000"/>
        </w:rPr>
        <w:t>3、扫码关注微信公众号“云采链互联服务平台”，即可在线咨询相关事项。</w:t>
      </w:r>
    </w:p>
    <w:p w14:paraId="4FE71193">
      <w:pPr>
        <w:pStyle w:val="32"/>
        <w:widowControl/>
        <w:spacing w:line="360" w:lineRule="auto"/>
        <w:ind w:left="420" w:firstLine="0" w:firstLineChars="0"/>
        <w:jc w:val="center"/>
        <w:rPr>
          <w:rFonts w:hint="eastAsia" w:ascii="宋体" w:hAnsi="宋体"/>
          <w:color w:val="000000"/>
        </w:rPr>
      </w:pPr>
      <w:r>
        <w:rPr>
          <w:rFonts w:hint="eastAsia" w:ascii="宋体" w:hAnsi="宋体"/>
          <w:color w:val="000000"/>
        </w:rPr>
        <w:drawing>
          <wp:inline distT="0" distB="0" distL="0" distR="0">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6" cstate="print"/>
                    <a:srcRect/>
                    <a:stretch>
                      <a:fillRect/>
                    </a:stretch>
                  </pic:blipFill>
                  <pic:spPr>
                    <a:xfrm>
                      <a:off x="0" y="0"/>
                      <a:ext cx="1390650" cy="1390650"/>
                    </a:xfrm>
                    <a:prstGeom prst="rect">
                      <a:avLst/>
                    </a:prstGeom>
                    <a:ln>
                      <a:noFill/>
                    </a:ln>
                  </pic:spPr>
                </pic:pic>
              </a:graphicData>
            </a:graphic>
          </wp:inline>
        </w:drawing>
      </w:r>
    </w:p>
    <w:p w14:paraId="148523B1">
      <w:pPr>
        <w:rPr>
          <w:rFonts w:hint="eastAsia" w:ascii="宋体" w:hAnsi="宋体"/>
          <w:color w:val="000000"/>
        </w:rPr>
      </w:pPr>
      <w:r>
        <w:rPr>
          <w:rFonts w:hint="eastAsia" w:ascii="宋体" w:hAnsi="宋体"/>
          <w:color w:val="000000"/>
        </w:rPr>
        <w:br w:type="page"/>
      </w:r>
    </w:p>
    <w:p w14:paraId="0D98DF13">
      <w:pPr>
        <w:snapToGrid w:val="0"/>
        <w:spacing w:line="360" w:lineRule="auto"/>
        <w:jc w:val="center"/>
        <w:outlineLvl w:val="0"/>
        <w:rPr>
          <w:rFonts w:hint="eastAsia" w:ascii="宋体" w:hAnsi="宋体"/>
          <w:color w:val="000000"/>
          <w:sz w:val="32"/>
          <w:szCs w:val="32"/>
        </w:rPr>
      </w:pPr>
      <w:r>
        <w:rPr>
          <w:rFonts w:hint="eastAsia" w:ascii="宋体" w:hAnsi="宋体"/>
          <w:b/>
          <w:bCs/>
          <w:color w:val="000000"/>
          <w:sz w:val="32"/>
          <w:szCs w:val="32"/>
        </w:rPr>
        <w:t>第二章 采购需求书</w:t>
      </w:r>
    </w:p>
    <w:p w14:paraId="6CA55A99">
      <w:pPr>
        <w:snapToGrid w:val="0"/>
        <w:spacing w:line="360" w:lineRule="auto"/>
        <w:rPr>
          <w:rFonts w:hint="eastAsia" w:ascii="宋体" w:hAnsi="宋体"/>
          <w:b/>
          <w:bCs/>
          <w:color w:val="000000"/>
          <w:szCs w:val="21"/>
        </w:rPr>
      </w:pPr>
      <w:r>
        <w:rPr>
          <w:rFonts w:hint="eastAsia" w:ascii="宋体" w:hAnsi="宋体"/>
          <w:b/>
          <w:bCs/>
          <w:color w:val="000000"/>
        </w:rPr>
        <w:t>说明：</w:t>
      </w:r>
    </w:p>
    <w:p w14:paraId="3D7029D6">
      <w:pPr>
        <w:tabs>
          <w:tab w:val="left" w:pos="420"/>
        </w:tabs>
        <w:snapToGrid w:val="0"/>
        <w:spacing w:line="360" w:lineRule="auto"/>
        <w:ind w:firstLine="426" w:firstLineChars="200"/>
        <w:rPr>
          <w:rFonts w:hint="eastAsia" w:ascii="宋体" w:hAnsi="宋体"/>
          <w:b/>
          <w:bCs/>
          <w:color w:val="000000"/>
          <w:szCs w:val="21"/>
        </w:rPr>
      </w:pPr>
      <w:r>
        <w:rPr>
          <w:rFonts w:hint="eastAsia" w:ascii="宋体" w:hAnsi="宋体"/>
          <w:b/>
          <w:bCs/>
          <w:color w:val="000000"/>
          <w:szCs w:val="21"/>
        </w:rPr>
        <w:t xml:space="preserve">1.响应供应商须对本项目进行整体响应，任何只对其中一部分进行的响应都被视为无效响应。 </w:t>
      </w:r>
    </w:p>
    <w:p w14:paraId="3A888BE9">
      <w:pPr>
        <w:pStyle w:val="19"/>
        <w:widowControl w:val="0"/>
        <w:numPr>
          <w:ilvl w:val="0"/>
          <w:numId w:val="13"/>
        </w:numPr>
        <w:tabs>
          <w:tab w:val="left" w:pos="540"/>
        </w:tabs>
        <w:adjustRightInd w:val="0"/>
        <w:snapToGrid w:val="0"/>
        <w:spacing w:before="0" w:beforeAutospacing="0" w:after="0" w:afterAutospacing="0" w:line="360" w:lineRule="auto"/>
        <w:jc w:val="both"/>
        <w:outlineLvl w:val="1"/>
        <w:rPr>
          <w:rFonts w:hint="eastAsia"/>
          <w:b/>
          <w:bCs/>
          <w:color w:val="000000"/>
          <w:sz w:val="21"/>
          <w:szCs w:val="21"/>
        </w:rPr>
      </w:pPr>
      <w:bookmarkStart w:id="0" w:name="_Hlk179962030"/>
      <w:bookmarkStart w:id="1" w:name="_Hlk169883875"/>
      <w:bookmarkStart w:id="2" w:name="_Hlk169448260"/>
      <w:bookmarkStart w:id="3" w:name="_Hlk190878892"/>
      <w:r>
        <w:rPr>
          <w:rFonts w:hint="eastAsia"/>
          <w:b/>
          <w:bCs/>
          <w:color w:val="000000"/>
          <w:sz w:val="21"/>
          <w:szCs w:val="21"/>
          <w:lang w:bidi="ar"/>
        </w:rPr>
        <w:t>项目一览表</w:t>
      </w:r>
    </w:p>
    <w:tbl>
      <w:tblPr>
        <w:tblStyle w:val="24"/>
        <w:tblW w:w="85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652"/>
        <w:gridCol w:w="1211"/>
        <w:gridCol w:w="1886"/>
        <w:gridCol w:w="2700"/>
      </w:tblGrid>
      <w:tr w14:paraId="523A63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076" w:type="dxa"/>
            <w:tcBorders>
              <w:top w:val="single" w:color="auto" w:sz="12" w:space="0"/>
              <w:left w:val="single" w:color="auto" w:sz="12" w:space="0"/>
              <w:bottom w:val="single" w:color="auto" w:sz="2" w:space="0"/>
              <w:right w:val="single" w:color="auto" w:sz="4" w:space="0"/>
            </w:tcBorders>
            <w:shd w:val="clear" w:color="auto" w:fill="EEECE1"/>
            <w:vAlign w:val="center"/>
          </w:tcPr>
          <w:p w14:paraId="4A977303">
            <w:pPr>
              <w:jc w:val="center"/>
              <w:rPr>
                <w:rFonts w:hint="eastAsia" w:ascii="宋体" w:hAnsi="宋体"/>
                <w:b/>
                <w:color w:val="000000"/>
                <w:szCs w:val="21"/>
              </w:rPr>
            </w:pPr>
            <w:bookmarkStart w:id="4" w:name="_Hlk179960923"/>
            <w:r>
              <w:rPr>
                <w:rFonts w:hint="eastAsia" w:ascii="宋体" w:hAnsi="宋体"/>
                <w:b/>
                <w:color w:val="000000"/>
                <w:szCs w:val="21"/>
                <w:lang w:bidi="ar"/>
              </w:rPr>
              <w:t>项目名称</w:t>
            </w:r>
          </w:p>
        </w:tc>
        <w:tc>
          <w:tcPr>
            <w:tcW w:w="652" w:type="dxa"/>
            <w:tcBorders>
              <w:top w:val="single" w:color="auto" w:sz="12" w:space="0"/>
              <w:left w:val="single" w:color="auto" w:sz="4" w:space="0"/>
              <w:bottom w:val="single" w:color="auto" w:sz="2" w:space="0"/>
              <w:right w:val="single" w:color="auto" w:sz="4" w:space="0"/>
            </w:tcBorders>
            <w:shd w:val="clear" w:color="auto" w:fill="EEECE1" w:themeFill="background2"/>
            <w:vAlign w:val="center"/>
          </w:tcPr>
          <w:p w14:paraId="0A83FA02">
            <w:pPr>
              <w:jc w:val="center"/>
              <w:rPr>
                <w:rFonts w:hint="eastAsia" w:ascii="宋体" w:hAnsi="宋体" w:eastAsia="宋体" w:cs="宋体"/>
                <w:b/>
                <w:bCs/>
                <w:color w:val="000000"/>
                <w:szCs w:val="21"/>
                <w:lang w:val="en-US" w:eastAsia="zh-CN" w:bidi="ar"/>
              </w:rPr>
            </w:pPr>
            <w:r>
              <w:rPr>
                <w:rFonts w:hint="eastAsia" w:ascii="宋体" w:hAnsi="宋体" w:eastAsia="宋体" w:cs="宋体"/>
                <w:b/>
                <w:bCs/>
                <w:color w:val="000000"/>
                <w:szCs w:val="21"/>
                <w:lang w:val="en-US" w:eastAsia="zh-CN" w:bidi="ar"/>
              </w:rPr>
              <w:t>数量</w:t>
            </w:r>
          </w:p>
        </w:tc>
        <w:tc>
          <w:tcPr>
            <w:tcW w:w="1211" w:type="dxa"/>
            <w:tcBorders>
              <w:top w:val="single" w:color="auto" w:sz="12" w:space="0"/>
              <w:left w:val="single" w:color="auto" w:sz="4" w:space="0"/>
              <w:bottom w:val="single" w:color="auto" w:sz="2" w:space="0"/>
              <w:right w:val="single" w:color="auto" w:sz="4" w:space="0"/>
            </w:tcBorders>
            <w:shd w:val="clear" w:color="auto" w:fill="EEECE1" w:themeFill="background2"/>
            <w:vAlign w:val="center"/>
          </w:tcPr>
          <w:p w14:paraId="61255FA1">
            <w:pPr>
              <w:jc w:val="center"/>
              <w:rPr>
                <w:rFonts w:hint="eastAsia" w:ascii="宋体" w:hAnsi="宋体" w:eastAsia="宋体" w:cs="宋体"/>
                <w:b/>
                <w:bCs/>
                <w:color w:val="000000"/>
                <w:szCs w:val="21"/>
                <w:lang w:val="en-US" w:eastAsia="zh-CN" w:bidi="ar"/>
              </w:rPr>
            </w:pPr>
            <w:r>
              <w:rPr>
                <w:rFonts w:hint="eastAsia" w:ascii="宋体" w:hAnsi="宋体" w:eastAsia="宋体" w:cs="宋体"/>
                <w:b/>
                <w:bCs/>
                <w:color w:val="000000"/>
                <w:szCs w:val="21"/>
                <w:lang w:val="en-US" w:eastAsia="zh-CN" w:bidi="ar"/>
              </w:rPr>
              <w:t>租赁时间</w:t>
            </w:r>
          </w:p>
        </w:tc>
        <w:tc>
          <w:tcPr>
            <w:tcW w:w="1886" w:type="dxa"/>
            <w:tcBorders>
              <w:top w:val="single" w:color="auto" w:sz="12" w:space="0"/>
              <w:left w:val="single" w:color="auto" w:sz="4" w:space="0"/>
              <w:bottom w:val="single" w:color="auto" w:sz="2" w:space="0"/>
              <w:right w:val="single" w:color="auto" w:sz="4" w:space="0"/>
            </w:tcBorders>
            <w:shd w:val="clear" w:color="auto" w:fill="EEECE1" w:themeFill="background2"/>
            <w:vAlign w:val="center"/>
          </w:tcPr>
          <w:p w14:paraId="581EBE26">
            <w:pPr>
              <w:jc w:val="center"/>
              <w:rPr>
                <w:rFonts w:hint="eastAsia" w:ascii="宋体" w:hAnsi="宋体"/>
                <w:b/>
                <w:bCs/>
                <w:color w:val="000000"/>
                <w:szCs w:val="21"/>
                <w:lang w:val="en-US" w:eastAsia="zh-CN" w:bidi="ar"/>
              </w:rPr>
            </w:pPr>
            <w:r>
              <w:rPr>
                <w:rFonts w:hint="eastAsia" w:ascii="宋体" w:hAnsi="宋体"/>
                <w:b/>
                <w:bCs/>
                <w:color w:val="000000"/>
                <w:szCs w:val="21"/>
                <w:lang w:val="en-US" w:eastAsia="zh-CN" w:bidi="ar"/>
              </w:rPr>
              <w:t>交货期</w:t>
            </w:r>
          </w:p>
        </w:tc>
        <w:tc>
          <w:tcPr>
            <w:tcW w:w="2700" w:type="dxa"/>
            <w:tcBorders>
              <w:top w:val="single" w:color="auto" w:sz="12" w:space="0"/>
              <w:left w:val="single" w:color="auto" w:sz="4" w:space="0"/>
              <w:bottom w:val="single" w:color="auto" w:sz="2" w:space="0"/>
              <w:right w:val="single" w:color="auto" w:sz="12" w:space="0"/>
            </w:tcBorders>
            <w:shd w:val="clear" w:color="auto" w:fill="EEECE1"/>
            <w:vAlign w:val="center"/>
          </w:tcPr>
          <w:p w14:paraId="771EE394">
            <w:pPr>
              <w:jc w:val="center"/>
              <w:rPr>
                <w:rFonts w:hint="eastAsia" w:ascii="宋体" w:hAnsi="宋体"/>
                <w:b/>
                <w:bCs/>
                <w:color w:val="000000"/>
                <w:szCs w:val="21"/>
                <w:lang w:eastAsia="zh-CN" w:bidi="ar"/>
              </w:rPr>
            </w:pPr>
            <w:r>
              <w:rPr>
                <w:rFonts w:hint="eastAsia" w:ascii="宋体" w:hAnsi="宋体"/>
                <w:b/>
                <w:bCs/>
                <w:color w:val="000000"/>
                <w:szCs w:val="21"/>
                <w:lang w:eastAsia="zh-CN" w:bidi="ar"/>
              </w:rPr>
              <w:t>预算金额</w:t>
            </w:r>
          </w:p>
        </w:tc>
      </w:tr>
      <w:tr w14:paraId="5DE65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2076" w:type="dxa"/>
            <w:tcBorders>
              <w:top w:val="single" w:color="auto" w:sz="2" w:space="0"/>
              <w:left w:val="single" w:color="auto" w:sz="12" w:space="0"/>
              <w:bottom w:val="single" w:color="auto" w:sz="2" w:space="0"/>
              <w:right w:val="single" w:color="auto" w:sz="4" w:space="0"/>
            </w:tcBorders>
            <w:shd w:val="clear" w:color="auto" w:fill="auto"/>
            <w:vAlign w:val="center"/>
          </w:tcPr>
          <w:p w14:paraId="13C9961C">
            <w:pPr>
              <w:jc w:val="center"/>
              <w:rPr>
                <w:rFonts w:hint="eastAsia" w:ascii="宋体" w:hAnsi="宋体" w:eastAsia="宋体"/>
                <w:color w:val="000000"/>
                <w:szCs w:val="21"/>
                <w:lang w:eastAsia="zh-CN"/>
              </w:rPr>
            </w:pPr>
            <w:bookmarkStart w:id="5" w:name="_Hlk167195175"/>
            <w:r>
              <w:rPr>
                <w:rFonts w:hint="eastAsia" w:ascii="宋体" w:hAnsi="宋体"/>
                <w:color w:val="000000"/>
                <w:szCs w:val="21"/>
                <w:lang w:eastAsia="zh-CN" w:bidi="ar"/>
              </w:rPr>
              <w:t>广东省肇庆监狱无线智能微震生命探测系统租赁项目（第二次）</w:t>
            </w:r>
          </w:p>
        </w:tc>
        <w:tc>
          <w:tcPr>
            <w:tcW w:w="652" w:type="dxa"/>
            <w:tcBorders>
              <w:top w:val="single" w:color="auto" w:sz="2" w:space="0"/>
              <w:left w:val="single" w:color="auto" w:sz="4" w:space="0"/>
              <w:bottom w:val="single" w:color="auto" w:sz="2" w:space="0"/>
              <w:right w:val="single" w:color="auto" w:sz="4" w:space="0"/>
            </w:tcBorders>
            <w:shd w:val="clear" w:color="auto" w:fill="auto"/>
            <w:vAlign w:val="center"/>
          </w:tcPr>
          <w:p w14:paraId="7F11B05C">
            <w:pPr>
              <w:jc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eastAsia="zh-CN" w:bidi="ar"/>
              </w:rPr>
              <w:t>1</w:t>
            </w:r>
            <w:r>
              <w:rPr>
                <w:rFonts w:hint="eastAsia" w:ascii="宋体" w:hAnsi="宋体" w:eastAsia="宋体" w:cs="宋体"/>
                <w:color w:val="000000"/>
                <w:szCs w:val="21"/>
                <w:lang w:val="en-US" w:eastAsia="zh-CN" w:bidi="ar"/>
              </w:rPr>
              <w:t>套</w:t>
            </w:r>
          </w:p>
        </w:tc>
        <w:tc>
          <w:tcPr>
            <w:tcW w:w="1211" w:type="dxa"/>
            <w:tcBorders>
              <w:top w:val="single" w:color="auto" w:sz="2" w:space="0"/>
              <w:left w:val="single" w:color="auto" w:sz="4" w:space="0"/>
              <w:bottom w:val="single" w:color="auto" w:sz="2" w:space="0"/>
              <w:right w:val="single" w:color="auto" w:sz="4" w:space="0"/>
            </w:tcBorders>
            <w:shd w:val="clear" w:color="auto" w:fill="auto"/>
            <w:vAlign w:val="center"/>
          </w:tcPr>
          <w:p w14:paraId="39F27D72">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自合同签订之日起3年</w:t>
            </w:r>
          </w:p>
        </w:tc>
        <w:tc>
          <w:tcPr>
            <w:tcW w:w="1886" w:type="dxa"/>
            <w:tcBorders>
              <w:top w:val="single" w:color="auto" w:sz="2" w:space="0"/>
              <w:left w:val="single" w:color="auto" w:sz="4" w:space="0"/>
              <w:bottom w:val="single" w:color="auto" w:sz="2" w:space="0"/>
              <w:right w:val="single" w:color="auto" w:sz="4" w:space="0"/>
            </w:tcBorders>
            <w:shd w:val="clear" w:color="auto" w:fill="auto"/>
            <w:vAlign w:val="center"/>
          </w:tcPr>
          <w:p w14:paraId="2A0E4AEA">
            <w:pPr>
              <w:jc w:val="center"/>
              <w:rPr>
                <w:rFonts w:hint="eastAsia" w:ascii="宋体" w:hAnsi="宋体"/>
                <w:color w:val="000000"/>
                <w:szCs w:val="21"/>
                <w:lang w:eastAsia="zh-CN" w:bidi="ar"/>
              </w:rPr>
            </w:pPr>
            <w:r>
              <w:rPr>
                <w:rFonts w:hint="eastAsia" w:ascii="宋体" w:hAnsi="宋体"/>
                <w:color w:val="000000"/>
                <w:szCs w:val="21"/>
                <w:lang w:eastAsia="zh-CN" w:bidi="ar"/>
              </w:rPr>
              <w:t>自本项目合同签订当日起5个工作日内</w:t>
            </w:r>
          </w:p>
          <w:bookmarkEnd w:id="4"/>
          <w:bookmarkEnd w:id="5"/>
        </w:tc>
        <w:tc>
          <w:tcPr>
            <w:tcW w:w="2700" w:type="dxa"/>
            <w:tcBorders>
              <w:top w:val="single" w:color="auto" w:sz="2" w:space="0"/>
              <w:left w:val="single" w:color="auto" w:sz="4" w:space="0"/>
              <w:bottom w:val="single" w:color="auto" w:sz="2" w:space="0"/>
              <w:right w:val="single" w:color="auto" w:sz="12" w:space="0"/>
            </w:tcBorders>
            <w:shd w:val="clear" w:color="auto" w:fill="auto"/>
            <w:vAlign w:val="center"/>
          </w:tcPr>
          <w:p w14:paraId="1D488E25">
            <w:pPr>
              <w:jc w:val="center"/>
              <w:rPr>
                <w:rFonts w:hint="eastAsia" w:ascii="宋体" w:hAnsi="宋体"/>
                <w:color w:val="000000"/>
                <w:szCs w:val="21"/>
                <w:lang w:eastAsia="zh-CN" w:bidi="ar"/>
              </w:rPr>
            </w:pPr>
            <w:r>
              <w:rPr>
                <w:rFonts w:hint="eastAsia" w:ascii="宋体" w:hAnsi="宋体"/>
                <w:color w:val="000000"/>
                <w:szCs w:val="21"/>
                <w:lang w:eastAsia="zh-CN" w:bidi="ar"/>
              </w:rPr>
              <w:t>总价人民币</w:t>
            </w:r>
            <w:r>
              <w:rPr>
                <w:rFonts w:hint="eastAsia" w:ascii="宋体" w:hAnsi="宋体"/>
                <w:color w:val="000000"/>
                <w:szCs w:val="21"/>
                <w:u w:val="single"/>
                <w:lang w:eastAsia="zh-CN" w:bidi="ar"/>
              </w:rPr>
              <w:t>178200.00</w:t>
            </w:r>
            <w:r>
              <w:rPr>
                <w:rFonts w:hint="eastAsia" w:ascii="宋体" w:hAnsi="宋体"/>
                <w:color w:val="000000"/>
                <w:szCs w:val="21"/>
                <w:lang w:val="en-US" w:eastAsia="zh-CN" w:bidi="ar"/>
              </w:rPr>
              <w:t>元</w:t>
            </w:r>
            <w:r>
              <w:rPr>
                <w:rFonts w:hint="eastAsia" w:ascii="宋体" w:hAnsi="宋体"/>
                <w:color w:val="000000"/>
                <w:szCs w:val="21"/>
                <w:lang w:eastAsia="zh-CN" w:bidi="ar"/>
              </w:rPr>
              <w:t>；</w:t>
            </w:r>
            <w:r>
              <w:rPr>
                <w:rFonts w:hint="eastAsia" w:ascii="宋体" w:hAnsi="宋体"/>
                <w:color w:val="000000"/>
                <w:szCs w:val="21"/>
                <w:u w:val="single"/>
                <w:lang w:eastAsia="zh-CN" w:bidi="ar"/>
              </w:rPr>
              <w:t>59400.00</w:t>
            </w:r>
            <w:r>
              <w:rPr>
                <w:rFonts w:hint="eastAsia" w:ascii="宋体" w:hAnsi="宋体"/>
                <w:color w:val="000000"/>
                <w:szCs w:val="21"/>
                <w:lang w:val="en-US" w:eastAsia="zh-CN" w:bidi="ar"/>
              </w:rPr>
              <w:t>元</w:t>
            </w:r>
            <w:r>
              <w:rPr>
                <w:rFonts w:hint="eastAsia" w:ascii="宋体" w:hAnsi="宋体"/>
                <w:color w:val="000000"/>
                <w:szCs w:val="21"/>
                <w:lang w:eastAsia="zh-CN" w:bidi="ar"/>
              </w:rPr>
              <w:t>/年</w:t>
            </w:r>
          </w:p>
        </w:tc>
      </w:tr>
      <w:bookmarkEnd w:id="0"/>
      <w:bookmarkEnd w:id="1"/>
      <w:bookmarkEnd w:id="2"/>
    </w:tbl>
    <w:p w14:paraId="61763B47">
      <w:pPr>
        <w:pStyle w:val="19"/>
        <w:widowControl w:val="0"/>
        <w:numPr>
          <w:ilvl w:val="0"/>
          <w:numId w:val="13"/>
        </w:numPr>
        <w:tabs>
          <w:tab w:val="left" w:pos="540"/>
        </w:tabs>
        <w:adjustRightInd w:val="0"/>
        <w:snapToGrid w:val="0"/>
        <w:spacing w:before="0" w:beforeAutospacing="0" w:after="0" w:afterAutospacing="0" w:line="360" w:lineRule="auto"/>
        <w:jc w:val="both"/>
        <w:outlineLvl w:val="1"/>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项目概况</w:t>
      </w:r>
    </w:p>
    <w:p w14:paraId="58429C1B">
      <w:pPr>
        <w:pageBreakBefore w:val="0"/>
        <w:kinsoku/>
        <w:wordWrap/>
        <w:overflowPunct/>
        <w:topLinePunct w:val="0"/>
        <w:autoSpaceDE/>
        <w:autoSpaceDN/>
        <w:bidi w:val="0"/>
        <w:adjustRightInd w:val="0"/>
        <w:snapToGrid w:val="0"/>
        <w:spacing w:line="360" w:lineRule="auto"/>
        <w:ind w:firstLine="426" w:firstLineChars="200"/>
        <w:jc w:val="both"/>
        <w:rPr>
          <w:rFonts w:hint="eastAsia" w:ascii="宋体" w:hAnsi="宋体" w:eastAsia="宋体" w:cs="宋体"/>
          <w:sz w:val="21"/>
          <w:szCs w:val="21"/>
          <w:highlight w:val="none"/>
        </w:rPr>
      </w:pPr>
      <w:r>
        <w:rPr>
          <w:rFonts w:hint="eastAsia" w:ascii="宋体" w:hAnsi="宋体" w:eastAsia="宋体" w:cs="宋体"/>
          <w:sz w:val="21"/>
          <w:szCs w:val="21"/>
        </w:rPr>
        <w:t>（一）本项目范围为</w:t>
      </w:r>
      <w:r>
        <w:rPr>
          <w:rFonts w:hint="eastAsia" w:ascii="宋体" w:hAnsi="宋体" w:eastAsia="宋体" w:cs="宋体"/>
          <w:sz w:val="21"/>
          <w:szCs w:val="21"/>
          <w:highlight w:val="none"/>
        </w:rPr>
        <w:t>：货物</w:t>
      </w:r>
      <w:r>
        <w:rPr>
          <w:rFonts w:hint="eastAsia" w:ascii="宋体" w:hAnsi="宋体" w:eastAsia="宋体" w:cs="宋体"/>
          <w:sz w:val="21"/>
          <w:szCs w:val="21"/>
          <w:highlight w:val="none"/>
          <w:lang w:val="en-US" w:eastAsia="zh-CN"/>
        </w:rPr>
        <w:t>交货</w:t>
      </w:r>
      <w:r>
        <w:rPr>
          <w:rFonts w:hint="eastAsia" w:ascii="宋体" w:hAnsi="宋体" w:eastAsia="宋体" w:cs="宋体"/>
          <w:sz w:val="21"/>
          <w:szCs w:val="21"/>
          <w:highlight w:val="none"/>
        </w:rPr>
        <w:t>期为自本项目</w:t>
      </w:r>
      <w:r>
        <w:rPr>
          <w:rFonts w:hint="eastAsia" w:ascii="宋体" w:hAnsi="宋体" w:eastAsia="宋体" w:cs="宋体"/>
          <w:sz w:val="21"/>
          <w:szCs w:val="21"/>
          <w:highlight w:val="none"/>
          <w:lang w:val="en-US" w:eastAsia="zh-CN"/>
        </w:rPr>
        <w:t>合同签订当天起5个工作日内</w:t>
      </w:r>
      <w:r>
        <w:rPr>
          <w:rFonts w:hint="eastAsia" w:ascii="宋体" w:hAnsi="宋体" w:eastAsia="宋体" w:cs="宋体"/>
          <w:sz w:val="21"/>
          <w:szCs w:val="21"/>
          <w:highlight w:val="none"/>
        </w:rPr>
        <w:t>。</w:t>
      </w:r>
    </w:p>
    <w:p w14:paraId="2AAB52E7">
      <w:pPr>
        <w:pageBreakBefore w:val="0"/>
        <w:kinsoku/>
        <w:wordWrap/>
        <w:overflowPunct/>
        <w:topLinePunct w:val="0"/>
        <w:autoSpaceDE/>
        <w:autoSpaceDN/>
        <w:bidi w:val="0"/>
        <w:adjustRightInd w:val="0"/>
        <w:snapToGrid w:val="0"/>
        <w:spacing w:line="360" w:lineRule="auto"/>
        <w:ind w:firstLine="426" w:firstLineChars="200"/>
        <w:jc w:val="both"/>
        <w:rPr>
          <w:rFonts w:hint="eastAsia" w:ascii="宋体" w:hAnsi="宋体" w:eastAsia="宋体" w:cs="宋体"/>
          <w:color w:val="FF0000"/>
          <w:sz w:val="21"/>
          <w:szCs w:val="21"/>
          <w:lang w:val="en-US" w:eastAsia="zh-CN"/>
        </w:rPr>
      </w:pPr>
      <w:r>
        <w:rPr>
          <w:rFonts w:hint="eastAsia" w:ascii="宋体" w:hAnsi="宋体" w:eastAsia="宋体" w:cs="宋体"/>
          <w:sz w:val="21"/>
          <w:szCs w:val="21"/>
          <w:highlight w:val="none"/>
        </w:rPr>
        <w:t>（二）本项目所需</w:t>
      </w:r>
      <w:r>
        <w:rPr>
          <w:rFonts w:hint="eastAsia" w:ascii="宋体" w:hAnsi="宋体" w:eastAsia="宋体" w:cs="宋体"/>
          <w:sz w:val="21"/>
          <w:szCs w:val="21"/>
          <w:highlight w:val="none"/>
          <w:lang w:val="en-US" w:eastAsia="zh-CN"/>
        </w:rPr>
        <w:t>设备</w:t>
      </w:r>
      <w:r>
        <w:rPr>
          <w:rFonts w:hint="eastAsia" w:ascii="宋体" w:hAnsi="宋体" w:eastAsia="宋体" w:cs="宋体"/>
          <w:sz w:val="21"/>
          <w:szCs w:val="21"/>
          <w:highlight w:val="none"/>
        </w:rPr>
        <w:t>按</w:t>
      </w:r>
      <w:r>
        <w:rPr>
          <w:rFonts w:hint="eastAsia" w:ascii="宋体" w:hAnsi="宋体" w:eastAsia="宋体" w:cs="宋体"/>
          <w:sz w:val="21"/>
          <w:szCs w:val="21"/>
          <w:highlight w:val="none"/>
          <w:lang w:val="en-US" w:eastAsia="zh-CN"/>
        </w:rPr>
        <w:t>采购人租赁</w:t>
      </w:r>
      <w:r>
        <w:rPr>
          <w:rFonts w:hint="eastAsia" w:ascii="宋体" w:hAnsi="宋体" w:eastAsia="宋体" w:cs="宋体"/>
          <w:sz w:val="21"/>
          <w:szCs w:val="21"/>
          <w:highlight w:val="none"/>
        </w:rPr>
        <w:t>清单供应，需在</w:t>
      </w:r>
      <w:r>
        <w:rPr>
          <w:rFonts w:hint="eastAsia" w:ascii="宋体" w:hAnsi="宋体" w:eastAsia="宋体" w:cs="宋体"/>
          <w:sz w:val="21"/>
          <w:szCs w:val="21"/>
          <w:highlight w:val="none"/>
          <w:lang w:val="en-US" w:eastAsia="zh-CN"/>
        </w:rPr>
        <w:t>5</w:t>
      </w:r>
      <w:r>
        <w:rPr>
          <w:rFonts w:hint="eastAsia" w:ascii="宋体" w:hAnsi="宋体" w:cs="宋体"/>
          <w:sz w:val="21"/>
          <w:szCs w:val="21"/>
          <w:highlight w:val="none"/>
          <w:lang w:val="en-US" w:eastAsia="zh-CN"/>
        </w:rPr>
        <w:t>个工作日</w:t>
      </w:r>
      <w:r>
        <w:rPr>
          <w:rFonts w:hint="eastAsia" w:ascii="宋体" w:hAnsi="宋体" w:eastAsia="宋体" w:cs="宋体"/>
          <w:sz w:val="21"/>
          <w:szCs w:val="21"/>
          <w:highlight w:val="none"/>
        </w:rPr>
        <w:t>日内供应完成，</w:t>
      </w:r>
      <w:r>
        <w:rPr>
          <w:rFonts w:hint="eastAsia" w:ascii="宋体" w:hAnsi="宋体" w:eastAsia="宋体" w:cs="宋体"/>
          <w:sz w:val="21"/>
          <w:szCs w:val="21"/>
          <w:highlight w:val="none"/>
          <w:lang w:val="en-US" w:eastAsia="zh-CN"/>
        </w:rPr>
        <w:t>货物</w:t>
      </w:r>
      <w:r>
        <w:rPr>
          <w:rFonts w:hint="eastAsia" w:ascii="宋体" w:hAnsi="宋体" w:eastAsia="宋体" w:cs="宋体"/>
          <w:sz w:val="21"/>
          <w:szCs w:val="21"/>
          <w:highlight w:val="none"/>
        </w:rPr>
        <w:t>的</w:t>
      </w:r>
      <w:r>
        <w:rPr>
          <w:rFonts w:hint="eastAsia" w:ascii="宋体" w:hAnsi="宋体" w:eastAsia="宋体" w:cs="宋体"/>
          <w:sz w:val="21"/>
          <w:szCs w:val="21"/>
        </w:rPr>
        <w:t>整</w:t>
      </w:r>
      <w:r>
        <w:rPr>
          <w:rFonts w:hint="eastAsia" w:ascii="宋体" w:hAnsi="宋体" w:eastAsia="宋体" w:cs="宋体"/>
          <w:sz w:val="21"/>
          <w:szCs w:val="21"/>
          <w:lang w:val="en-US" w:eastAsia="zh-CN"/>
        </w:rPr>
        <w:t>机</w:t>
      </w:r>
      <w:r>
        <w:rPr>
          <w:rFonts w:hint="eastAsia" w:ascii="宋体" w:hAnsi="宋体" w:eastAsia="宋体" w:cs="宋体"/>
          <w:sz w:val="21"/>
          <w:szCs w:val="21"/>
        </w:rPr>
        <w:t>质保由成交</w:t>
      </w:r>
      <w:r>
        <w:rPr>
          <w:rFonts w:hint="eastAsia" w:ascii="宋体" w:hAnsi="宋体" w:eastAsia="宋体" w:cs="宋体"/>
          <w:sz w:val="21"/>
          <w:szCs w:val="21"/>
          <w:lang w:val="en-US" w:eastAsia="zh-CN"/>
        </w:rPr>
        <w:t>供应商负责</w:t>
      </w:r>
      <w:r>
        <w:rPr>
          <w:rFonts w:hint="eastAsia" w:ascii="宋体" w:hAnsi="宋体" w:eastAsia="宋体" w:cs="宋体"/>
          <w:sz w:val="21"/>
          <w:szCs w:val="21"/>
          <w:highlight w:val="none"/>
          <w:lang w:val="en-US" w:eastAsia="zh-CN"/>
        </w:rPr>
        <w:t>。</w:t>
      </w:r>
    </w:p>
    <w:p w14:paraId="3CA5962F">
      <w:pPr>
        <w:pStyle w:val="19"/>
        <w:widowControl w:val="0"/>
        <w:numPr>
          <w:ilvl w:val="0"/>
          <w:numId w:val="13"/>
        </w:numPr>
        <w:tabs>
          <w:tab w:val="left" w:pos="540"/>
        </w:tabs>
        <w:adjustRightInd w:val="0"/>
        <w:snapToGrid w:val="0"/>
        <w:spacing w:before="0" w:beforeAutospacing="0" w:after="0" w:afterAutospacing="0" w:line="360" w:lineRule="auto"/>
        <w:jc w:val="both"/>
        <w:outlineLvl w:val="1"/>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货物报价及最高限价、品种品牌、质量、</w:t>
      </w:r>
      <w:r>
        <w:rPr>
          <w:rFonts w:hint="eastAsia" w:ascii="宋体" w:hAnsi="宋体" w:eastAsia="宋体" w:cs="宋体"/>
          <w:b/>
          <w:bCs/>
          <w:color w:val="000000"/>
          <w:sz w:val="21"/>
          <w:szCs w:val="21"/>
          <w:lang w:val="en-US" w:eastAsia="zh-CN" w:bidi="ar"/>
        </w:rPr>
        <w:t>租赁服务</w:t>
      </w:r>
      <w:r>
        <w:rPr>
          <w:rFonts w:hint="eastAsia" w:ascii="宋体" w:hAnsi="宋体" w:eastAsia="宋体" w:cs="宋体"/>
          <w:b/>
          <w:bCs/>
          <w:color w:val="000000"/>
          <w:sz w:val="21"/>
          <w:szCs w:val="21"/>
          <w:lang w:bidi="ar"/>
        </w:rPr>
        <w:t>要求</w:t>
      </w:r>
    </w:p>
    <w:p w14:paraId="631F41CF">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sz w:val="21"/>
          <w:szCs w:val="21"/>
        </w:rPr>
      </w:pPr>
      <w:r>
        <w:rPr>
          <w:rFonts w:hint="eastAsia" w:ascii="宋体" w:hAnsi="宋体" w:eastAsia="宋体" w:cs="宋体"/>
          <w:b/>
          <w:sz w:val="21"/>
          <w:szCs w:val="21"/>
        </w:rPr>
        <w:t>（一）报价及最高限价</w:t>
      </w:r>
      <w:r>
        <w:rPr>
          <w:rFonts w:hint="eastAsia" w:ascii="宋体" w:hAnsi="宋体" w:eastAsia="宋体" w:cs="宋体"/>
          <w:sz w:val="21"/>
          <w:szCs w:val="21"/>
        </w:rPr>
        <w:t>：报价包含产品</w:t>
      </w:r>
      <w:r>
        <w:rPr>
          <w:rFonts w:hint="eastAsia" w:ascii="宋体" w:hAnsi="宋体" w:eastAsia="宋体" w:cs="宋体"/>
          <w:sz w:val="21"/>
          <w:szCs w:val="21"/>
          <w:lang w:val="en-US" w:eastAsia="zh-CN"/>
        </w:rPr>
        <w:t>租赁</w:t>
      </w:r>
      <w:r>
        <w:rPr>
          <w:rFonts w:hint="eastAsia" w:ascii="宋体" w:hAnsi="宋体" w:eastAsia="宋体" w:cs="宋体"/>
          <w:sz w:val="21"/>
          <w:szCs w:val="21"/>
        </w:rPr>
        <w:t>价格、运输、装卸、</w:t>
      </w:r>
      <w:r>
        <w:rPr>
          <w:rFonts w:hint="eastAsia" w:ascii="宋体" w:hAnsi="宋体" w:eastAsia="宋体" w:cs="宋体"/>
          <w:sz w:val="21"/>
          <w:szCs w:val="21"/>
          <w:lang w:val="en-US" w:eastAsia="zh-CN"/>
        </w:rPr>
        <w:t>维养</w:t>
      </w:r>
      <w:r>
        <w:rPr>
          <w:rFonts w:hint="eastAsia" w:ascii="宋体" w:hAnsi="宋体" w:eastAsia="宋体" w:cs="宋体"/>
          <w:sz w:val="21"/>
          <w:szCs w:val="21"/>
        </w:rPr>
        <w:t>服务、</w:t>
      </w:r>
      <w:r>
        <w:rPr>
          <w:rFonts w:hint="eastAsia" w:ascii="宋体" w:hAnsi="宋体" w:eastAsia="宋体" w:cs="宋体"/>
          <w:spacing w:val="-2"/>
          <w:sz w:val="21"/>
          <w:szCs w:val="21"/>
        </w:rPr>
        <w:t>税金等所有费用。最高限价为</w:t>
      </w:r>
      <w:r>
        <w:rPr>
          <w:rFonts w:hint="eastAsia" w:ascii="宋体" w:hAnsi="宋体" w:eastAsia="宋体" w:cs="宋体"/>
          <w:spacing w:val="-2"/>
          <w:sz w:val="21"/>
          <w:szCs w:val="21"/>
          <w:lang w:val="en-US" w:eastAsia="zh-CN"/>
        </w:rPr>
        <w:t>三年总价178200元，每年59400元</w:t>
      </w:r>
      <w:r>
        <w:rPr>
          <w:rFonts w:hint="eastAsia" w:ascii="宋体" w:hAnsi="宋体" w:eastAsia="宋体" w:cs="宋体"/>
          <w:sz w:val="21"/>
          <w:szCs w:val="21"/>
        </w:rPr>
        <w:t>，超过最高限价的视为无效竞价。</w:t>
      </w:r>
    </w:p>
    <w:p w14:paraId="690EEEAC">
      <w:pPr>
        <w:pageBreakBefore w:val="0"/>
        <w:numPr>
          <w:ilvl w:val="0"/>
          <w:numId w:val="14"/>
        </w:numPr>
        <w:kinsoku/>
        <w:wordWrap/>
        <w:overflowPunct/>
        <w:topLinePunct w:val="0"/>
        <w:autoSpaceDE/>
        <w:autoSpaceDN/>
        <w:bidi w:val="0"/>
        <w:spacing w:line="360" w:lineRule="auto"/>
        <w:ind w:firstLine="426" w:firstLineChars="200"/>
        <w:jc w:val="both"/>
        <w:rPr>
          <w:rFonts w:hint="eastAsia" w:ascii="宋体" w:hAnsi="宋体" w:eastAsia="宋体" w:cs="宋体"/>
          <w:b/>
          <w:sz w:val="21"/>
          <w:szCs w:val="21"/>
        </w:rPr>
      </w:pPr>
      <w:r>
        <w:rPr>
          <w:rFonts w:hint="eastAsia" w:ascii="宋体" w:hAnsi="宋体" w:eastAsia="宋体" w:cs="宋体"/>
          <w:b/>
          <w:sz w:val="21"/>
          <w:szCs w:val="21"/>
          <w:lang w:val="en-US" w:eastAsia="zh-CN"/>
        </w:rPr>
        <w:t>品牌</w:t>
      </w:r>
      <w:r>
        <w:rPr>
          <w:rFonts w:hint="eastAsia" w:ascii="宋体" w:hAnsi="宋体" w:eastAsia="宋体" w:cs="宋体"/>
          <w:b/>
          <w:sz w:val="21"/>
          <w:szCs w:val="21"/>
        </w:rPr>
        <w:t>品种</w:t>
      </w:r>
      <w:r>
        <w:rPr>
          <w:rFonts w:hint="eastAsia" w:ascii="宋体" w:hAnsi="宋体" w:eastAsia="宋体" w:cs="宋体"/>
          <w:b/>
          <w:sz w:val="21"/>
          <w:szCs w:val="21"/>
          <w:lang w:val="en-US" w:eastAsia="zh-CN"/>
        </w:rPr>
        <w:t>及租赁</w:t>
      </w:r>
      <w:r>
        <w:rPr>
          <w:rFonts w:hint="eastAsia" w:ascii="宋体" w:hAnsi="宋体" w:eastAsia="宋体" w:cs="宋体"/>
          <w:b/>
          <w:sz w:val="21"/>
          <w:szCs w:val="21"/>
        </w:rPr>
        <w:t>清单</w:t>
      </w:r>
    </w:p>
    <w:tbl>
      <w:tblPr>
        <w:tblStyle w:val="24"/>
        <w:tblW w:w="8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3"/>
        <w:gridCol w:w="1460"/>
        <w:gridCol w:w="852"/>
        <w:gridCol w:w="1730"/>
        <w:gridCol w:w="845"/>
        <w:gridCol w:w="1122"/>
        <w:gridCol w:w="1957"/>
      </w:tblGrid>
      <w:tr w14:paraId="2D64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rPr>
        <w:tc>
          <w:tcPr>
            <w:tcW w:w="363" w:type="dxa"/>
            <w:vAlign w:val="center"/>
          </w:tcPr>
          <w:p w14:paraId="05C99889">
            <w:pPr>
              <w:jc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eastAsia="zh-CN" w:bidi="ar"/>
              </w:rPr>
              <w:t>序号</w:t>
            </w:r>
          </w:p>
        </w:tc>
        <w:tc>
          <w:tcPr>
            <w:tcW w:w="1460" w:type="dxa"/>
            <w:vAlign w:val="center"/>
          </w:tcPr>
          <w:p w14:paraId="49B46F7A">
            <w:pPr>
              <w:jc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eastAsia="zh-CN" w:bidi="ar"/>
              </w:rPr>
              <w:t>名 称</w:t>
            </w:r>
          </w:p>
        </w:tc>
        <w:tc>
          <w:tcPr>
            <w:tcW w:w="852" w:type="dxa"/>
            <w:vAlign w:val="center"/>
          </w:tcPr>
          <w:p w14:paraId="5F020490">
            <w:pPr>
              <w:jc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eastAsia="zh-CN" w:bidi="ar"/>
              </w:rPr>
              <w:t>品牌</w:t>
            </w:r>
          </w:p>
        </w:tc>
        <w:tc>
          <w:tcPr>
            <w:tcW w:w="1730" w:type="dxa"/>
            <w:vAlign w:val="center"/>
          </w:tcPr>
          <w:p w14:paraId="0C3F78EB">
            <w:pPr>
              <w:jc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eastAsia="zh-CN" w:bidi="ar"/>
              </w:rPr>
              <w:t>型号</w:t>
            </w:r>
          </w:p>
        </w:tc>
        <w:tc>
          <w:tcPr>
            <w:tcW w:w="845" w:type="dxa"/>
            <w:vAlign w:val="center"/>
          </w:tcPr>
          <w:p w14:paraId="03884B71">
            <w:pPr>
              <w:jc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eastAsia="zh-CN" w:bidi="ar"/>
              </w:rPr>
              <w:t>数量</w:t>
            </w:r>
          </w:p>
        </w:tc>
        <w:tc>
          <w:tcPr>
            <w:tcW w:w="1122" w:type="dxa"/>
            <w:vAlign w:val="center"/>
          </w:tcPr>
          <w:p w14:paraId="6AFED5A3">
            <w:pPr>
              <w:jc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eastAsia="zh-CN" w:bidi="ar"/>
              </w:rPr>
              <w:t>租赁时间</w:t>
            </w:r>
          </w:p>
        </w:tc>
        <w:tc>
          <w:tcPr>
            <w:tcW w:w="1957" w:type="dxa"/>
            <w:vAlign w:val="center"/>
          </w:tcPr>
          <w:p w14:paraId="1043FA92">
            <w:pPr>
              <w:jc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eastAsia="zh-CN" w:bidi="ar"/>
              </w:rPr>
              <w:t>备注</w:t>
            </w:r>
          </w:p>
        </w:tc>
      </w:tr>
      <w:tr w14:paraId="5627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5" w:hRule="atLeast"/>
        </w:trPr>
        <w:tc>
          <w:tcPr>
            <w:tcW w:w="363" w:type="dxa"/>
            <w:vAlign w:val="center"/>
          </w:tcPr>
          <w:p w14:paraId="6E3477B3">
            <w:pPr>
              <w:jc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eastAsia="zh-CN" w:bidi="ar"/>
              </w:rPr>
              <w:t>1</w:t>
            </w:r>
          </w:p>
        </w:tc>
        <w:tc>
          <w:tcPr>
            <w:tcW w:w="1460" w:type="dxa"/>
            <w:vAlign w:val="center"/>
          </w:tcPr>
          <w:p w14:paraId="62189577">
            <w:pPr>
              <w:jc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val="en-US" w:eastAsia="zh-CN" w:bidi="ar"/>
              </w:rPr>
              <w:t>无线智能微震生命探测系统</w:t>
            </w:r>
          </w:p>
        </w:tc>
        <w:tc>
          <w:tcPr>
            <w:tcW w:w="852" w:type="dxa"/>
            <w:vAlign w:val="center"/>
          </w:tcPr>
          <w:p w14:paraId="3452A2B7">
            <w:pPr>
              <w:jc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val="en-US" w:eastAsia="zh-CN" w:bidi="ar"/>
              </w:rPr>
              <w:t>拓迈</w:t>
            </w:r>
          </w:p>
        </w:tc>
        <w:tc>
          <w:tcPr>
            <w:tcW w:w="1730" w:type="dxa"/>
            <w:vAlign w:val="center"/>
          </w:tcPr>
          <w:p w14:paraId="6A604F04">
            <w:pPr>
              <w:jc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val="en-US" w:eastAsia="zh-CN" w:bidi="ar"/>
              </w:rPr>
              <w:t>拓迈TOPMINE-602</w:t>
            </w:r>
          </w:p>
        </w:tc>
        <w:tc>
          <w:tcPr>
            <w:tcW w:w="845" w:type="dxa"/>
            <w:vAlign w:val="center"/>
          </w:tcPr>
          <w:p w14:paraId="129AFCC7">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eastAsia="zh-CN" w:bidi="ar"/>
              </w:rPr>
              <w:t>1套</w:t>
            </w:r>
          </w:p>
        </w:tc>
        <w:tc>
          <w:tcPr>
            <w:tcW w:w="1122" w:type="dxa"/>
            <w:vAlign w:val="center"/>
          </w:tcPr>
          <w:p w14:paraId="546A32D2">
            <w:pPr>
              <w:jc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val="en-US" w:eastAsia="zh-CN" w:bidi="ar"/>
              </w:rPr>
              <w:t>自合同签订之日起</w:t>
            </w:r>
            <w:r>
              <w:rPr>
                <w:rFonts w:hint="eastAsia" w:ascii="宋体" w:hAnsi="宋体" w:eastAsia="宋体" w:cs="宋体"/>
                <w:color w:val="000000"/>
                <w:szCs w:val="21"/>
                <w:lang w:eastAsia="zh-CN" w:bidi="ar"/>
              </w:rPr>
              <w:t>3年</w:t>
            </w:r>
          </w:p>
        </w:tc>
        <w:tc>
          <w:tcPr>
            <w:tcW w:w="1957" w:type="dxa"/>
            <w:vAlign w:val="center"/>
          </w:tcPr>
          <w:p w14:paraId="26F29FF4">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含货物全套配件及租赁期内技术服务、维修保养等各类服务</w:t>
            </w:r>
          </w:p>
        </w:tc>
      </w:tr>
    </w:tbl>
    <w:p w14:paraId="320391BE">
      <w:pPr>
        <w:pageBreakBefore w:val="0"/>
        <w:numPr>
          <w:ilvl w:val="0"/>
          <w:numId w:val="14"/>
        </w:numPr>
        <w:kinsoku/>
        <w:wordWrap/>
        <w:overflowPunct/>
        <w:topLinePunct w:val="0"/>
        <w:autoSpaceDE/>
        <w:autoSpaceDN/>
        <w:bidi w:val="0"/>
        <w:spacing w:line="360" w:lineRule="auto"/>
        <w:ind w:firstLine="426" w:firstLineChars="20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无线智能微震生命探测系统技术规格参数及配件内容</w:t>
      </w:r>
    </w:p>
    <w:tbl>
      <w:tblPr>
        <w:tblStyle w:val="25"/>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1503"/>
        <w:gridCol w:w="5982"/>
        <w:gridCol w:w="611"/>
      </w:tblGrid>
      <w:tr w14:paraId="31F7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0" w:type="dxa"/>
            <w:vAlign w:val="center"/>
          </w:tcPr>
          <w:p w14:paraId="34441E9C">
            <w:pPr>
              <w:jc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eastAsia="zh-CN" w:bidi="ar"/>
              </w:rPr>
              <w:t>序号</w:t>
            </w:r>
          </w:p>
        </w:tc>
        <w:tc>
          <w:tcPr>
            <w:tcW w:w="1503" w:type="dxa"/>
            <w:vAlign w:val="center"/>
          </w:tcPr>
          <w:p w14:paraId="39EB4DCB">
            <w:pPr>
              <w:jc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eastAsia="zh-CN" w:bidi="ar"/>
              </w:rPr>
              <w:t>配置名称</w:t>
            </w:r>
          </w:p>
        </w:tc>
        <w:tc>
          <w:tcPr>
            <w:tcW w:w="5982" w:type="dxa"/>
            <w:vAlign w:val="center"/>
          </w:tcPr>
          <w:p w14:paraId="0E5ACF36">
            <w:pPr>
              <w:jc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eastAsia="zh-CN" w:bidi="ar"/>
              </w:rPr>
              <w:t>规格</w:t>
            </w:r>
          </w:p>
        </w:tc>
        <w:tc>
          <w:tcPr>
            <w:tcW w:w="611" w:type="dxa"/>
            <w:vAlign w:val="center"/>
          </w:tcPr>
          <w:p w14:paraId="506F544C">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数量</w:t>
            </w:r>
          </w:p>
        </w:tc>
      </w:tr>
      <w:tr w14:paraId="76F0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0" w:type="dxa"/>
            <w:vAlign w:val="center"/>
          </w:tcPr>
          <w:p w14:paraId="72B2B60B">
            <w:pPr>
              <w:jc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eastAsia="zh-CN" w:bidi="ar"/>
              </w:rPr>
              <w:t>1</w:t>
            </w:r>
          </w:p>
        </w:tc>
        <w:tc>
          <w:tcPr>
            <w:tcW w:w="1503" w:type="dxa"/>
            <w:vAlign w:val="center"/>
          </w:tcPr>
          <w:p w14:paraId="2C81D99D">
            <w:pPr>
              <w:jc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val="en-US" w:eastAsia="zh-CN" w:bidi="ar"/>
              </w:rPr>
              <w:t>控制主机</w:t>
            </w:r>
          </w:p>
        </w:tc>
        <w:tc>
          <w:tcPr>
            <w:tcW w:w="5982" w:type="dxa"/>
            <w:vAlign w:val="center"/>
          </w:tcPr>
          <w:p w14:paraId="15CC6973">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1.采用工业级嵌入式工控机，配备512G以上硬盘；i5以上处理器；8GB以上内存；具备不少于8个USB接口，WiFi天线，耳机接口，双RJ-45接口，VGA接口，HDMI接口，电源接口；提供windows10版本操作系统。</w:t>
            </w:r>
          </w:p>
          <w:p w14:paraId="1391AA86">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2.采用双台工业级红外触摸控制模式显示屏，尺寸≥23.6寸，分辨率≥1920×1080，亮度≥600cd/m2；显示屏倾斜角度的嵌入式安装。</w:t>
            </w:r>
            <w:r>
              <w:rPr>
                <w:rFonts w:hint="eastAsia" w:ascii="宋体" w:hAnsi="宋体" w:eastAsia="宋体" w:cs="宋体"/>
                <w:b/>
                <w:bCs/>
                <w:color w:val="000000"/>
                <w:szCs w:val="21"/>
                <w:lang w:val="en-US" w:eastAsia="zh-CN" w:bidi="ar"/>
              </w:rPr>
              <w:t>(成交供应商交货时需提供公安部下属权威检测机构或由公安部认证的有同等资质的检测机构出具的检测报告详细页面复印件(加盖成交供应商、生产厂家及检测机构的公章)，原件备查，成交后将对本参数进行验收确认)。</w:t>
            </w:r>
          </w:p>
        </w:tc>
        <w:tc>
          <w:tcPr>
            <w:tcW w:w="611" w:type="dxa"/>
            <w:vAlign w:val="center"/>
          </w:tcPr>
          <w:p w14:paraId="66E07DC5">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1台</w:t>
            </w:r>
          </w:p>
        </w:tc>
      </w:tr>
      <w:tr w14:paraId="4B64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0" w:type="dxa"/>
            <w:vAlign w:val="center"/>
          </w:tcPr>
          <w:p w14:paraId="18444C73">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2</w:t>
            </w:r>
          </w:p>
        </w:tc>
        <w:tc>
          <w:tcPr>
            <w:tcW w:w="1503" w:type="dxa"/>
            <w:vAlign w:val="center"/>
          </w:tcPr>
          <w:p w14:paraId="7730CE6B">
            <w:pPr>
              <w:jc w:val="center"/>
              <w:rPr>
                <w:rFonts w:hint="default"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客户端软件（分析软件）</w:t>
            </w:r>
            <w:r>
              <w:rPr>
                <w:rFonts w:hint="eastAsia"/>
                <w:lang w:val="en-US" w:eastAsia="zh-CN"/>
              </w:rPr>
              <w:t>与主机配套使用</w:t>
            </w:r>
          </w:p>
        </w:tc>
        <w:tc>
          <w:tcPr>
            <w:tcW w:w="5982" w:type="dxa"/>
            <w:vAlign w:val="center"/>
          </w:tcPr>
          <w:p w14:paraId="08BA0C6E">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1.系统具有车辆人员探测报警功能；当被探测车辆上有人时，客户端软件界面报警框背景颜色变红，并显示“搜查”字样；当被探测车辆上无人时，系统探测完毕，客户端软件界面报警框背景颜色变绿，并显示“通过”字样。</w:t>
            </w:r>
          </w:p>
          <w:p w14:paraId="113289BE">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2.系统具备纯无线探测模式，能同时接入6个无线车辆探测终端及2个地面环境探测终端；系统能监测连接的微震探测终端，并能通过客户端软件实时显示6路无线车辆探测终端和2路无线地面环境探测终端波形信号。系统具备软件界面文字提示及智能语音播报提示功能：智能语音播报提示具有6种语音选择，具有探测终端连接状态提示，具有有人和无人探测报警情况提示，具有自检状态正常与异常提示，具有车型车类选择提示，具有探测终端防丢失提示。</w:t>
            </w:r>
            <w:r>
              <w:rPr>
                <w:rFonts w:hint="eastAsia" w:ascii="宋体" w:hAnsi="宋体" w:eastAsia="宋体" w:cs="宋体"/>
                <w:b/>
                <w:bCs/>
                <w:color w:val="000000"/>
                <w:szCs w:val="21"/>
                <w:lang w:val="en-US" w:eastAsia="zh-CN" w:bidi="ar"/>
              </w:rPr>
              <w:t>(成交供应商交货时需提供公安部下属权威检测机构或由公安部认证的有同等资质的检测机构出具的检测报告详细页面复印件(加盖成交供应商、生产厂家及检测机构的公章)，原件备查，成交后将对本参数进行验收确认)。</w:t>
            </w:r>
          </w:p>
          <w:p w14:paraId="2A6A424F">
            <w:pPr>
              <w:jc w:val="left"/>
              <w:rPr>
                <w:rFonts w:hint="eastAsia" w:ascii="宋体" w:hAnsi="宋体" w:eastAsia="宋体" w:cs="宋体"/>
                <w:b/>
                <w:bCs/>
                <w:color w:val="000000"/>
                <w:szCs w:val="21"/>
                <w:lang w:val="en-US" w:eastAsia="zh-CN" w:bidi="ar"/>
              </w:rPr>
            </w:pPr>
            <w:r>
              <w:rPr>
                <w:rFonts w:hint="eastAsia" w:ascii="宋体" w:hAnsi="宋体" w:eastAsia="宋体" w:cs="宋体"/>
                <w:color w:val="000000"/>
                <w:szCs w:val="21"/>
                <w:lang w:val="en-US" w:eastAsia="zh-CN" w:bidi="ar"/>
              </w:rPr>
              <w:t>3.系统支持检测数据统计，可提供单日车辆人员检测统计数据，以及选定时间段内的车辆人员检测统计数据，统计结果以图形图表方式展示便于查询；系统支持今日探测统计，包括今日探测次数、通过次数、搜查次数、累计总探测次数。</w:t>
            </w:r>
            <w:r>
              <w:rPr>
                <w:rFonts w:hint="eastAsia" w:ascii="宋体" w:hAnsi="宋体" w:eastAsia="宋体" w:cs="宋体"/>
                <w:b/>
                <w:bCs/>
                <w:color w:val="000000"/>
                <w:szCs w:val="21"/>
                <w:lang w:val="en-US" w:eastAsia="zh-CN" w:bidi="ar"/>
              </w:rPr>
              <w:t>(成交供应商交货时需提供公安部下属权威检测机构或由公安部认证的有同等资质的检测机构出具的检测报告详细页面复印件(加盖成交供应商、生产厂家及检测机构的公章)，原件备查，成交后将对本参数进行验收确认)。</w:t>
            </w:r>
          </w:p>
          <w:p w14:paraId="406E66B6">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4.系统探测时间3-120可调，探测过程的实时进度能在系统显示；系统报警持续声音可在0-200S设置。</w:t>
            </w:r>
          </w:p>
          <w:p w14:paraId="72C1E571">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5.系统支持同时检测车辆6台。</w:t>
            </w:r>
          </w:p>
          <w:p w14:paraId="5217624B">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6.正常环境下，检出率98%，误报率2%。</w:t>
            </w:r>
          </w:p>
          <w:p w14:paraId="7923E01E">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7.系统具有探测车型选择功能，可选车型包括小型车、中型车、大型车及特殊车辆；系统应支持设置临时车、常用车，应支持设置燃油车、新能源车，应支持设置空载车、重载车；系统能通过客户端软件手动录入驾驶员身份信息和车辆相关信息，包括驾驶员姓名、身份证号及车牌号、车辆类别、进出事由等；系统检索记录应能储存相关检测车辆的检测时间、车型、检测环境、检测结果、车辆类别、车牌信息及驾驶员信息等。</w:t>
            </w:r>
          </w:p>
          <w:p w14:paraId="251E9CD1">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8.系统应能通过无线地面环境探测终端对环境震动进行评估，并能在客户端软件以“极好、好、一般、差、极差”字样显示环境震动评估结果。系统应能将多个同时连接的无线微震探测终端波形信号差值分析和时域分析进行一致性比对，同步显示比对分析结果，如有波形图异常时，系统应予以提示。</w:t>
            </w:r>
          </w:p>
          <w:p w14:paraId="6AA90482">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9.系统支持外接2组摄像头，并能通过客户端软件控制其对司机人员和车辆拍照，并支持将所的拍图像进行保存及导出，方便查询取证。</w:t>
            </w:r>
          </w:p>
          <w:p w14:paraId="39A73ABD">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10.系统具备双屏异显功能，主屏可支持显示完整的探测功能页面，副屏可支持管理人员查看当日检测记录、抓拍图像、终端吸附示意及防丢提示、操作教学视频；副屏于主机机柜一体化嵌入式安装。</w:t>
            </w:r>
            <w:r>
              <w:rPr>
                <w:rFonts w:hint="eastAsia" w:ascii="宋体" w:hAnsi="宋体" w:eastAsia="宋体" w:cs="宋体"/>
                <w:b/>
                <w:bCs/>
                <w:color w:val="000000"/>
                <w:szCs w:val="21"/>
                <w:lang w:val="en-US" w:eastAsia="zh-CN" w:bidi="ar"/>
              </w:rPr>
              <w:t>(成交供应商交货时需提供公安部下属权威检测机构或由公安部认证的有同等资质的检测机构出具的检测报告详细页面复印件(加盖成交供应商、生产厂家及检测机构的公章)，原件备查，成交后将对本参数进行验收确认)。</w:t>
            </w:r>
          </w:p>
          <w:p w14:paraId="5F13E7C6">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11.系统具有智能防丟功能：所有无线探测终端支持防丢报警功能，具有联动系统软件报警提示智能语音、文字、警示图形、对终端编号，防丟报警提示在封闭通道内有效距离56米，且实时显示防丟动态图形、红色警示图标、终端编号及数量统计等。</w:t>
            </w:r>
            <w:r>
              <w:rPr>
                <w:rFonts w:hint="eastAsia" w:ascii="宋体" w:hAnsi="宋体" w:eastAsia="宋体" w:cs="宋体"/>
                <w:b/>
                <w:bCs/>
                <w:color w:val="000000"/>
                <w:szCs w:val="21"/>
                <w:lang w:val="en-US" w:eastAsia="zh-CN" w:bidi="ar"/>
              </w:rPr>
              <w:t>(成交供应商交货时需提供公安部下属权威检测机构或由公安部认证的有同等资质的检测机构出具的检测报告详细页面复印件(加盖成交供应商、生产厂家及检测机构的公章)，原件备查，成交后将对本参数进行验收确认)。</w:t>
            </w:r>
          </w:p>
        </w:tc>
        <w:tc>
          <w:tcPr>
            <w:tcW w:w="611" w:type="dxa"/>
            <w:vAlign w:val="center"/>
          </w:tcPr>
          <w:p w14:paraId="3AC490A8">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1套</w:t>
            </w:r>
          </w:p>
        </w:tc>
      </w:tr>
      <w:tr w14:paraId="16B7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0" w:type="dxa"/>
            <w:vAlign w:val="center"/>
          </w:tcPr>
          <w:p w14:paraId="2E3E6808">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3</w:t>
            </w:r>
          </w:p>
        </w:tc>
        <w:tc>
          <w:tcPr>
            <w:tcW w:w="1503" w:type="dxa"/>
            <w:vAlign w:val="center"/>
          </w:tcPr>
          <w:p w14:paraId="1B7E441C">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无线车辆探测终端</w:t>
            </w:r>
          </w:p>
        </w:tc>
        <w:tc>
          <w:tcPr>
            <w:tcW w:w="5982" w:type="dxa"/>
            <w:vAlign w:val="top"/>
          </w:tcPr>
          <w:p w14:paraId="2C49A8A3">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车辆探测终端采用非金属材料ABS一体化设计，由永久磁铁、高精度传感器、放大集成电路、无线传输集成电路、18650通用可充电电池等组成；长度30cm，高度10cm，方便磁吸连接车辆合适位置。</w:t>
            </w:r>
            <w:r>
              <w:rPr>
                <w:rFonts w:hint="eastAsia" w:ascii="宋体" w:hAnsi="宋体" w:eastAsia="宋体" w:cs="宋体"/>
                <w:b/>
                <w:bCs/>
                <w:color w:val="000000"/>
                <w:szCs w:val="21"/>
                <w:lang w:val="en-US" w:eastAsia="zh-CN" w:bidi="ar"/>
              </w:rPr>
              <w:t>(成交供应商交货时需提供公安部下属权威检测机构或由公安部认证的有同等资质的检测机构出具的检测报告详细页面复印件(加盖成交供应商、生产厂家及检测机构的公章)，原件备查，成交后将对本参数进行验收确认)。</w:t>
            </w:r>
          </w:p>
        </w:tc>
        <w:tc>
          <w:tcPr>
            <w:tcW w:w="611" w:type="dxa"/>
            <w:vAlign w:val="top"/>
          </w:tcPr>
          <w:p w14:paraId="5C19C355">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6套</w:t>
            </w:r>
          </w:p>
        </w:tc>
      </w:tr>
      <w:tr w14:paraId="1A0A4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0" w:type="dxa"/>
            <w:vAlign w:val="center"/>
          </w:tcPr>
          <w:p w14:paraId="5CA76687">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4</w:t>
            </w:r>
          </w:p>
        </w:tc>
        <w:tc>
          <w:tcPr>
            <w:tcW w:w="1503" w:type="dxa"/>
            <w:vAlign w:val="center"/>
          </w:tcPr>
          <w:p w14:paraId="586DDF81">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无线地面环境探测终端</w:t>
            </w:r>
          </w:p>
        </w:tc>
        <w:tc>
          <w:tcPr>
            <w:tcW w:w="5982" w:type="dxa"/>
            <w:vAlign w:val="top"/>
          </w:tcPr>
          <w:p w14:paraId="61A96D09">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无线地面环境探测终端具有独立的电源开关；由永久磁铁、高精度传感器、放大集成电路、无线传输集成电路、18650通用可充电电池等组成。</w:t>
            </w:r>
          </w:p>
        </w:tc>
        <w:tc>
          <w:tcPr>
            <w:tcW w:w="611" w:type="dxa"/>
            <w:vAlign w:val="top"/>
          </w:tcPr>
          <w:p w14:paraId="1ABCFB51">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2套</w:t>
            </w:r>
          </w:p>
        </w:tc>
      </w:tr>
      <w:tr w14:paraId="1B82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0" w:type="dxa"/>
            <w:vAlign w:val="center"/>
          </w:tcPr>
          <w:p w14:paraId="45DE99A1">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5</w:t>
            </w:r>
          </w:p>
        </w:tc>
        <w:tc>
          <w:tcPr>
            <w:tcW w:w="1503" w:type="dxa"/>
            <w:vAlign w:val="center"/>
          </w:tcPr>
          <w:p w14:paraId="6673148E">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无线链路传输装置</w:t>
            </w:r>
          </w:p>
        </w:tc>
        <w:tc>
          <w:tcPr>
            <w:tcW w:w="5982" w:type="dxa"/>
            <w:vAlign w:val="top"/>
          </w:tcPr>
          <w:p w14:paraId="72F19FB7">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1.无线车辆探测终端和智能报警分析工控装置的无线通信距离应＞30m。</w:t>
            </w:r>
          </w:p>
          <w:p w14:paraId="349D9DE1">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2.无线车辆探测终端在隔30mm厚钢板探测时，能探测到钢板后4m以内的静止生命体。</w:t>
            </w:r>
          </w:p>
        </w:tc>
        <w:tc>
          <w:tcPr>
            <w:tcW w:w="611" w:type="dxa"/>
            <w:vAlign w:val="top"/>
          </w:tcPr>
          <w:p w14:paraId="7656F519">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1套</w:t>
            </w:r>
          </w:p>
        </w:tc>
      </w:tr>
      <w:tr w14:paraId="7268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0" w:type="dxa"/>
            <w:vAlign w:val="center"/>
          </w:tcPr>
          <w:p w14:paraId="4007C50A">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6</w:t>
            </w:r>
          </w:p>
        </w:tc>
        <w:tc>
          <w:tcPr>
            <w:tcW w:w="1503" w:type="dxa"/>
            <w:vAlign w:val="center"/>
          </w:tcPr>
          <w:p w14:paraId="0E6A4D55">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触点式磁性接口充电装置</w:t>
            </w:r>
          </w:p>
        </w:tc>
        <w:tc>
          <w:tcPr>
            <w:tcW w:w="5982" w:type="dxa"/>
            <w:vAlign w:val="top"/>
          </w:tcPr>
          <w:p w14:paraId="4A24AAD7">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1.集成充电装置，能同时对6个无线车辆探测终端进行充电。</w:t>
            </w:r>
          </w:p>
          <w:p w14:paraId="7F4398F4">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2.充电装置底座通过磁力方式吸附无线探测终端，以防止充电接触不稳。</w:t>
            </w:r>
          </w:p>
          <w:p w14:paraId="6CEC8CE2">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3.充电装置具有充电触点短路保护功能，当充电触点短路时，内部电路不损坏。</w:t>
            </w:r>
          </w:p>
        </w:tc>
        <w:tc>
          <w:tcPr>
            <w:tcW w:w="611" w:type="dxa"/>
            <w:vAlign w:val="top"/>
          </w:tcPr>
          <w:p w14:paraId="78F42B56">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1套</w:t>
            </w:r>
          </w:p>
        </w:tc>
      </w:tr>
      <w:tr w14:paraId="6DF0E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0" w:type="dxa"/>
            <w:vAlign w:val="center"/>
          </w:tcPr>
          <w:p w14:paraId="4B6A5803">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7</w:t>
            </w:r>
          </w:p>
        </w:tc>
        <w:tc>
          <w:tcPr>
            <w:tcW w:w="1503" w:type="dxa"/>
            <w:vAlign w:val="center"/>
          </w:tcPr>
          <w:p w14:paraId="72CDDF9C">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机柜</w:t>
            </w:r>
          </w:p>
        </w:tc>
        <w:tc>
          <w:tcPr>
            <w:tcW w:w="5982" w:type="dxa"/>
            <w:vAlign w:val="center"/>
          </w:tcPr>
          <w:p w14:paraId="407213E9">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1.采用非金属材料ABS一体化设计。</w:t>
            </w:r>
          </w:p>
          <w:p w14:paraId="75A3E97F">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2.设备底部设计4个可移动的工业级万向轮，机柜具备工控一体机电源指示灯、系统客户端电源指示灯。</w:t>
            </w:r>
          </w:p>
          <w:p w14:paraId="048FB7DE">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3.柜内采用分布模块化设计，配置相应电气控制装置。</w:t>
            </w:r>
          </w:p>
        </w:tc>
        <w:tc>
          <w:tcPr>
            <w:tcW w:w="611" w:type="dxa"/>
            <w:vAlign w:val="center"/>
          </w:tcPr>
          <w:p w14:paraId="31857BBA">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1套</w:t>
            </w:r>
          </w:p>
        </w:tc>
      </w:tr>
      <w:tr w14:paraId="2D14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30" w:type="dxa"/>
            <w:vAlign w:val="center"/>
          </w:tcPr>
          <w:p w14:paraId="25E2142F">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8</w:t>
            </w:r>
          </w:p>
        </w:tc>
        <w:tc>
          <w:tcPr>
            <w:tcW w:w="1503" w:type="dxa"/>
            <w:vAlign w:val="center"/>
          </w:tcPr>
          <w:p w14:paraId="4F1110A3">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自动恒温装置</w:t>
            </w:r>
          </w:p>
        </w:tc>
        <w:tc>
          <w:tcPr>
            <w:tcW w:w="5982" w:type="dxa"/>
            <w:vAlign w:val="center"/>
          </w:tcPr>
          <w:p w14:paraId="27523B07">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1.一键触发按钮，可视环境需求立即操作。</w:t>
            </w:r>
          </w:p>
          <w:p w14:paraId="21BE9589">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2.内置高精度温控探头，宽温控范围-30℃～60℃，设置简单。</w:t>
            </w:r>
          </w:p>
          <w:p w14:paraId="0AE8A043">
            <w:pPr>
              <w:jc w:val="left"/>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3.自动调节内部工作环境温度，保护系统工作稳定，提高电气元件的可靠性和寿命。</w:t>
            </w:r>
          </w:p>
        </w:tc>
        <w:tc>
          <w:tcPr>
            <w:tcW w:w="611" w:type="dxa"/>
            <w:vAlign w:val="center"/>
          </w:tcPr>
          <w:p w14:paraId="4C209969">
            <w:pPr>
              <w:jc w:val="center"/>
              <w:rPr>
                <w:rFonts w:hint="eastAsia"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1套</w:t>
            </w:r>
          </w:p>
        </w:tc>
      </w:tr>
    </w:tbl>
    <w:p w14:paraId="33202156">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drawing>
          <wp:anchor distT="0" distB="0" distL="114300" distR="114300" simplePos="0" relativeHeight="251659264" behindDoc="0" locked="0" layoutInCell="1" allowOverlap="1">
            <wp:simplePos x="0" y="0"/>
            <wp:positionH relativeFrom="page">
              <wp:posOffset>2045970</wp:posOffset>
            </wp:positionH>
            <wp:positionV relativeFrom="paragraph">
              <wp:posOffset>85725</wp:posOffset>
            </wp:positionV>
            <wp:extent cx="3316605" cy="4548505"/>
            <wp:effectExtent l="0" t="0" r="0" b="0"/>
            <wp:wrapSquare wrapText="bothSides"/>
            <wp:docPr id="1" name="图片 3" descr="D:/A 产品资料/产品系列/1 微震/照片/产品图片/主机/5 第五版 2024 ABS双屏/2024 双屏/602.png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D:/A 产品资料/产品系列/1 微震/照片/产品图片/主机/5 第五版 2024 ABS双屏/2024 双屏/602.png602"/>
                    <pic:cNvPicPr>
                      <a:picLocks noChangeAspect="1"/>
                    </pic:cNvPicPr>
                  </pic:nvPicPr>
                  <pic:blipFill>
                    <a:blip r:embed="rId7"/>
                    <a:srcRect t="6403" b="3"/>
                    <a:stretch>
                      <a:fillRect/>
                    </a:stretch>
                  </pic:blipFill>
                  <pic:spPr>
                    <a:xfrm>
                      <a:off x="0" y="0"/>
                      <a:ext cx="3316605" cy="4548505"/>
                    </a:xfrm>
                    <a:prstGeom prst="rect">
                      <a:avLst/>
                    </a:prstGeom>
                    <a:noFill/>
                    <a:ln>
                      <a:noFill/>
                    </a:ln>
                  </pic:spPr>
                </pic:pic>
              </a:graphicData>
            </a:graphic>
          </wp:anchor>
        </w:drawing>
      </w:r>
    </w:p>
    <w:p w14:paraId="2C685FFB">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b/>
          <w:sz w:val="21"/>
          <w:szCs w:val="21"/>
        </w:rPr>
      </w:pPr>
    </w:p>
    <w:p w14:paraId="6E24724A">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b/>
          <w:sz w:val="21"/>
          <w:szCs w:val="21"/>
        </w:rPr>
      </w:pPr>
    </w:p>
    <w:p w14:paraId="69D2E29D">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b/>
          <w:sz w:val="21"/>
          <w:szCs w:val="21"/>
        </w:rPr>
      </w:pPr>
    </w:p>
    <w:p w14:paraId="5C447658">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b/>
          <w:sz w:val="21"/>
          <w:szCs w:val="21"/>
        </w:rPr>
      </w:pPr>
    </w:p>
    <w:p w14:paraId="2F2D3C07">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b/>
          <w:sz w:val="21"/>
          <w:szCs w:val="21"/>
        </w:rPr>
      </w:pPr>
    </w:p>
    <w:p w14:paraId="0F6C554A">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b/>
          <w:sz w:val="21"/>
          <w:szCs w:val="21"/>
        </w:rPr>
      </w:pPr>
    </w:p>
    <w:p w14:paraId="1CE951E7">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b/>
          <w:sz w:val="21"/>
          <w:szCs w:val="21"/>
        </w:rPr>
      </w:pPr>
    </w:p>
    <w:p w14:paraId="7F324DFB">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b/>
          <w:sz w:val="21"/>
          <w:szCs w:val="21"/>
        </w:rPr>
      </w:pPr>
    </w:p>
    <w:p w14:paraId="6E8C79F8">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b/>
          <w:sz w:val="21"/>
          <w:szCs w:val="21"/>
        </w:rPr>
      </w:pPr>
    </w:p>
    <w:p w14:paraId="45AFE37B">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b/>
          <w:sz w:val="21"/>
          <w:szCs w:val="21"/>
        </w:rPr>
      </w:pPr>
    </w:p>
    <w:p w14:paraId="4EB0DD6B">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b/>
          <w:sz w:val="21"/>
          <w:szCs w:val="21"/>
        </w:rPr>
      </w:pPr>
    </w:p>
    <w:p w14:paraId="77097A8C">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b/>
          <w:sz w:val="21"/>
          <w:szCs w:val="21"/>
        </w:rPr>
      </w:pPr>
    </w:p>
    <w:p w14:paraId="1725FB8E">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b/>
          <w:sz w:val="21"/>
          <w:szCs w:val="21"/>
        </w:rPr>
      </w:pPr>
    </w:p>
    <w:p w14:paraId="3A10A22B">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b/>
          <w:sz w:val="21"/>
          <w:szCs w:val="21"/>
        </w:rPr>
      </w:pPr>
    </w:p>
    <w:p w14:paraId="7C87A80F">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b/>
          <w:sz w:val="21"/>
          <w:szCs w:val="21"/>
        </w:rPr>
      </w:pPr>
    </w:p>
    <w:p w14:paraId="00FE3BE0">
      <w:pPr>
        <w:pageBreakBefore w:val="0"/>
        <w:numPr>
          <w:ilvl w:val="0"/>
          <w:numId w:val="14"/>
        </w:numPr>
        <w:kinsoku/>
        <w:wordWrap/>
        <w:overflowPunct/>
        <w:topLinePunct w:val="0"/>
        <w:autoSpaceDE/>
        <w:autoSpaceDN/>
        <w:bidi w:val="0"/>
        <w:spacing w:line="360" w:lineRule="auto"/>
        <w:ind w:firstLine="426" w:firstLineChars="20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质量、租赁服务要求</w:t>
      </w:r>
    </w:p>
    <w:p w14:paraId="1005B41C">
      <w:pPr>
        <w:pageBreakBefore w:val="0"/>
        <w:numPr>
          <w:ilvl w:val="0"/>
          <w:numId w:val="15"/>
        </w:numPr>
        <w:tabs>
          <w:tab w:val="left" w:pos="142"/>
        </w:tabs>
        <w:kinsoku/>
        <w:wordWrap/>
        <w:overflowPunct/>
        <w:topLinePunct w:val="0"/>
        <w:autoSpaceDE/>
        <w:autoSpaceDN/>
        <w:bidi w:val="0"/>
        <w:snapToGrid w:val="0"/>
        <w:spacing w:line="360" w:lineRule="auto"/>
        <w:ind w:firstLine="426"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质量要求：</w:t>
      </w:r>
    </w:p>
    <w:p w14:paraId="2A8EEDB6">
      <w:pPr>
        <w:pageBreakBefore w:val="0"/>
        <w:numPr>
          <w:ilvl w:val="0"/>
          <w:numId w:val="0"/>
        </w:numPr>
        <w:tabs>
          <w:tab w:val="left" w:pos="142"/>
        </w:tabs>
        <w:kinsoku/>
        <w:wordWrap/>
        <w:overflowPunct/>
        <w:topLinePunct w:val="0"/>
        <w:autoSpaceDE/>
        <w:autoSpaceDN/>
        <w:bidi w:val="0"/>
        <w:snapToGrid w:val="0"/>
        <w:spacing w:line="360" w:lineRule="auto"/>
        <w:ind w:firstLine="426"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成交供应商所供应的设备、配件产品质量应符合中华人民共和国国家安全质量标准。供货时，如成交供应商为制造商，需提供营业执照给采购人确认；如成交供应商非制造商，需提交制造厂商授权书及供货证明函，加盖原厂公章给采购人确认。</w:t>
      </w:r>
    </w:p>
    <w:p w14:paraId="624B5839">
      <w:pPr>
        <w:pageBreakBefore w:val="0"/>
        <w:tabs>
          <w:tab w:val="left" w:pos="142"/>
        </w:tabs>
        <w:kinsoku/>
        <w:wordWrap/>
        <w:overflowPunct/>
        <w:topLinePunct w:val="0"/>
        <w:autoSpaceDE/>
        <w:autoSpaceDN/>
        <w:bidi w:val="0"/>
        <w:snapToGrid w:val="0"/>
        <w:spacing w:line="360" w:lineRule="auto"/>
        <w:ind w:firstLine="426"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kern w:val="0"/>
          <w:sz w:val="21"/>
          <w:szCs w:val="21"/>
          <w:lang w:val="en-US" w:eastAsia="zh-CN"/>
        </w:rPr>
        <w:t>合同期</w:t>
      </w:r>
      <w:r>
        <w:rPr>
          <w:rFonts w:hint="eastAsia" w:ascii="宋体" w:hAnsi="宋体" w:eastAsia="宋体" w:cs="宋体"/>
          <w:kern w:val="0"/>
          <w:sz w:val="21"/>
          <w:szCs w:val="21"/>
        </w:rPr>
        <w:t>内，</w:t>
      </w:r>
      <w:r>
        <w:rPr>
          <w:rFonts w:hint="eastAsia" w:ascii="宋体" w:hAnsi="宋体" w:eastAsia="宋体" w:cs="宋体"/>
          <w:sz w:val="21"/>
          <w:szCs w:val="21"/>
          <w:lang w:val="en-US" w:eastAsia="zh-CN"/>
        </w:rPr>
        <w:t>租赁服务要求：</w:t>
      </w:r>
    </w:p>
    <w:p w14:paraId="7BD8A1BD">
      <w:pPr>
        <w:keepNext w:val="0"/>
        <w:keepLines w:val="0"/>
        <w:pageBreakBefore w:val="0"/>
        <w:widowControl w:val="0"/>
        <w:numPr>
          <w:ilvl w:val="0"/>
          <w:numId w:val="16"/>
        </w:numPr>
        <w:tabs>
          <w:tab w:val="left" w:pos="142"/>
        </w:tabs>
        <w:kinsoku/>
        <w:wordWrap/>
        <w:overflowPunct/>
        <w:topLinePunct w:val="0"/>
        <w:autoSpaceDE/>
        <w:autoSpaceDN/>
        <w:bidi w:val="0"/>
        <w:adjustRightInd/>
        <w:snapToGrid w:val="0"/>
        <w:spacing w:line="360" w:lineRule="auto"/>
        <w:ind w:left="0" w:leftChars="0" w:firstLine="426"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货物的所有权属于成交供应商，货物的使用权属于采购人，</w:t>
      </w:r>
      <w:r>
        <w:rPr>
          <w:rFonts w:hint="eastAsia" w:ascii="宋体" w:hAnsi="宋体" w:eastAsia="宋体" w:cs="宋体"/>
          <w:sz w:val="21"/>
          <w:szCs w:val="21"/>
          <w:lang w:eastAsia="zh-CN"/>
        </w:rPr>
        <w:t>在正常使用情况下，</w:t>
      </w:r>
      <w:r>
        <w:rPr>
          <w:rFonts w:hint="eastAsia" w:ascii="宋体" w:hAnsi="宋体" w:eastAsia="宋体" w:cs="宋体"/>
          <w:sz w:val="21"/>
          <w:szCs w:val="21"/>
          <w:lang w:val="en-US" w:eastAsia="zh-CN"/>
        </w:rPr>
        <w:t>合同期间货物</w:t>
      </w:r>
      <w:r>
        <w:rPr>
          <w:rFonts w:hint="eastAsia" w:ascii="宋体" w:hAnsi="宋体" w:eastAsia="宋体" w:cs="宋体"/>
          <w:sz w:val="21"/>
          <w:szCs w:val="21"/>
          <w:lang w:eastAsia="zh-CN"/>
        </w:rPr>
        <w:t>的整</w:t>
      </w:r>
      <w:r>
        <w:rPr>
          <w:rFonts w:hint="eastAsia" w:ascii="宋体" w:hAnsi="宋体" w:eastAsia="宋体" w:cs="宋体"/>
          <w:sz w:val="21"/>
          <w:szCs w:val="21"/>
          <w:lang w:val="en-US" w:eastAsia="zh-CN"/>
        </w:rPr>
        <w:t>机</w:t>
      </w:r>
      <w:r>
        <w:rPr>
          <w:rFonts w:hint="eastAsia" w:ascii="宋体" w:hAnsi="宋体" w:eastAsia="宋体" w:cs="宋体"/>
          <w:sz w:val="21"/>
          <w:szCs w:val="21"/>
          <w:lang w:eastAsia="zh-CN"/>
        </w:rPr>
        <w:t>由成交</w:t>
      </w:r>
      <w:r>
        <w:rPr>
          <w:rFonts w:hint="eastAsia" w:ascii="宋体" w:hAnsi="宋体" w:eastAsia="宋体" w:cs="宋体"/>
          <w:sz w:val="21"/>
          <w:szCs w:val="21"/>
          <w:lang w:val="en-US" w:eastAsia="zh-CN"/>
        </w:rPr>
        <w:t>供应商负责维养</w:t>
      </w:r>
      <w:r>
        <w:rPr>
          <w:rFonts w:hint="eastAsia" w:ascii="宋体" w:hAnsi="宋体" w:eastAsia="宋体" w:cs="宋体"/>
          <w:sz w:val="21"/>
          <w:szCs w:val="21"/>
          <w:lang w:eastAsia="zh-CN"/>
        </w:rPr>
        <w:t>（从</w:t>
      </w:r>
      <w:r>
        <w:rPr>
          <w:rFonts w:hint="eastAsia" w:ascii="宋体" w:hAnsi="宋体" w:eastAsia="宋体" w:cs="宋体"/>
          <w:sz w:val="21"/>
          <w:szCs w:val="21"/>
          <w:lang w:val="en-US" w:eastAsia="zh-CN"/>
        </w:rPr>
        <w:t>成交供应商完成送货并验收成功之</w:t>
      </w:r>
      <w:r>
        <w:rPr>
          <w:rFonts w:hint="eastAsia" w:ascii="宋体" w:hAnsi="宋体" w:eastAsia="宋体" w:cs="宋体"/>
          <w:sz w:val="21"/>
          <w:szCs w:val="21"/>
          <w:lang w:eastAsia="zh-CN"/>
        </w:rPr>
        <w:t>日起开始计算）。</w:t>
      </w:r>
    </w:p>
    <w:p w14:paraId="45B785C2">
      <w:pPr>
        <w:keepNext w:val="0"/>
        <w:keepLines w:val="0"/>
        <w:pageBreakBefore w:val="0"/>
        <w:widowControl w:val="0"/>
        <w:numPr>
          <w:ilvl w:val="0"/>
          <w:numId w:val="16"/>
        </w:numPr>
        <w:tabs>
          <w:tab w:val="left" w:pos="142"/>
        </w:tabs>
        <w:kinsoku/>
        <w:wordWrap/>
        <w:overflowPunct/>
        <w:topLinePunct w:val="0"/>
        <w:autoSpaceDE/>
        <w:autoSpaceDN/>
        <w:bidi w:val="0"/>
        <w:adjustRightInd/>
        <w:snapToGrid w:val="0"/>
        <w:spacing w:line="360" w:lineRule="auto"/>
        <w:ind w:left="0" w:leftChars="0" w:firstLine="426"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成交供应商提供</w:t>
      </w:r>
      <w:r>
        <w:rPr>
          <w:rFonts w:hint="eastAsia" w:ascii="宋体" w:hAnsi="宋体" w:eastAsia="宋体" w:cs="宋体"/>
          <w:sz w:val="21"/>
          <w:szCs w:val="21"/>
          <w:lang w:eastAsia="zh-CN"/>
        </w:rPr>
        <w:t>上门安装调试、培训服务及详细使用流程图，确保使用部门能正确操作设备。</w:t>
      </w:r>
    </w:p>
    <w:p w14:paraId="2F5773C9">
      <w:pPr>
        <w:keepNext w:val="0"/>
        <w:keepLines w:val="0"/>
        <w:pageBreakBefore w:val="0"/>
        <w:widowControl w:val="0"/>
        <w:numPr>
          <w:ilvl w:val="0"/>
          <w:numId w:val="16"/>
        </w:numPr>
        <w:tabs>
          <w:tab w:val="left" w:pos="142"/>
        </w:tabs>
        <w:kinsoku/>
        <w:wordWrap/>
        <w:overflowPunct/>
        <w:topLinePunct w:val="0"/>
        <w:autoSpaceDE/>
        <w:autoSpaceDN/>
        <w:bidi w:val="0"/>
        <w:adjustRightInd/>
        <w:snapToGrid w:val="0"/>
        <w:spacing w:line="360" w:lineRule="auto"/>
        <w:ind w:left="0" w:leftChars="0" w:firstLine="426" w:firstLineChars="200"/>
        <w:jc w:val="both"/>
        <w:textAlignment w:val="baseline"/>
        <w:rPr>
          <w:rFonts w:hint="eastAsia" w:ascii="宋体" w:hAnsi="宋体" w:eastAsia="宋体" w:cs="宋体"/>
          <w:kern w:val="0"/>
          <w:sz w:val="21"/>
          <w:szCs w:val="21"/>
          <w:lang w:eastAsia="zh-CN"/>
        </w:rPr>
      </w:pPr>
      <w:r>
        <w:rPr>
          <w:rFonts w:hint="eastAsia" w:ascii="宋体" w:hAnsi="宋体" w:eastAsia="宋体" w:cs="宋体"/>
          <w:strike w:val="0"/>
          <w:dstrike w:val="0"/>
          <w:kern w:val="0"/>
          <w:sz w:val="21"/>
          <w:szCs w:val="21"/>
        </w:rPr>
        <w:t>设备主机采用模块化设计，</w:t>
      </w:r>
      <w:r>
        <w:rPr>
          <w:rFonts w:hint="eastAsia" w:ascii="宋体" w:hAnsi="宋体" w:eastAsia="宋体" w:cs="宋体"/>
          <w:strike w:val="0"/>
          <w:kern w:val="0"/>
          <w:sz w:val="21"/>
          <w:szCs w:val="21"/>
        </w:rPr>
        <w:t>如出现故障</w:t>
      </w:r>
      <w:r>
        <w:rPr>
          <w:rFonts w:hint="eastAsia" w:ascii="宋体" w:hAnsi="宋体" w:eastAsia="宋体" w:cs="宋体"/>
          <w:kern w:val="0"/>
          <w:sz w:val="21"/>
          <w:szCs w:val="21"/>
        </w:rPr>
        <w:t>可远程测试故障单元，以便捷的模块更换方式进行维护，一定程度上解决非人员上门不能维修的难题</w:t>
      </w:r>
      <w:r>
        <w:rPr>
          <w:rFonts w:hint="eastAsia" w:ascii="宋体" w:hAnsi="宋体" w:eastAsia="宋体" w:cs="宋体"/>
          <w:kern w:val="0"/>
          <w:sz w:val="21"/>
          <w:szCs w:val="21"/>
          <w:lang w:eastAsia="zh-CN"/>
        </w:rPr>
        <w:t>。</w:t>
      </w:r>
    </w:p>
    <w:p w14:paraId="6A152558">
      <w:pPr>
        <w:keepNext w:val="0"/>
        <w:keepLines w:val="0"/>
        <w:pageBreakBefore w:val="0"/>
        <w:widowControl w:val="0"/>
        <w:numPr>
          <w:ilvl w:val="0"/>
          <w:numId w:val="16"/>
        </w:numPr>
        <w:tabs>
          <w:tab w:val="left" w:pos="142"/>
        </w:tabs>
        <w:kinsoku/>
        <w:wordWrap/>
        <w:overflowPunct/>
        <w:topLinePunct w:val="0"/>
        <w:autoSpaceDE/>
        <w:autoSpaceDN/>
        <w:bidi w:val="0"/>
        <w:adjustRightInd/>
        <w:snapToGrid w:val="0"/>
        <w:spacing w:line="360" w:lineRule="auto"/>
        <w:ind w:left="0" w:leftChars="0" w:firstLine="426" w:firstLineChars="200"/>
        <w:jc w:val="both"/>
        <w:textAlignment w:val="baseline"/>
        <w:rPr>
          <w:rFonts w:hint="eastAsia" w:ascii="宋体" w:hAnsi="宋体" w:eastAsia="宋体" w:cs="宋体"/>
          <w:sz w:val="21"/>
          <w:szCs w:val="21"/>
          <w:lang w:eastAsia="zh-CN"/>
        </w:rPr>
      </w:pPr>
      <w:r>
        <w:rPr>
          <w:rFonts w:hint="eastAsia" w:ascii="宋体" w:hAnsi="宋体" w:eastAsia="宋体" w:cs="宋体"/>
          <w:strike w:val="0"/>
          <w:dstrike w:val="0"/>
          <w:kern w:val="0"/>
          <w:sz w:val="21"/>
          <w:szCs w:val="21"/>
        </w:rPr>
        <w:t>设备探测终端采用分布式主机设计，个别探测终端故障不影响整机使用，</w:t>
      </w:r>
      <w:r>
        <w:rPr>
          <w:rFonts w:hint="eastAsia" w:ascii="宋体" w:hAnsi="宋体" w:eastAsia="宋体" w:cs="宋体"/>
          <w:strike w:val="0"/>
          <w:kern w:val="0"/>
          <w:sz w:val="21"/>
          <w:szCs w:val="21"/>
        </w:rPr>
        <w:t>探</w:t>
      </w:r>
      <w:r>
        <w:rPr>
          <w:rFonts w:hint="eastAsia" w:ascii="宋体" w:hAnsi="宋体" w:eastAsia="宋体" w:cs="宋体"/>
          <w:kern w:val="0"/>
          <w:sz w:val="21"/>
          <w:szCs w:val="21"/>
        </w:rPr>
        <w:t>测终端若发生故障，</w:t>
      </w:r>
      <w:r>
        <w:rPr>
          <w:rFonts w:hint="eastAsia" w:ascii="宋体" w:hAnsi="宋体" w:eastAsia="宋体" w:cs="宋体"/>
          <w:sz w:val="21"/>
          <w:szCs w:val="21"/>
          <w:lang w:val="en-US" w:eastAsia="zh-CN"/>
        </w:rPr>
        <w:t>提供</w:t>
      </w:r>
      <w:r>
        <w:rPr>
          <w:rFonts w:hint="eastAsia" w:ascii="宋体" w:hAnsi="宋体" w:eastAsia="宋体" w:cs="宋体"/>
          <w:sz w:val="21"/>
          <w:szCs w:val="21"/>
          <w:lang w:eastAsia="zh-CN"/>
        </w:rPr>
        <w:t>配件更换服务（配件以换代修），</w:t>
      </w:r>
      <w:r>
        <w:rPr>
          <w:rFonts w:hint="eastAsia" w:ascii="宋体" w:hAnsi="宋体" w:eastAsia="宋体" w:cs="宋体"/>
          <w:sz w:val="21"/>
          <w:szCs w:val="21"/>
          <w:lang w:val="en-US" w:eastAsia="zh-CN"/>
        </w:rPr>
        <w:t>以保证设备正常工作</w:t>
      </w:r>
      <w:r>
        <w:rPr>
          <w:rFonts w:hint="eastAsia" w:ascii="宋体" w:hAnsi="宋体" w:eastAsia="宋体" w:cs="宋体"/>
          <w:sz w:val="21"/>
          <w:szCs w:val="21"/>
          <w:lang w:eastAsia="zh-CN"/>
        </w:rPr>
        <w:t>。</w:t>
      </w:r>
    </w:p>
    <w:p w14:paraId="2A0258AB">
      <w:pPr>
        <w:keepNext w:val="0"/>
        <w:keepLines w:val="0"/>
        <w:pageBreakBefore w:val="0"/>
        <w:widowControl w:val="0"/>
        <w:numPr>
          <w:ilvl w:val="0"/>
          <w:numId w:val="16"/>
        </w:numPr>
        <w:tabs>
          <w:tab w:val="left" w:pos="142"/>
        </w:tabs>
        <w:kinsoku/>
        <w:wordWrap/>
        <w:overflowPunct/>
        <w:topLinePunct w:val="0"/>
        <w:autoSpaceDE/>
        <w:autoSpaceDN/>
        <w:bidi w:val="0"/>
        <w:adjustRightInd/>
        <w:snapToGrid w:val="0"/>
        <w:spacing w:line="360" w:lineRule="auto"/>
        <w:ind w:left="0" w:leftChars="0" w:firstLine="426" w:firstLineChars="200"/>
        <w:jc w:val="both"/>
        <w:textAlignment w:val="baseline"/>
        <w:rPr>
          <w:rFonts w:hint="eastAsia" w:ascii="宋体" w:hAnsi="宋体" w:eastAsia="宋体" w:cs="宋体"/>
          <w:sz w:val="21"/>
          <w:szCs w:val="21"/>
          <w:lang w:eastAsia="zh-CN"/>
        </w:rPr>
      </w:pPr>
      <w:r>
        <w:rPr>
          <w:rFonts w:hint="eastAsia" w:ascii="宋体" w:hAnsi="宋体" w:eastAsia="宋体" w:cs="宋体"/>
          <w:sz w:val="21"/>
          <w:szCs w:val="21"/>
          <w:lang w:eastAsia="zh-CN"/>
        </w:rPr>
        <w:t>因事故或使用不正确而导致</w:t>
      </w:r>
      <w:r>
        <w:rPr>
          <w:rFonts w:hint="eastAsia" w:ascii="宋体" w:hAnsi="宋体" w:eastAsia="宋体" w:cs="宋体"/>
          <w:sz w:val="21"/>
          <w:szCs w:val="21"/>
          <w:lang w:val="en-US" w:eastAsia="zh-CN"/>
        </w:rPr>
        <w:t>设备</w:t>
      </w:r>
      <w:r>
        <w:rPr>
          <w:rFonts w:hint="eastAsia" w:ascii="宋体" w:hAnsi="宋体" w:eastAsia="宋体" w:cs="宋体"/>
          <w:sz w:val="21"/>
          <w:szCs w:val="21"/>
          <w:lang w:eastAsia="zh-CN"/>
        </w:rPr>
        <w:t>外壳、</w:t>
      </w:r>
      <w:r>
        <w:rPr>
          <w:rFonts w:hint="eastAsia" w:ascii="宋体" w:hAnsi="宋体" w:eastAsia="宋体" w:cs="宋体"/>
          <w:sz w:val="21"/>
          <w:szCs w:val="21"/>
          <w:lang w:val="en-US" w:eastAsia="zh-CN"/>
        </w:rPr>
        <w:t>探测终端</w:t>
      </w:r>
      <w:r>
        <w:rPr>
          <w:rFonts w:hint="eastAsia" w:ascii="宋体" w:hAnsi="宋体" w:eastAsia="宋体" w:cs="宋体"/>
          <w:sz w:val="21"/>
          <w:szCs w:val="21"/>
          <w:lang w:eastAsia="zh-CN"/>
        </w:rPr>
        <w:t>等部件的损坏，均不在</w:t>
      </w:r>
      <w:r>
        <w:rPr>
          <w:rFonts w:hint="eastAsia" w:ascii="宋体" w:hAnsi="宋体" w:eastAsia="宋体" w:cs="宋体"/>
          <w:sz w:val="21"/>
          <w:szCs w:val="21"/>
          <w:lang w:val="en-US" w:eastAsia="zh-CN"/>
        </w:rPr>
        <w:t>维养服务</w:t>
      </w:r>
      <w:r>
        <w:rPr>
          <w:rFonts w:hint="eastAsia" w:ascii="宋体" w:hAnsi="宋体" w:eastAsia="宋体" w:cs="宋体"/>
          <w:sz w:val="21"/>
          <w:szCs w:val="21"/>
          <w:lang w:eastAsia="zh-CN"/>
        </w:rPr>
        <w:t>之列，</w:t>
      </w:r>
      <w:r>
        <w:rPr>
          <w:rFonts w:hint="eastAsia" w:ascii="宋体" w:hAnsi="宋体" w:eastAsia="宋体" w:cs="宋体"/>
          <w:sz w:val="21"/>
          <w:szCs w:val="21"/>
          <w:lang w:val="en-US" w:eastAsia="zh-CN"/>
        </w:rPr>
        <w:t>采购人</w:t>
      </w:r>
      <w:r>
        <w:rPr>
          <w:rFonts w:hint="eastAsia" w:ascii="宋体" w:hAnsi="宋体" w:eastAsia="宋体" w:cs="宋体"/>
          <w:sz w:val="21"/>
          <w:szCs w:val="21"/>
          <w:lang w:eastAsia="zh-CN"/>
        </w:rPr>
        <w:t>应按双方协商价格支付维修费及配件费用，成交供应商可提供有偿维修。</w:t>
      </w:r>
    </w:p>
    <w:p w14:paraId="5248468E">
      <w:pPr>
        <w:keepNext w:val="0"/>
        <w:keepLines w:val="0"/>
        <w:pageBreakBefore w:val="0"/>
        <w:widowControl w:val="0"/>
        <w:numPr>
          <w:ilvl w:val="0"/>
          <w:numId w:val="16"/>
        </w:numPr>
        <w:tabs>
          <w:tab w:val="left" w:pos="142"/>
        </w:tabs>
        <w:kinsoku/>
        <w:wordWrap/>
        <w:overflowPunct/>
        <w:topLinePunct w:val="0"/>
        <w:autoSpaceDE/>
        <w:autoSpaceDN/>
        <w:bidi w:val="0"/>
        <w:adjustRightInd/>
        <w:snapToGrid w:val="0"/>
        <w:spacing w:line="360" w:lineRule="auto"/>
        <w:ind w:left="0" w:leftChars="0" w:firstLine="426" w:firstLineChars="200"/>
        <w:jc w:val="both"/>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若产品配套软件有更新，</w:t>
      </w:r>
      <w:r>
        <w:rPr>
          <w:rFonts w:hint="eastAsia" w:ascii="宋体" w:hAnsi="宋体" w:eastAsia="宋体" w:cs="宋体"/>
          <w:b w:val="0"/>
          <w:bCs w:val="0"/>
          <w:sz w:val="21"/>
          <w:szCs w:val="21"/>
          <w:lang w:val="en-US" w:eastAsia="zh-CN"/>
        </w:rPr>
        <w:t>供应商</w:t>
      </w:r>
      <w:r>
        <w:rPr>
          <w:rFonts w:hint="eastAsia" w:ascii="宋体" w:hAnsi="宋体" w:eastAsia="宋体" w:cs="宋体"/>
          <w:b w:val="0"/>
          <w:bCs w:val="0"/>
          <w:sz w:val="21"/>
          <w:szCs w:val="21"/>
          <w:lang w:eastAsia="zh-CN"/>
        </w:rPr>
        <w:t>可免费升级软件；</w:t>
      </w:r>
    </w:p>
    <w:p w14:paraId="1883A44E">
      <w:pPr>
        <w:keepNext w:val="0"/>
        <w:keepLines w:val="0"/>
        <w:pageBreakBefore w:val="0"/>
        <w:widowControl w:val="0"/>
        <w:numPr>
          <w:ilvl w:val="0"/>
          <w:numId w:val="16"/>
        </w:numPr>
        <w:tabs>
          <w:tab w:val="left" w:pos="142"/>
        </w:tabs>
        <w:kinsoku/>
        <w:wordWrap/>
        <w:overflowPunct/>
        <w:topLinePunct w:val="0"/>
        <w:autoSpaceDE/>
        <w:autoSpaceDN/>
        <w:bidi w:val="0"/>
        <w:adjustRightInd/>
        <w:snapToGrid w:val="0"/>
        <w:spacing w:line="360" w:lineRule="auto"/>
        <w:ind w:left="0" w:leftChars="0" w:firstLine="426" w:firstLineChars="200"/>
        <w:jc w:val="both"/>
        <w:textAlignment w:val="baseline"/>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根据</w:t>
      </w:r>
      <w:r>
        <w:rPr>
          <w:rFonts w:hint="eastAsia" w:ascii="宋体" w:hAnsi="宋体" w:eastAsia="宋体" w:cs="宋体"/>
          <w:b w:val="0"/>
          <w:bCs w:val="0"/>
          <w:sz w:val="21"/>
          <w:szCs w:val="21"/>
          <w:lang w:val="en-US" w:eastAsia="zh-CN"/>
        </w:rPr>
        <w:t>采购人</w:t>
      </w:r>
      <w:r>
        <w:rPr>
          <w:rFonts w:hint="eastAsia" w:ascii="宋体" w:hAnsi="宋体" w:eastAsia="宋体" w:cs="宋体"/>
          <w:b w:val="0"/>
          <w:bCs w:val="0"/>
          <w:sz w:val="21"/>
          <w:szCs w:val="21"/>
          <w:lang w:eastAsia="zh-CN"/>
        </w:rPr>
        <w:t>需要，每季度提供一次上门设备维养服务，由双方确定具体的维</w:t>
      </w:r>
      <w:r>
        <w:rPr>
          <w:rFonts w:hint="eastAsia" w:ascii="宋体" w:hAnsi="宋体" w:eastAsia="宋体" w:cs="宋体"/>
          <w:b w:val="0"/>
          <w:bCs w:val="0"/>
          <w:sz w:val="21"/>
          <w:szCs w:val="21"/>
          <w:lang w:val="en-US" w:eastAsia="zh-CN"/>
        </w:rPr>
        <w:t>养</w:t>
      </w:r>
      <w:r>
        <w:rPr>
          <w:rFonts w:hint="eastAsia" w:ascii="宋体" w:hAnsi="宋体" w:eastAsia="宋体" w:cs="宋体"/>
          <w:b w:val="0"/>
          <w:bCs w:val="0"/>
          <w:sz w:val="21"/>
          <w:szCs w:val="21"/>
          <w:lang w:eastAsia="zh-CN"/>
        </w:rPr>
        <w:t>时间。</w:t>
      </w:r>
    </w:p>
    <w:p w14:paraId="300B10D7">
      <w:pPr>
        <w:pageBreakBefore w:val="0"/>
        <w:numPr>
          <w:ilvl w:val="0"/>
          <w:numId w:val="14"/>
        </w:numPr>
        <w:kinsoku/>
        <w:wordWrap/>
        <w:overflowPunct/>
        <w:topLinePunct w:val="0"/>
        <w:autoSpaceDE/>
        <w:autoSpaceDN/>
        <w:bidi w:val="0"/>
        <w:spacing w:line="360" w:lineRule="auto"/>
        <w:ind w:firstLine="426" w:firstLineChars="200"/>
        <w:jc w:val="both"/>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维修响应要求</w:t>
      </w:r>
    </w:p>
    <w:p w14:paraId="1015886D">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一</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成交供应商必须</w:t>
      </w:r>
      <w:r>
        <w:rPr>
          <w:rFonts w:hint="eastAsia" w:ascii="宋体" w:hAnsi="宋体" w:eastAsia="宋体" w:cs="宋体"/>
          <w:kern w:val="0"/>
          <w:sz w:val="21"/>
          <w:szCs w:val="21"/>
          <w:lang w:val="en-US" w:eastAsia="zh-CN"/>
        </w:rPr>
        <w:t>提供一个</w:t>
      </w:r>
      <w:r>
        <w:rPr>
          <w:rFonts w:hint="eastAsia" w:ascii="宋体" w:hAnsi="宋体" w:eastAsia="宋体" w:cs="宋体"/>
          <w:kern w:val="0"/>
          <w:sz w:val="21"/>
          <w:szCs w:val="21"/>
        </w:rPr>
        <w:t>确保24小时开通服务电话，有</w:t>
      </w:r>
      <w:r>
        <w:rPr>
          <w:rFonts w:hint="eastAsia" w:ascii="宋体" w:hAnsi="宋体" w:eastAsia="宋体" w:cs="宋体"/>
          <w:kern w:val="0"/>
          <w:sz w:val="21"/>
          <w:szCs w:val="21"/>
          <w:lang w:val="en-US" w:eastAsia="zh-CN"/>
        </w:rPr>
        <w:t>专</w:t>
      </w:r>
      <w:r>
        <w:rPr>
          <w:rFonts w:hint="eastAsia" w:ascii="宋体" w:hAnsi="宋体" w:eastAsia="宋体" w:cs="宋体"/>
          <w:kern w:val="0"/>
          <w:sz w:val="21"/>
          <w:szCs w:val="21"/>
        </w:rPr>
        <w:t>人负责接听、记录，并向采购人做出回复。</w:t>
      </w:r>
    </w:p>
    <w:p w14:paraId="4085F75E">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二</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成交供应商接到采购人报故障信息后（包括书面、电话、微信等方式），在</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小时内给予技术指导回复，如属电话沟通不能解决的问题，</w:t>
      </w:r>
      <w:r>
        <w:rPr>
          <w:rFonts w:hint="eastAsia" w:ascii="宋体" w:hAnsi="宋体" w:eastAsia="宋体" w:cs="宋体"/>
          <w:kern w:val="0"/>
          <w:sz w:val="21"/>
          <w:szCs w:val="21"/>
          <w:lang w:val="en-US" w:eastAsia="zh-CN"/>
        </w:rPr>
        <w:t>成交供应商</w:t>
      </w:r>
      <w:r>
        <w:rPr>
          <w:rFonts w:hint="eastAsia" w:ascii="宋体" w:hAnsi="宋体" w:eastAsia="宋体" w:cs="宋体"/>
          <w:kern w:val="0"/>
          <w:sz w:val="21"/>
          <w:szCs w:val="21"/>
        </w:rPr>
        <w:t>应在</w:t>
      </w: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rPr>
        <w:t>小时内到达现场进行维修处理，如未及时响应视为违约。</w:t>
      </w:r>
    </w:p>
    <w:p w14:paraId="3863D3B5">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三）成交供应商在维修过程中应优先保障采购人能够正常使用并开展日常工作，若成交供应商到达现场维修时，当天未能完成维修，成交供应商须免费提供同档次的设备或配件给采购人使用，以确保采购人可以正常开展工作。</w:t>
      </w:r>
    </w:p>
    <w:p w14:paraId="3383305F">
      <w:pPr>
        <w:pStyle w:val="19"/>
        <w:widowControl w:val="0"/>
        <w:numPr>
          <w:ilvl w:val="0"/>
          <w:numId w:val="13"/>
        </w:numPr>
        <w:tabs>
          <w:tab w:val="left" w:pos="540"/>
        </w:tabs>
        <w:adjustRightInd w:val="0"/>
        <w:snapToGrid w:val="0"/>
        <w:spacing w:before="0" w:beforeAutospacing="0" w:after="0" w:afterAutospacing="0" w:line="360" w:lineRule="auto"/>
        <w:jc w:val="both"/>
        <w:outlineLvl w:val="1"/>
        <w:rPr>
          <w:rFonts w:hint="eastAsia" w:ascii="宋体" w:hAnsi="宋体" w:eastAsia="宋体" w:cs="宋体"/>
          <w:b/>
          <w:bCs/>
          <w:color w:val="000000"/>
          <w:sz w:val="21"/>
          <w:szCs w:val="21"/>
          <w:lang w:val="en-US" w:eastAsia="zh-CN" w:bidi="ar"/>
        </w:rPr>
      </w:pPr>
      <w:r>
        <w:rPr>
          <w:rFonts w:hint="eastAsia" w:ascii="宋体" w:hAnsi="宋体" w:eastAsia="宋体" w:cs="宋体"/>
          <w:b/>
          <w:bCs/>
          <w:color w:val="000000"/>
          <w:sz w:val="21"/>
          <w:szCs w:val="21"/>
          <w:lang w:val="en-US" w:eastAsia="zh-CN" w:bidi="ar"/>
        </w:rPr>
        <w:t>合同签订及履约保证金</w:t>
      </w:r>
    </w:p>
    <w:p w14:paraId="4E04696F">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（一）成交供应商与采购人在结果公告发布之日起15个工作日内签订合同。</w:t>
      </w:r>
    </w:p>
    <w:p w14:paraId="38E94B76">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（二）合同签订后十五日内，成交供应商须向采购人支付合同总金额10%的履约保证金。在成交供应商完成其合同义务，包括任何保证义务后三十日内，采购人应一次性无息退还履约保证金。</w:t>
      </w:r>
    </w:p>
    <w:p w14:paraId="2C968F9D">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（三）如成交供应商逾期未足额缴纳履约保证金的，采购人有权立即解除本合同。如因此造成采购人需要重新</w:t>
      </w:r>
      <w:r>
        <w:rPr>
          <w:rFonts w:hint="eastAsia" w:ascii="宋体" w:hAnsi="宋体" w:cs="宋体"/>
          <w:kern w:val="0"/>
          <w:sz w:val="21"/>
          <w:szCs w:val="21"/>
          <w:lang w:val="en-US" w:eastAsia="zh-CN"/>
        </w:rPr>
        <w:t>竞价</w:t>
      </w:r>
      <w:r>
        <w:rPr>
          <w:rFonts w:hint="eastAsia" w:ascii="宋体" w:hAnsi="宋体" w:eastAsia="宋体" w:cs="宋体"/>
          <w:kern w:val="0"/>
          <w:sz w:val="21"/>
          <w:szCs w:val="21"/>
          <w:lang w:val="en-US" w:eastAsia="zh-CN"/>
        </w:rPr>
        <w:t>等损失的，采购人保留追究权利。</w:t>
      </w:r>
    </w:p>
    <w:p w14:paraId="5E322EF5">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（四）如在合同执行期间因</w:t>
      </w:r>
      <w:r>
        <w:rPr>
          <w:rFonts w:hint="eastAsia" w:ascii="宋体" w:hAnsi="宋体" w:cs="宋体"/>
          <w:kern w:val="0"/>
          <w:sz w:val="21"/>
          <w:szCs w:val="21"/>
          <w:lang w:val="en-US" w:eastAsia="zh-CN"/>
        </w:rPr>
        <w:t>成交供应商</w:t>
      </w:r>
      <w:r>
        <w:rPr>
          <w:rFonts w:hint="eastAsia" w:ascii="宋体" w:hAnsi="宋体" w:eastAsia="宋体" w:cs="宋体"/>
          <w:kern w:val="0"/>
          <w:sz w:val="21"/>
          <w:szCs w:val="21"/>
          <w:lang w:val="en-US" w:eastAsia="zh-CN"/>
        </w:rPr>
        <w:t>违约导致履约保证金部分或全部扣除的，</w:t>
      </w:r>
      <w:r>
        <w:rPr>
          <w:rFonts w:hint="eastAsia" w:ascii="宋体" w:hAnsi="宋体" w:cs="宋体"/>
          <w:kern w:val="0"/>
          <w:sz w:val="21"/>
          <w:szCs w:val="21"/>
          <w:lang w:val="en-US" w:eastAsia="zh-CN"/>
        </w:rPr>
        <w:t>成交供应商</w:t>
      </w:r>
      <w:r>
        <w:rPr>
          <w:rFonts w:hint="eastAsia" w:ascii="宋体" w:hAnsi="宋体" w:eastAsia="宋体" w:cs="宋体"/>
          <w:kern w:val="0"/>
          <w:sz w:val="21"/>
          <w:szCs w:val="21"/>
          <w:lang w:val="en-US" w:eastAsia="zh-CN"/>
        </w:rPr>
        <w:t>需在七日内补齐履约保证金。</w:t>
      </w:r>
    </w:p>
    <w:p w14:paraId="747DB910">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（五）发生以下情形之一、经调查属实的，每次扣除10%履约保证金：</w:t>
      </w:r>
    </w:p>
    <w:p w14:paraId="67DBDDF8">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1、产品发生故障后，连续拨打成交供应商提供的服务电话，三十分钟内无人接听；</w:t>
      </w:r>
    </w:p>
    <w:p w14:paraId="3EEBF463">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2、产品发生故障后，经电话沟通无法解决故障问题，成交供应商未在12小时内到达现场进行维修；</w:t>
      </w:r>
    </w:p>
    <w:p w14:paraId="18E5902E">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3、产品发生故障后，成交供应商未能现场完成维修且无法做到以换代修，导致采购人无法正常使用。</w:t>
      </w:r>
    </w:p>
    <w:p w14:paraId="6030FB49">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rPr>
        <w:t>（六）采购人每年根据成交供应商的维修情况进行考核，若一年内出现三次上述扣除履约保证金的情形，采购人可以终止合同，且不退还已扣除的履约保证金。</w:t>
      </w:r>
    </w:p>
    <w:p w14:paraId="248B28F5">
      <w:pPr>
        <w:pStyle w:val="19"/>
        <w:widowControl w:val="0"/>
        <w:numPr>
          <w:ilvl w:val="0"/>
          <w:numId w:val="13"/>
        </w:numPr>
        <w:tabs>
          <w:tab w:val="left" w:pos="540"/>
        </w:tabs>
        <w:adjustRightInd w:val="0"/>
        <w:snapToGrid w:val="0"/>
        <w:spacing w:before="0" w:beforeAutospacing="0" w:after="0" w:afterAutospacing="0" w:line="360" w:lineRule="auto"/>
        <w:jc w:val="both"/>
        <w:outlineLvl w:val="1"/>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配送与支付要求</w:t>
      </w:r>
    </w:p>
    <w:p w14:paraId="6B81215F">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（一）交货地点：</w:t>
      </w:r>
      <w:r>
        <w:rPr>
          <w:rFonts w:hint="eastAsia" w:ascii="宋体" w:hAnsi="宋体" w:eastAsia="宋体" w:cs="宋体"/>
          <w:sz w:val="21"/>
          <w:szCs w:val="21"/>
          <w:highlight w:val="none"/>
          <w:lang w:val="en-US" w:eastAsia="zh-CN"/>
        </w:rPr>
        <w:t>广东省肇庆监狱。</w:t>
      </w:r>
    </w:p>
    <w:p w14:paraId="45FB6589">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（二）供应时应向</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提供加盖公章的货物清单（送货单）。</w:t>
      </w:r>
    </w:p>
    <w:p w14:paraId="1A0C4B41">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（三）货物运输整个过程应科学合理。</w:t>
      </w:r>
    </w:p>
    <w:p w14:paraId="4D29D66C">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（四）商品包装要求，容器(框、箱、袋)要求清洁、干燥、牢固、无异味、无霉变现象，物品包装符合国家有关法规、标准的要求，包装完好无破损。</w:t>
      </w:r>
    </w:p>
    <w:p w14:paraId="2F8F5D39">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（五）送货时间：合同签订</w:t>
      </w:r>
      <w:r>
        <w:rPr>
          <w:rFonts w:hint="eastAsia" w:ascii="宋体" w:hAnsi="宋体" w:eastAsia="宋体" w:cs="宋体"/>
          <w:sz w:val="21"/>
          <w:szCs w:val="21"/>
          <w:highlight w:val="none"/>
          <w:lang w:val="en-US" w:eastAsia="zh-CN"/>
        </w:rPr>
        <w:t>之日起5个工作日内完成送货。</w:t>
      </w:r>
    </w:p>
    <w:p w14:paraId="4F2C2AA1">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成交</w:t>
      </w:r>
      <w:r>
        <w:rPr>
          <w:rFonts w:hint="eastAsia" w:ascii="宋体" w:hAnsi="宋体" w:eastAsia="宋体" w:cs="宋体"/>
          <w:kern w:val="0"/>
          <w:sz w:val="21"/>
          <w:szCs w:val="21"/>
          <w:highlight w:val="none"/>
          <w:lang w:eastAsia="zh-CN"/>
        </w:rPr>
        <w:t>供应商</w:t>
      </w:r>
      <w:r>
        <w:rPr>
          <w:rFonts w:hint="eastAsia" w:ascii="宋体" w:hAnsi="宋体" w:eastAsia="宋体" w:cs="宋体"/>
          <w:kern w:val="0"/>
          <w:sz w:val="21"/>
          <w:szCs w:val="21"/>
          <w:highlight w:val="none"/>
        </w:rPr>
        <w:t>在接到通知后备齐货物，按时送抵交货地点。成交</w:t>
      </w:r>
      <w:r>
        <w:rPr>
          <w:rFonts w:hint="eastAsia" w:ascii="宋体" w:hAnsi="宋体" w:eastAsia="宋体" w:cs="宋体"/>
          <w:kern w:val="0"/>
          <w:sz w:val="21"/>
          <w:szCs w:val="21"/>
          <w:highlight w:val="none"/>
          <w:lang w:eastAsia="zh-CN"/>
        </w:rPr>
        <w:t>供应商</w:t>
      </w:r>
      <w:r>
        <w:rPr>
          <w:rFonts w:hint="eastAsia" w:ascii="宋体" w:hAnsi="宋体" w:eastAsia="宋体" w:cs="宋体"/>
          <w:kern w:val="0"/>
          <w:sz w:val="21"/>
          <w:szCs w:val="21"/>
          <w:highlight w:val="none"/>
        </w:rPr>
        <w:t>除不可抗力外，不得以其他任何理由延迟送货。</w:t>
      </w:r>
      <w:r>
        <w:rPr>
          <w:rFonts w:hint="eastAsia" w:ascii="宋体" w:hAnsi="宋体" w:eastAsia="宋体" w:cs="宋体"/>
          <w:sz w:val="21"/>
          <w:szCs w:val="21"/>
          <w:highlight w:val="none"/>
          <w:lang w:eastAsia="zh-CN"/>
        </w:rPr>
        <w:t>采购人</w:t>
      </w:r>
      <w:r>
        <w:rPr>
          <w:rFonts w:hint="eastAsia" w:ascii="宋体" w:hAnsi="宋体" w:eastAsia="宋体" w:cs="宋体"/>
          <w:kern w:val="0"/>
          <w:sz w:val="21"/>
          <w:szCs w:val="21"/>
          <w:highlight w:val="none"/>
        </w:rPr>
        <w:t>如遇特殊情况需推迟送货，应提前通知成交</w:t>
      </w:r>
      <w:r>
        <w:rPr>
          <w:rFonts w:hint="eastAsia" w:ascii="宋体" w:hAnsi="宋体" w:eastAsia="宋体" w:cs="宋体"/>
          <w:kern w:val="0"/>
          <w:sz w:val="21"/>
          <w:szCs w:val="21"/>
          <w:highlight w:val="none"/>
          <w:lang w:eastAsia="zh-CN"/>
        </w:rPr>
        <w:t>供应商</w:t>
      </w:r>
      <w:r>
        <w:rPr>
          <w:rFonts w:hint="eastAsia" w:ascii="宋体" w:hAnsi="宋体" w:eastAsia="宋体" w:cs="宋体"/>
          <w:kern w:val="0"/>
          <w:sz w:val="21"/>
          <w:szCs w:val="21"/>
          <w:highlight w:val="none"/>
        </w:rPr>
        <w:t>。</w:t>
      </w:r>
    </w:p>
    <w:p w14:paraId="2F07D14C">
      <w:pPr>
        <w:pageBreakBefore w:val="0"/>
        <w:numPr>
          <w:ilvl w:val="0"/>
          <w:numId w:val="17"/>
        </w:numPr>
        <w:kinsoku/>
        <w:wordWrap/>
        <w:overflowPunct/>
        <w:topLinePunct w:val="0"/>
        <w:autoSpaceDE/>
        <w:autoSpaceDN/>
        <w:bidi w:val="0"/>
        <w:spacing w:line="360" w:lineRule="auto"/>
        <w:ind w:firstLine="426" w:firstLineChars="200"/>
        <w:jc w:val="both"/>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支付方式：</w:t>
      </w:r>
      <w:r>
        <w:rPr>
          <w:rFonts w:hint="eastAsia" w:ascii="宋体" w:hAnsi="宋体" w:eastAsia="宋体" w:cs="宋体"/>
          <w:color w:val="auto"/>
          <w:sz w:val="21"/>
          <w:szCs w:val="21"/>
          <w:highlight w:val="none"/>
          <w:lang w:val="en-US" w:eastAsia="zh-CN"/>
        </w:rPr>
        <w:t>总费用分三年进行结算支付，第一年</w:t>
      </w:r>
      <w:r>
        <w:rPr>
          <w:rFonts w:hint="eastAsia" w:ascii="宋体" w:hAnsi="宋体" w:eastAsia="宋体" w:cs="宋体"/>
          <w:color w:val="auto"/>
          <w:sz w:val="21"/>
          <w:szCs w:val="21"/>
          <w:highlight w:val="none"/>
        </w:rPr>
        <w:t>成交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要求完成供货、验收完毕后，凭国家正式发票及请款材料向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申请支付款项</w:t>
      </w:r>
      <w:r>
        <w:rPr>
          <w:rFonts w:hint="eastAsia" w:ascii="宋体" w:hAnsi="宋体" w:eastAsia="宋体" w:cs="宋体"/>
          <w:color w:val="auto"/>
          <w:sz w:val="21"/>
          <w:szCs w:val="21"/>
          <w:highlight w:val="none"/>
          <w:lang w:val="en-US" w:eastAsia="zh-CN"/>
        </w:rPr>
        <w:t>，后续每年根据维保服务情况等，经采购人考核合格后，成交供应商</w:t>
      </w:r>
      <w:r>
        <w:rPr>
          <w:rFonts w:hint="eastAsia" w:ascii="宋体" w:hAnsi="宋体" w:eastAsia="宋体" w:cs="宋体"/>
          <w:color w:val="auto"/>
          <w:sz w:val="21"/>
          <w:szCs w:val="21"/>
          <w:highlight w:val="none"/>
        </w:rPr>
        <w:t>凭国家正式发票及请款材料向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申请支付款项</w:t>
      </w:r>
      <w:r>
        <w:rPr>
          <w:rFonts w:hint="eastAsia" w:ascii="宋体" w:hAnsi="宋体" w:eastAsia="宋体" w:cs="宋体"/>
          <w:color w:val="auto"/>
          <w:sz w:val="21"/>
          <w:szCs w:val="21"/>
          <w:highlight w:val="none"/>
          <w:lang w:eastAsia="zh-CN"/>
        </w:rPr>
        <w:t>。</w:t>
      </w:r>
    </w:p>
    <w:p w14:paraId="07DBBDEF">
      <w:pPr>
        <w:pStyle w:val="19"/>
        <w:widowControl w:val="0"/>
        <w:numPr>
          <w:ilvl w:val="0"/>
          <w:numId w:val="13"/>
        </w:numPr>
        <w:tabs>
          <w:tab w:val="left" w:pos="540"/>
        </w:tabs>
        <w:adjustRightInd w:val="0"/>
        <w:snapToGrid w:val="0"/>
        <w:spacing w:before="0" w:beforeAutospacing="0" w:after="0" w:afterAutospacing="0" w:line="360" w:lineRule="auto"/>
        <w:jc w:val="both"/>
        <w:outlineLvl w:val="1"/>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物资验收</w:t>
      </w:r>
    </w:p>
    <w:p w14:paraId="3C94C8C5">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kern w:val="0"/>
          <w:sz w:val="21"/>
          <w:szCs w:val="21"/>
        </w:rPr>
      </w:pPr>
      <w:r>
        <w:rPr>
          <w:rFonts w:hint="eastAsia" w:ascii="宋体" w:hAnsi="宋体" w:eastAsia="宋体" w:cs="宋体"/>
          <w:kern w:val="0"/>
          <w:sz w:val="21"/>
          <w:szCs w:val="21"/>
        </w:rPr>
        <w:t>（一）按合同标准及有关规定进行验收。</w:t>
      </w:r>
    </w:p>
    <w:p w14:paraId="646CAA65">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b/>
          <w:bCs/>
          <w:sz w:val="21"/>
          <w:szCs w:val="21"/>
          <w:lang w:val="en-US" w:eastAsia="zh-CN"/>
        </w:rPr>
      </w:pPr>
      <w:r>
        <w:rPr>
          <w:rFonts w:hint="eastAsia" w:ascii="宋体" w:hAnsi="宋体" w:eastAsia="宋体" w:cs="宋体"/>
          <w:kern w:val="0"/>
          <w:sz w:val="21"/>
          <w:szCs w:val="21"/>
        </w:rPr>
        <w:t>（二）双方对质量有争议，需将货物送至具备资质的质量检测机构检测的，检测费用由成交供应商支付。若检测结果不合格，则采购人将该货物退货，成交供应商需重新配送合格物资。</w:t>
      </w:r>
    </w:p>
    <w:p w14:paraId="6A132521">
      <w:pPr>
        <w:pStyle w:val="19"/>
        <w:widowControl w:val="0"/>
        <w:numPr>
          <w:ilvl w:val="0"/>
          <w:numId w:val="13"/>
        </w:numPr>
        <w:tabs>
          <w:tab w:val="left" w:pos="540"/>
        </w:tabs>
        <w:adjustRightInd w:val="0"/>
        <w:snapToGrid w:val="0"/>
        <w:spacing w:before="0" w:beforeAutospacing="0" w:after="0" w:afterAutospacing="0" w:line="360" w:lineRule="auto"/>
        <w:jc w:val="both"/>
        <w:outlineLvl w:val="1"/>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成交供应商的管理要求</w:t>
      </w:r>
    </w:p>
    <w:p w14:paraId="239BED43">
      <w:pPr>
        <w:pageBreakBefore w:val="0"/>
        <w:tabs>
          <w:tab w:val="left" w:pos="142"/>
        </w:tabs>
        <w:kinsoku/>
        <w:wordWrap/>
        <w:overflowPunct/>
        <w:topLinePunct w:val="0"/>
        <w:autoSpaceDE/>
        <w:autoSpaceDN/>
        <w:bidi w:val="0"/>
        <w:snapToGrid w:val="0"/>
        <w:spacing w:line="360" w:lineRule="auto"/>
        <w:ind w:firstLine="426"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bCs/>
          <w:sz w:val="21"/>
          <w:szCs w:val="21"/>
        </w:rPr>
        <w:t>成交供应商</w:t>
      </w:r>
      <w:r>
        <w:rPr>
          <w:rFonts w:hint="eastAsia" w:ascii="宋体" w:hAnsi="宋体" w:eastAsia="宋体" w:cs="宋体"/>
          <w:sz w:val="21"/>
          <w:szCs w:val="21"/>
        </w:rPr>
        <w:t>有以下行为并经调查属实的，采购人将立即解除相关供应合同：</w:t>
      </w:r>
    </w:p>
    <w:p w14:paraId="434D3B92">
      <w:pPr>
        <w:pageBreakBefore w:val="0"/>
        <w:tabs>
          <w:tab w:val="left" w:pos="142"/>
        </w:tabs>
        <w:kinsoku/>
        <w:wordWrap/>
        <w:overflowPunct/>
        <w:topLinePunct w:val="0"/>
        <w:autoSpaceDE/>
        <w:autoSpaceDN/>
        <w:bidi w:val="0"/>
        <w:snapToGrid w:val="0"/>
        <w:spacing w:line="360" w:lineRule="auto"/>
        <w:ind w:firstLine="426"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1、弄虚作假，提供虚假材料取得成交供应资格的；</w:t>
      </w:r>
    </w:p>
    <w:p w14:paraId="2FDF3371">
      <w:pPr>
        <w:pageBreakBefore w:val="0"/>
        <w:tabs>
          <w:tab w:val="left" w:pos="142"/>
        </w:tabs>
        <w:kinsoku/>
        <w:wordWrap/>
        <w:overflowPunct/>
        <w:topLinePunct w:val="0"/>
        <w:autoSpaceDE/>
        <w:autoSpaceDN/>
        <w:bidi w:val="0"/>
        <w:snapToGrid w:val="0"/>
        <w:spacing w:line="360" w:lineRule="auto"/>
        <w:ind w:firstLine="426"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2、成交供应项目有转包、分包行为的；</w:t>
      </w:r>
    </w:p>
    <w:p w14:paraId="367E8EDA">
      <w:pPr>
        <w:pageBreakBefore w:val="0"/>
        <w:tabs>
          <w:tab w:val="left" w:pos="142"/>
        </w:tabs>
        <w:kinsoku/>
        <w:wordWrap/>
        <w:overflowPunct/>
        <w:topLinePunct w:val="0"/>
        <w:autoSpaceDE/>
        <w:autoSpaceDN/>
        <w:bidi w:val="0"/>
        <w:snapToGrid w:val="0"/>
        <w:spacing w:line="360" w:lineRule="auto"/>
        <w:ind w:firstLine="426"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3、经营情况发生重大变更，已经不具备承接成交供应项目能力的；</w:t>
      </w:r>
    </w:p>
    <w:p w14:paraId="7CD67A34">
      <w:pPr>
        <w:pageBreakBefore w:val="0"/>
        <w:tabs>
          <w:tab w:val="left" w:pos="142"/>
        </w:tabs>
        <w:kinsoku/>
        <w:wordWrap/>
        <w:overflowPunct/>
        <w:topLinePunct w:val="0"/>
        <w:autoSpaceDE/>
        <w:autoSpaceDN/>
        <w:bidi w:val="0"/>
        <w:snapToGrid w:val="0"/>
        <w:spacing w:line="360" w:lineRule="auto"/>
        <w:ind w:firstLine="426"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4、无正当理由拒绝履行合同向采购人供货的；</w:t>
      </w:r>
    </w:p>
    <w:p w14:paraId="562DED22">
      <w:pPr>
        <w:pageBreakBefore w:val="0"/>
        <w:tabs>
          <w:tab w:val="left" w:pos="142"/>
        </w:tabs>
        <w:kinsoku/>
        <w:wordWrap/>
        <w:overflowPunct/>
        <w:topLinePunct w:val="0"/>
        <w:autoSpaceDE/>
        <w:autoSpaceDN/>
        <w:bidi w:val="0"/>
        <w:snapToGrid w:val="0"/>
        <w:spacing w:line="360" w:lineRule="auto"/>
        <w:ind w:firstLine="426"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5、有行贿、给回扣等不正当竞争行为的；</w:t>
      </w:r>
    </w:p>
    <w:p w14:paraId="2E1D2D91">
      <w:pPr>
        <w:pageBreakBefore w:val="0"/>
        <w:tabs>
          <w:tab w:val="left" w:pos="142"/>
        </w:tabs>
        <w:kinsoku/>
        <w:wordWrap/>
        <w:overflowPunct/>
        <w:topLinePunct w:val="0"/>
        <w:autoSpaceDE/>
        <w:autoSpaceDN/>
        <w:bidi w:val="0"/>
        <w:snapToGrid w:val="0"/>
        <w:spacing w:line="360" w:lineRule="auto"/>
        <w:ind w:firstLine="426"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6、因所供货物质量原因导致狱内发生安全事故的；</w:t>
      </w:r>
    </w:p>
    <w:p w14:paraId="2CE7C20A">
      <w:pPr>
        <w:pageBreakBefore w:val="0"/>
        <w:tabs>
          <w:tab w:val="left" w:pos="142"/>
        </w:tabs>
        <w:kinsoku/>
        <w:wordWrap/>
        <w:overflowPunct/>
        <w:topLinePunct w:val="0"/>
        <w:autoSpaceDE/>
        <w:autoSpaceDN/>
        <w:bidi w:val="0"/>
        <w:snapToGrid w:val="0"/>
        <w:spacing w:line="360" w:lineRule="auto"/>
        <w:ind w:firstLine="426"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7、所供应货物存在故意假冒伪劣行为的；</w:t>
      </w:r>
    </w:p>
    <w:p w14:paraId="7037A79F">
      <w:pPr>
        <w:pageBreakBefore w:val="0"/>
        <w:tabs>
          <w:tab w:val="left" w:pos="142"/>
        </w:tabs>
        <w:kinsoku/>
        <w:wordWrap/>
        <w:overflowPunct/>
        <w:topLinePunct w:val="0"/>
        <w:autoSpaceDE/>
        <w:autoSpaceDN/>
        <w:bidi w:val="0"/>
        <w:snapToGrid w:val="0"/>
        <w:spacing w:line="360" w:lineRule="auto"/>
        <w:ind w:firstLine="426"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8、因成交供应商原因导致狱内发生监管安全事故的；</w:t>
      </w:r>
    </w:p>
    <w:p w14:paraId="6B6C46BB">
      <w:pPr>
        <w:pageBreakBefore w:val="0"/>
        <w:tabs>
          <w:tab w:val="left" w:pos="142"/>
        </w:tabs>
        <w:kinsoku/>
        <w:wordWrap/>
        <w:overflowPunct/>
        <w:topLinePunct w:val="0"/>
        <w:autoSpaceDE/>
        <w:autoSpaceDN/>
        <w:bidi w:val="0"/>
        <w:snapToGrid w:val="0"/>
        <w:spacing w:line="360" w:lineRule="auto"/>
        <w:ind w:firstLine="426"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9、无法按照合同约定提供货物；</w:t>
      </w:r>
    </w:p>
    <w:p w14:paraId="60F0DC3D">
      <w:pPr>
        <w:pageBreakBefore w:val="0"/>
        <w:tabs>
          <w:tab w:val="left" w:pos="142"/>
        </w:tabs>
        <w:kinsoku/>
        <w:wordWrap/>
        <w:overflowPunct/>
        <w:topLinePunct w:val="0"/>
        <w:autoSpaceDE/>
        <w:autoSpaceDN/>
        <w:bidi w:val="0"/>
        <w:snapToGrid w:val="0"/>
        <w:spacing w:line="360" w:lineRule="auto"/>
        <w:ind w:firstLine="426" w:firstLineChars="20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10、有其他违法违纪行为的。</w:t>
      </w:r>
    </w:p>
    <w:p w14:paraId="4DC74D07">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kern w:val="0"/>
          <w:sz w:val="21"/>
          <w:szCs w:val="21"/>
        </w:rPr>
      </w:pPr>
      <w:r>
        <w:rPr>
          <w:rFonts w:hint="eastAsia" w:ascii="宋体" w:hAnsi="宋体" w:eastAsia="宋体" w:cs="宋体"/>
          <w:kern w:val="0"/>
          <w:sz w:val="21"/>
          <w:szCs w:val="21"/>
        </w:rPr>
        <w:t>（二）成交供应商必须依据国家有关法律法规要求建立健全各项管理制度。</w:t>
      </w:r>
      <w:r>
        <w:rPr>
          <w:rFonts w:hint="eastAsia" w:ascii="宋体" w:hAnsi="宋体" w:eastAsia="宋体" w:cs="宋体"/>
          <w:sz w:val="21"/>
          <w:szCs w:val="21"/>
        </w:rPr>
        <w:t>因所供货物质量原因导致发生安全事故，除解除合同外，成交供应商还需赔偿采购人救治费用及其他损失。</w:t>
      </w:r>
    </w:p>
    <w:p w14:paraId="22B87D20">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kern w:val="0"/>
          <w:sz w:val="21"/>
          <w:szCs w:val="21"/>
        </w:rPr>
      </w:pPr>
      <w:r>
        <w:rPr>
          <w:rFonts w:hint="eastAsia" w:ascii="宋体" w:hAnsi="宋体" w:eastAsia="宋体" w:cs="宋体"/>
          <w:kern w:val="0"/>
          <w:sz w:val="21"/>
          <w:szCs w:val="21"/>
        </w:rPr>
        <w:t>（三）成交供应商应按合同约定的货物供货，不得转包、分包，否则</w:t>
      </w:r>
      <w:r>
        <w:rPr>
          <w:rFonts w:hint="eastAsia" w:ascii="宋体" w:hAnsi="宋体" w:eastAsia="宋体" w:cs="宋体"/>
          <w:sz w:val="21"/>
          <w:szCs w:val="21"/>
        </w:rPr>
        <w:t>采购人</w:t>
      </w:r>
      <w:r>
        <w:rPr>
          <w:rFonts w:hint="eastAsia" w:ascii="宋体" w:hAnsi="宋体" w:eastAsia="宋体" w:cs="宋体"/>
          <w:kern w:val="0"/>
          <w:sz w:val="21"/>
          <w:szCs w:val="21"/>
        </w:rPr>
        <w:t>有权单方面终止合同，成交供应商应承担由此造成的全部经济损失。</w:t>
      </w:r>
    </w:p>
    <w:p w14:paraId="186A327A">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kern w:val="0"/>
          <w:sz w:val="21"/>
          <w:szCs w:val="21"/>
        </w:rPr>
      </w:pPr>
      <w:r>
        <w:rPr>
          <w:rFonts w:hint="eastAsia" w:ascii="宋体" w:hAnsi="宋体" w:eastAsia="宋体" w:cs="宋体"/>
          <w:kern w:val="0"/>
          <w:sz w:val="21"/>
          <w:szCs w:val="21"/>
        </w:rPr>
        <w:t>（四）成交供应商应严格按采购要求（含品种、质量等）供应，不得随意变更。对</w:t>
      </w:r>
      <w:r>
        <w:rPr>
          <w:rFonts w:hint="eastAsia" w:ascii="宋体" w:hAnsi="宋体" w:eastAsia="宋体" w:cs="宋体"/>
          <w:sz w:val="21"/>
          <w:szCs w:val="21"/>
        </w:rPr>
        <w:t>采购人</w:t>
      </w:r>
      <w:r>
        <w:rPr>
          <w:rFonts w:hint="eastAsia" w:ascii="宋体" w:hAnsi="宋体" w:eastAsia="宋体" w:cs="宋体"/>
          <w:kern w:val="0"/>
          <w:sz w:val="21"/>
          <w:szCs w:val="21"/>
        </w:rPr>
        <w:t>验收认为不符合规格要求或质量标准的商品，成交供应商应无条件退货或更换。</w:t>
      </w:r>
    </w:p>
    <w:p w14:paraId="3BDD9D94">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bCs/>
          <w:sz w:val="21"/>
          <w:szCs w:val="21"/>
        </w:rPr>
      </w:pPr>
      <w:r>
        <w:rPr>
          <w:rFonts w:hint="eastAsia" w:ascii="宋体" w:hAnsi="宋体" w:eastAsia="宋体" w:cs="宋体"/>
          <w:kern w:val="0"/>
          <w:sz w:val="21"/>
          <w:szCs w:val="21"/>
        </w:rPr>
        <w:t>（五）成交供应商须按供应商品的销售额开具国家正式发票。</w:t>
      </w:r>
    </w:p>
    <w:p w14:paraId="78FC5154">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b/>
          <w:bCs/>
          <w:sz w:val="21"/>
          <w:szCs w:val="21"/>
          <w:lang w:val="en-US" w:eastAsia="zh-CN"/>
        </w:rPr>
      </w:pPr>
      <w:r>
        <w:rPr>
          <w:rFonts w:hint="eastAsia" w:ascii="宋体" w:hAnsi="宋体" w:eastAsia="宋体" w:cs="宋体"/>
          <w:kern w:val="0"/>
          <w:sz w:val="21"/>
          <w:szCs w:val="21"/>
        </w:rPr>
        <w:t>（</w:t>
      </w:r>
      <w:r>
        <w:rPr>
          <w:rFonts w:hint="eastAsia" w:ascii="宋体" w:hAnsi="宋体" w:eastAsia="宋体" w:cs="宋体"/>
          <w:bCs/>
          <w:sz w:val="21"/>
          <w:szCs w:val="21"/>
        </w:rPr>
        <w:t>六</w:t>
      </w:r>
      <w:r>
        <w:rPr>
          <w:rFonts w:hint="eastAsia" w:ascii="宋体" w:hAnsi="宋体" w:eastAsia="宋体" w:cs="宋体"/>
          <w:kern w:val="0"/>
          <w:sz w:val="21"/>
          <w:szCs w:val="21"/>
        </w:rPr>
        <w:t>）成交供应商应保存以下资料备查：1.与生产企业的销售合同；2.生产企业的送货单和销售发票；3.与采购人的</w:t>
      </w:r>
      <w:r>
        <w:rPr>
          <w:rFonts w:hint="eastAsia" w:ascii="宋体" w:hAnsi="宋体" w:eastAsia="宋体" w:cs="宋体"/>
          <w:kern w:val="0"/>
          <w:sz w:val="21"/>
          <w:szCs w:val="21"/>
          <w:lang w:val="en-US" w:eastAsia="zh-CN"/>
        </w:rPr>
        <w:t>租赁</w:t>
      </w:r>
      <w:r>
        <w:rPr>
          <w:rFonts w:hint="eastAsia" w:ascii="宋体" w:hAnsi="宋体" w:eastAsia="宋体" w:cs="宋体"/>
          <w:kern w:val="0"/>
          <w:sz w:val="21"/>
          <w:szCs w:val="21"/>
        </w:rPr>
        <w:t>合同及送货单据。</w:t>
      </w:r>
    </w:p>
    <w:p w14:paraId="71596ECE">
      <w:pPr>
        <w:pStyle w:val="19"/>
        <w:widowControl w:val="0"/>
        <w:numPr>
          <w:ilvl w:val="0"/>
          <w:numId w:val="13"/>
        </w:numPr>
        <w:tabs>
          <w:tab w:val="left" w:pos="540"/>
        </w:tabs>
        <w:adjustRightInd w:val="0"/>
        <w:snapToGrid w:val="0"/>
        <w:spacing w:before="0" w:beforeAutospacing="0" w:after="0" w:afterAutospacing="0" w:line="360" w:lineRule="auto"/>
        <w:jc w:val="both"/>
        <w:outlineLvl w:val="1"/>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提出异议的时间和方法</w:t>
      </w:r>
    </w:p>
    <w:p w14:paraId="67FA21DF">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rPr>
        <w:t>采购人对货物及服务质量有异议的，应及时向成交供应商联系人或负责人提出书面（包括但不限于电子邮件、微信告知等数据电文）异议。</w:t>
      </w:r>
    </w:p>
    <w:p w14:paraId="0D04BD95">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w:t>
      </w:r>
      <w:r>
        <w:rPr>
          <w:rFonts w:hint="eastAsia" w:ascii="宋体" w:hAnsi="宋体" w:eastAsia="宋体" w:cs="宋体"/>
          <w:sz w:val="21"/>
          <w:szCs w:val="21"/>
        </w:rPr>
        <w:t>成交供应商在接到采购人书面异议后，应在1个工作日内负责处理并函复采购人处理情况，否则，即视为默认采购人提出的异议和处理意见。</w:t>
      </w:r>
    </w:p>
    <w:p w14:paraId="588EAE0C">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b/>
          <w:bCs/>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三</w:t>
      </w:r>
      <w:r>
        <w:rPr>
          <w:rFonts w:hint="eastAsia" w:ascii="宋体" w:hAnsi="宋体" w:eastAsia="宋体" w:cs="宋体"/>
          <w:sz w:val="21"/>
          <w:szCs w:val="21"/>
          <w:lang w:eastAsia="zh-CN"/>
        </w:rPr>
        <w:t>）</w:t>
      </w:r>
      <w:r>
        <w:rPr>
          <w:rFonts w:hint="eastAsia" w:ascii="宋体" w:hAnsi="宋体" w:eastAsia="宋体" w:cs="宋体"/>
          <w:sz w:val="21"/>
          <w:szCs w:val="21"/>
        </w:rPr>
        <w:t>成交供应商利用专业优势和信息不对称之便，以不道德的手段，故意隐瞒和掩盖自身缔约过失，违背竞价、</w:t>
      </w:r>
      <w:r>
        <w:rPr>
          <w:rFonts w:hint="eastAsia" w:ascii="宋体" w:hAnsi="宋体" w:cs="宋体"/>
          <w:sz w:val="21"/>
          <w:szCs w:val="21"/>
          <w:lang w:val="en-US" w:eastAsia="zh-CN"/>
        </w:rPr>
        <w:t>竞价</w:t>
      </w:r>
      <w:r>
        <w:rPr>
          <w:rFonts w:hint="eastAsia" w:ascii="宋体" w:hAnsi="宋体" w:eastAsia="宋体" w:cs="宋体"/>
          <w:sz w:val="21"/>
          <w:szCs w:val="21"/>
        </w:rPr>
        <w:t>承诺和未尽义务，损害了采购人的合法权益，采购人有权自知道之日起追究成交供应商的违约责任并索取赔偿。</w:t>
      </w:r>
    </w:p>
    <w:p w14:paraId="45965CEE">
      <w:pPr>
        <w:pStyle w:val="19"/>
        <w:widowControl w:val="0"/>
        <w:numPr>
          <w:ilvl w:val="0"/>
          <w:numId w:val="13"/>
        </w:numPr>
        <w:tabs>
          <w:tab w:val="left" w:pos="540"/>
        </w:tabs>
        <w:adjustRightInd w:val="0"/>
        <w:snapToGrid w:val="0"/>
        <w:spacing w:before="0" w:beforeAutospacing="0" w:after="0" w:afterAutospacing="0" w:line="360" w:lineRule="auto"/>
        <w:jc w:val="both"/>
        <w:outlineLvl w:val="1"/>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争议的解决</w:t>
      </w:r>
    </w:p>
    <w:p w14:paraId="57BF74D1">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b/>
          <w:bCs/>
          <w:sz w:val="21"/>
          <w:szCs w:val="21"/>
        </w:rPr>
      </w:pPr>
      <w:r>
        <w:rPr>
          <w:rFonts w:hint="eastAsia" w:ascii="宋体" w:hAnsi="宋体" w:eastAsia="宋体" w:cs="宋体"/>
          <w:sz w:val="21"/>
          <w:szCs w:val="21"/>
        </w:rPr>
        <w:t>本项目发生争议，由双方协商或由政府采购监督管理部门调解解决，协商或调解不成时，向采购人所在地人民法院提起诉讼。（在仲裁或诉讼期间，除有争议部分的事项外，合同其他部分仍应继续履行。）</w:t>
      </w:r>
    </w:p>
    <w:p w14:paraId="6AC63C6D">
      <w:pPr>
        <w:pStyle w:val="19"/>
        <w:widowControl w:val="0"/>
        <w:numPr>
          <w:ilvl w:val="0"/>
          <w:numId w:val="13"/>
        </w:numPr>
        <w:tabs>
          <w:tab w:val="left" w:pos="540"/>
        </w:tabs>
        <w:adjustRightInd w:val="0"/>
        <w:snapToGrid w:val="0"/>
        <w:spacing w:before="0" w:beforeAutospacing="0" w:after="0" w:afterAutospacing="0" w:line="360" w:lineRule="auto"/>
        <w:jc w:val="both"/>
        <w:outlineLvl w:val="1"/>
        <w:rPr>
          <w:rFonts w:hint="eastAsia" w:ascii="宋体" w:hAnsi="宋体" w:eastAsia="宋体" w:cs="宋体"/>
          <w:b/>
          <w:bCs/>
          <w:color w:val="000000"/>
          <w:sz w:val="21"/>
          <w:szCs w:val="21"/>
          <w:lang w:bidi="ar"/>
        </w:rPr>
      </w:pPr>
      <w:r>
        <w:rPr>
          <w:rFonts w:hint="eastAsia" w:ascii="宋体" w:hAnsi="宋体" w:eastAsia="宋体" w:cs="宋体"/>
          <w:b/>
          <w:bCs/>
          <w:color w:val="000000"/>
          <w:sz w:val="21"/>
          <w:szCs w:val="21"/>
          <w:lang w:bidi="ar"/>
        </w:rPr>
        <w:t>不可抗力</w:t>
      </w:r>
    </w:p>
    <w:p w14:paraId="674E549C">
      <w:pPr>
        <w:pageBreakBefore w:val="0"/>
        <w:kinsoku/>
        <w:wordWrap/>
        <w:overflowPunct/>
        <w:topLinePunct w:val="0"/>
        <w:autoSpaceDE/>
        <w:autoSpaceDN/>
        <w:bidi w:val="0"/>
        <w:spacing w:line="360" w:lineRule="auto"/>
        <w:ind w:firstLine="426" w:firstLineChars="200"/>
        <w:jc w:val="both"/>
        <w:rPr>
          <w:rFonts w:hint="eastAsia" w:ascii="宋体" w:hAnsi="宋体" w:eastAsia="宋体" w:cs="宋体"/>
          <w:sz w:val="21"/>
          <w:szCs w:val="21"/>
        </w:rPr>
      </w:pPr>
      <w:r>
        <w:rPr>
          <w:rFonts w:hint="eastAsia" w:ascii="宋体" w:hAnsi="宋体" w:eastAsia="宋体" w:cs="宋体"/>
          <w:sz w:val="21"/>
          <w:szCs w:val="21"/>
        </w:rPr>
        <w:t>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14:paraId="7066B1CE">
      <w:pPr>
        <w:spacing w:line="360" w:lineRule="auto"/>
        <w:ind w:firstLine="426" w:firstLineChars="200"/>
        <w:rPr>
          <w:rFonts w:hint="eastAsia" w:ascii="宋体" w:hAnsi="宋体" w:eastAsia="宋体" w:cs="宋体"/>
          <w:sz w:val="21"/>
          <w:szCs w:val="21"/>
        </w:rPr>
      </w:pPr>
    </w:p>
    <w:bookmarkEnd w:id="3"/>
    <w:p w14:paraId="6F9FF26C">
      <w:pPr>
        <w:pStyle w:val="20"/>
        <w:spacing w:before="0" w:after="0"/>
        <w:jc w:val="both"/>
        <w:rPr>
          <w:rFonts w:hint="eastAsia" w:ascii="宋体" w:hAnsi="宋体"/>
          <w:color w:val="000000"/>
          <w:lang w:val="zh-CN"/>
        </w:rPr>
        <w:sectPr>
          <w:headerReference r:id="rId4" w:type="first"/>
          <w:headerReference r:id="rId3" w:type="default"/>
          <w:pgSz w:w="11906" w:h="16838"/>
          <w:pgMar w:top="1417" w:right="1797" w:bottom="1417" w:left="1797" w:header="720" w:footer="720" w:gutter="0"/>
          <w:cols w:space="0" w:num="1"/>
          <w:titlePg/>
          <w:docGrid w:type="linesAndChars" w:linePitch="312" w:charSpace="640"/>
        </w:sectPr>
      </w:pPr>
    </w:p>
    <w:p w14:paraId="04D463C1">
      <w:pPr>
        <w:pStyle w:val="20"/>
        <w:spacing w:before="0" w:after="0"/>
        <w:rPr>
          <w:rFonts w:hint="eastAsia" w:ascii="宋体" w:hAnsi="宋体"/>
          <w:color w:val="000000"/>
          <w:lang w:val="zh-CN"/>
        </w:rPr>
      </w:pPr>
      <w:r>
        <w:rPr>
          <w:rFonts w:hint="eastAsia" w:ascii="宋体" w:hAnsi="宋体"/>
          <w:color w:val="000000"/>
          <w:lang w:val="zh-CN"/>
        </w:rPr>
        <w:t>第三章 报价附件</w:t>
      </w:r>
    </w:p>
    <w:p w14:paraId="4B92D5C3">
      <w:pPr>
        <w:pStyle w:val="3"/>
        <w:rPr>
          <w:lang w:val="zh-CN"/>
        </w:rPr>
      </w:pPr>
      <w:r>
        <w:rPr>
          <w:rFonts w:hint="eastAsia"/>
          <w:lang w:val="zh-CN"/>
        </w:rPr>
        <w:t>报 价 表</w:t>
      </w:r>
    </w:p>
    <w:tbl>
      <w:tblPr>
        <w:tblStyle w:val="24"/>
        <w:tblW w:w="852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829"/>
        <w:gridCol w:w="827"/>
        <w:gridCol w:w="1962"/>
        <w:gridCol w:w="1962"/>
        <w:gridCol w:w="945"/>
      </w:tblGrid>
      <w:tr w14:paraId="6EDEF7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8" w:hRule="atLeast"/>
          <w:jc w:val="center"/>
        </w:trPr>
        <w:tc>
          <w:tcPr>
            <w:tcW w:w="2829" w:type="dxa"/>
            <w:tcBorders>
              <w:top w:val="single" w:color="auto" w:sz="12" w:space="0"/>
              <w:left w:val="single" w:color="auto" w:sz="12" w:space="0"/>
              <w:bottom w:val="single" w:color="auto" w:sz="2" w:space="0"/>
              <w:right w:val="single" w:color="auto" w:sz="2" w:space="0"/>
            </w:tcBorders>
            <w:vAlign w:val="center"/>
          </w:tcPr>
          <w:p w14:paraId="250E7E1E">
            <w:pPr>
              <w:keepNext w:val="0"/>
              <w:keepLines w:val="0"/>
              <w:suppressLineNumbers w:val="0"/>
              <w:spacing w:before="0" w:beforeAutospacing="0" w:after="0" w:afterAutospacing="0"/>
              <w:ind w:left="0" w:right="0"/>
              <w:jc w:val="center"/>
              <w:rPr>
                <w:rFonts w:hint="eastAsia" w:asciiTheme="minorEastAsia" w:hAnsiTheme="minorEastAsia"/>
                <w:b/>
                <w:bCs/>
                <w:szCs w:val="21"/>
                <w:lang w:eastAsia="zh-CN"/>
              </w:rPr>
            </w:pPr>
            <w:r>
              <w:rPr>
                <w:rFonts w:hint="eastAsia" w:asciiTheme="minorEastAsia" w:hAnsiTheme="minorEastAsia"/>
                <w:b/>
                <w:bCs/>
                <w:szCs w:val="21"/>
                <w:lang w:eastAsia="zh-CN"/>
              </w:rPr>
              <w:t>项目名称</w:t>
            </w:r>
          </w:p>
        </w:tc>
        <w:tc>
          <w:tcPr>
            <w:tcW w:w="827" w:type="dxa"/>
            <w:tcBorders>
              <w:top w:val="single" w:color="auto" w:sz="12" w:space="0"/>
              <w:left w:val="single" w:color="auto" w:sz="2" w:space="0"/>
              <w:bottom w:val="single" w:color="auto" w:sz="2" w:space="0"/>
              <w:right w:val="single" w:color="auto" w:sz="2" w:space="0"/>
            </w:tcBorders>
            <w:vAlign w:val="center"/>
          </w:tcPr>
          <w:p w14:paraId="5D43AC91">
            <w:pPr>
              <w:keepNext w:val="0"/>
              <w:keepLines w:val="0"/>
              <w:suppressLineNumbers w:val="0"/>
              <w:spacing w:before="0" w:beforeAutospacing="0" w:after="0" w:afterAutospacing="0"/>
              <w:ind w:left="0" w:right="0"/>
              <w:jc w:val="center"/>
              <w:rPr>
                <w:rFonts w:hint="eastAsia" w:asciiTheme="minorEastAsia" w:hAnsiTheme="minorEastAsia"/>
                <w:b/>
                <w:bCs/>
                <w:szCs w:val="21"/>
                <w:lang w:eastAsia="zh-CN"/>
              </w:rPr>
            </w:pPr>
            <w:r>
              <w:rPr>
                <w:rFonts w:hint="eastAsia" w:asciiTheme="minorEastAsia" w:hAnsiTheme="minorEastAsia"/>
                <w:b/>
                <w:bCs/>
                <w:szCs w:val="21"/>
                <w:lang w:eastAsia="zh-CN"/>
              </w:rPr>
              <w:t>数量</w:t>
            </w:r>
          </w:p>
        </w:tc>
        <w:tc>
          <w:tcPr>
            <w:tcW w:w="1962" w:type="dxa"/>
            <w:tcBorders>
              <w:top w:val="single" w:color="auto" w:sz="12" w:space="0"/>
              <w:left w:val="single" w:color="auto" w:sz="2" w:space="0"/>
              <w:bottom w:val="single" w:color="auto" w:sz="2" w:space="0"/>
              <w:right w:val="single" w:color="auto" w:sz="2" w:space="0"/>
            </w:tcBorders>
            <w:vAlign w:val="center"/>
          </w:tcPr>
          <w:p w14:paraId="4BF86299">
            <w:pPr>
              <w:keepNext w:val="0"/>
              <w:keepLines w:val="0"/>
              <w:suppressLineNumbers w:val="0"/>
              <w:spacing w:before="0" w:beforeAutospacing="0" w:after="0" w:afterAutospacing="0"/>
              <w:ind w:left="0" w:right="0"/>
              <w:jc w:val="center"/>
              <w:rPr>
                <w:rFonts w:hint="default" w:asciiTheme="minorEastAsia" w:hAnsiTheme="minorEastAsia"/>
                <w:b/>
                <w:bCs/>
                <w:szCs w:val="21"/>
                <w:lang w:val="en-US" w:eastAsia="zh-CN"/>
              </w:rPr>
            </w:pPr>
            <w:r>
              <w:rPr>
                <w:rFonts w:hint="eastAsia" w:asciiTheme="minorEastAsia" w:hAnsiTheme="minorEastAsia"/>
                <w:b/>
                <w:bCs/>
                <w:szCs w:val="21"/>
                <w:lang w:val="en-US" w:eastAsia="zh-CN"/>
              </w:rPr>
              <w:t>租赁期</w:t>
            </w:r>
          </w:p>
        </w:tc>
        <w:tc>
          <w:tcPr>
            <w:tcW w:w="1962" w:type="dxa"/>
            <w:tcBorders>
              <w:top w:val="single" w:color="auto" w:sz="12" w:space="0"/>
              <w:left w:val="single" w:color="auto" w:sz="2" w:space="0"/>
              <w:bottom w:val="single" w:color="auto" w:sz="2" w:space="0"/>
              <w:right w:val="single" w:color="auto" w:sz="2" w:space="0"/>
            </w:tcBorders>
            <w:vAlign w:val="center"/>
          </w:tcPr>
          <w:p w14:paraId="01A9C455">
            <w:pPr>
              <w:keepNext w:val="0"/>
              <w:keepLines w:val="0"/>
              <w:suppressLineNumbers w:val="0"/>
              <w:spacing w:before="0" w:beforeAutospacing="0" w:after="0" w:afterAutospacing="0"/>
              <w:ind w:left="0" w:right="0"/>
              <w:jc w:val="center"/>
              <w:rPr>
                <w:rFonts w:hint="default" w:asciiTheme="minorEastAsia" w:hAnsiTheme="minorEastAsia"/>
                <w:b/>
                <w:bCs/>
                <w:szCs w:val="21"/>
                <w:lang w:val="en-US" w:eastAsia="zh-CN"/>
              </w:rPr>
            </w:pPr>
            <w:r>
              <w:rPr>
                <w:rFonts w:hint="eastAsia" w:asciiTheme="minorEastAsia" w:hAnsiTheme="minorEastAsia"/>
                <w:b/>
                <w:bCs/>
                <w:szCs w:val="21"/>
                <w:lang w:val="en-US" w:eastAsia="zh-CN"/>
              </w:rPr>
              <w:t>单价报价</w:t>
            </w:r>
          </w:p>
        </w:tc>
        <w:tc>
          <w:tcPr>
            <w:tcW w:w="945" w:type="dxa"/>
            <w:tcBorders>
              <w:top w:val="single" w:color="auto" w:sz="12" w:space="0"/>
              <w:left w:val="single" w:color="auto" w:sz="2" w:space="0"/>
              <w:bottom w:val="single" w:color="auto" w:sz="2" w:space="0"/>
              <w:right w:val="single" w:color="auto" w:sz="12" w:space="0"/>
            </w:tcBorders>
            <w:vAlign w:val="center"/>
          </w:tcPr>
          <w:p w14:paraId="28FF690D">
            <w:pPr>
              <w:keepNext w:val="0"/>
              <w:keepLines w:val="0"/>
              <w:suppressLineNumbers w:val="0"/>
              <w:spacing w:before="0" w:beforeAutospacing="0" w:after="0" w:afterAutospacing="0"/>
              <w:ind w:left="0" w:right="0"/>
              <w:jc w:val="center"/>
              <w:rPr>
                <w:rFonts w:hint="eastAsia" w:asciiTheme="minorEastAsia" w:hAnsiTheme="minorEastAsia"/>
                <w:b/>
                <w:bCs/>
                <w:szCs w:val="21"/>
                <w:lang w:eastAsia="zh-CN"/>
              </w:rPr>
            </w:pPr>
            <w:r>
              <w:rPr>
                <w:rFonts w:hint="eastAsia" w:asciiTheme="minorEastAsia" w:hAnsiTheme="minorEastAsia"/>
                <w:b/>
                <w:bCs/>
                <w:szCs w:val="21"/>
                <w:lang w:eastAsia="zh-CN"/>
              </w:rPr>
              <w:t>备注</w:t>
            </w:r>
          </w:p>
        </w:tc>
      </w:tr>
      <w:tr w14:paraId="1514A6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56" w:hRule="atLeast"/>
          <w:jc w:val="center"/>
        </w:trPr>
        <w:tc>
          <w:tcPr>
            <w:tcW w:w="2829" w:type="dxa"/>
            <w:tcBorders>
              <w:top w:val="single" w:color="auto" w:sz="2" w:space="0"/>
              <w:left w:val="single" w:color="auto" w:sz="12" w:space="0"/>
              <w:bottom w:val="single" w:color="auto" w:sz="2" w:space="0"/>
              <w:right w:val="single" w:color="auto" w:sz="2" w:space="0"/>
            </w:tcBorders>
            <w:vAlign w:val="center"/>
          </w:tcPr>
          <w:p w14:paraId="59CA8F89">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宋体" w:hAnsi="宋体"/>
                <w:color w:val="000000"/>
                <w:szCs w:val="21"/>
                <w:lang w:eastAsia="zh-CN" w:bidi="ar"/>
              </w:rPr>
              <w:t>广东省肇庆监狱无线智能微震生命探测系统租赁项目（第二次）</w:t>
            </w:r>
          </w:p>
        </w:tc>
        <w:tc>
          <w:tcPr>
            <w:tcW w:w="827" w:type="dxa"/>
            <w:tcBorders>
              <w:top w:val="single" w:color="auto" w:sz="2" w:space="0"/>
              <w:left w:val="single" w:color="auto" w:sz="2" w:space="0"/>
              <w:bottom w:val="single" w:color="auto" w:sz="2" w:space="0"/>
              <w:right w:val="single" w:color="auto" w:sz="2" w:space="0"/>
            </w:tcBorders>
            <w:vAlign w:val="center"/>
          </w:tcPr>
          <w:p w14:paraId="1CF862C4">
            <w:pPr>
              <w:keepNext w:val="0"/>
              <w:keepLines w:val="0"/>
              <w:suppressLineNumbers w:val="0"/>
              <w:spacing w:before="0" w:beforeAutospacing="0" w:after="0" w:afterAutospacing="0"/>
              <w:ind w:left="0" w:right="0"/>
              <w:jc w:val="center"/>
              <w:rPr>
                <w:rFonts w:hint="default" w:asciiTheme="minorEastAsia" w:hAnsiTheme="minorEastAsia"/>
                <w:szCs w:val="21"/>
                <w:lang w:val="en-US" w:eastAsia="zh-CN"/>
              </w:rPr>
            </w:pPr>
            <w:r>
              <w:rPr>
                <w:rFonts w:hint="eastAsia" w:asciiTheme="minorEastAsia" w:hAnsiTheme="minorEastAsia"/>
                <w:szCs w:val="21"/>
                <w:lang w:eastAsia="zh-CN"/>
              </w:rPr>
              <w:t>1</w:t>
            </w:r>
            <w:r>
              <w:rPr>
                <w:rFonts w:hint="eastAsia" w:asciiTheme="minorEastAsia" w:hAnsiTheme="minorEastAsia"/>
                <w:szCs w:val="21"/>
                <w:lang w:val="en-US" w:eastAsia="zh-CN"/>
              </w:rPr>
              <w:t>套</w:t>
            </w:r>
          </w:p>
        </w:tc>
        <w:tc>
          <w:tcPr>
            <w:tcW w:w="1962" w:type="dxa"/>
            <w:tcBorders>
              <w:top w:val="single" w:color="auto" w:sz="2" w:space="0"/>
              <w:left w:val="single" w:color="auto" w:sz="2" w:space="0"/>
              <w:bottom w:val="single" w:color="auto" w:sz="2" w:space="0"/>
              <w:right w:val="single" w:color="auto" w:sz="2" w:space="0"/>
            </w:tcBorders>
            <w:vAlign w:val="center"/>
          </w:tcPr>
          <w:p w14:paraId="7C6CEA6B">
            <w:pPr>
              <w:keepNext w:val="0"/>
              <w:keepLines w:val="0"/>
              <w:suppressLineNumbers w:val="0"/>
              <w:spacing w:before="0" w:beforeAutospacing="0" w:after="0" w:afterAutospacing="0"/>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自合同签订之日起3年</w:t>
            </w:r>
          </w:p>
        </w:tc>
        <w:tc>
          <w:tcPr>
            <w:tcW w:w="1962" w:type="dxa"/>
            <w:tcBorders>
              <w:top w:val="single" w:color="auto" w:sz="2" w:space="0"/>
              <w:left w:val="single" w:color="auto" w:sz="2" w:space="0"/>
              <w:bottom w:val="single" w:color="auto" w:sz="2" w:space="0"/>
              <w:right w:val="single" w:color="auto" w:sz="2" w:space="0"/>
            </w:tcBorders>
            <w:vAlign w:val="center"/>
          </w:tcPr>
          <w:p w14:paraId="209A93B9">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b/>
                <w:bCs/>
                <w:szCs w:val="21"/>
                <w:u w:val="single"/>
                <w:lang w:val="en-US" w:eastAsia="zh-CN"/>
              </w:rPr>
              <w:t xml:space="preserve">     </w:t>
            </w:r>
            <w:r>
              <w:rPr>
                <w:rFonts w:hint="eastAsia" w:asciiTheme="minorEastAsia" w:hAnsiTheme="minorEastAsia"/>
                <w:b w:val="0"/>
                <w:bCs w:val="0"/>
                <w:szCs w:val="21"/>
                <w:lang w:val="en-US" w:eastAsia="zh-CN"/>
              </w:rPr>
              <w:t>元/年</w:t>
            </w:r>
          </w:p>
        </w:tc>
        <w:tc>
          <w:tcPr>
            <w:tcW w:w="945" w:type="dxa"/>
            <w:tcBorders>
              <w:top w:val="single" w:color="auto" w:sz="2" w:space="0"/>
              <w:left w:val="single" w:color="auto" w:sz="2" w:space="0"/>
              <w:bottom w:val="single" w:color="auto" w:sz="2" w:space="0"/>
              <w:right w:val="single" w:color="auto" w:sz="12" w:space="0"/>
            </w:tcBorders>
            <w:vAlign w:val="center"/>
          </w:tcPr>
          <w:p w14:paraId="405DCD49">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p>
        </w:tc>
      </w:tr>
      <w:tr w14:paraId="4CD061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6" w:hRule="atLeast"/>
          <w:jc w:val="center"/>
        </w:trPr>
        <w:tc>
          <w:tcPr>
            <w:tcW w:w="8525" w:type="dxa"/>
            <w:gridSpan w:val="5"/>
            <w:tcBorders>
              <w:top w:val="single" w:color="auto" w:sz="2" w:space="0"/>
              <w:left w:val="single" w:color="auto" w:sz="12" w:space="0"/>
              <w:bottom w:val="single" w:color="auto" w:sz="2" w:space="0"/>
              <w:right w:val="single" w:color="auto" w:sz="12" w:space="0"/>
            </w:tcBorders>
            <w:vAlign w:val="center"/>
          </w:tcPr>
          <w:p w14:paraId="45CD2B06">
            <w:pPr>
              <w:keepNext w:val="0"/>
              <w:keepLines w:val="0"/>
              <w:suppressLineNumbers w:val="0"/>
              <w:spacing w:before="0" w:beforeAutospacing="0" w:after="0" w:afterAutospacing="0"/>
              <w:ind w:left="0" w:right="0"/>
              <w:jc w:val="left"/>
              <w:rPr>
                <w:rFonts w:hint="eastAsia" w:asciiTheme="minorEastAsia" w:hAnsiTheme="minorEastAsia"/>
                <w:szCs w:val="21"/>
                <w:lang w:eastAsia="zh-CN"/>
              </w:rPr>
            </w:pPr>
            <w:r>
              <w:rPr>
                <w:rFonts w:hint="eastAsia" w:asciiTheme="minorEastAsia" w:hAnsiTheme="minorEastAsia"/>
                <w:szCs w:val="21"/>
                <w:lang w:val="en-US" w:eastAsia="zh-CN"/>
              </w:rPr>
              <w:t>总报价（单价*租赁期）：</w:t>
            </w:r>
            <w:r>
              <w:rPr>
                <w:rFonts w:hint="eastAsia" w:asciiTheme="minorEastAsia" w:hAnsiTheme="minorEastAsia"/>
                <w:szCs w:val="21"/>
                <w:u w:val="single"/>
                <w:lang w:val="en-US" w:eastAsia="zh-CN"/>
              </w:rPr>
              <w:t xml:space="preserve">         </w:t>
            </w:r>
            <w:r>
              <w:rPr>
                <w:rFonts w:hint="eastAsia" w:asciiTheme="minorEastAsia" w:hAnsiTheme="minorEastAsia"/>
                <w:szCs w:val="21"/>
                <w:u w:val="none"/>
                <w:lang w:val="en-US" w:eastAsia="zh-CN"/>
              </w:rPr>
              <w:t>元</w:t>
            </w:r>
          </w:p>
        </w:tc>
      </w:tr>
    </w:tbl>
    <w:p w14:paraId="242B88A9">
      <w:pPr>
        <w:spacing w:line="500" w:lineRule="exact"/>
        <w:rPr>
          <w:rFonts w:hint="eastAsia" w:ascii="宋体" w:hAnsi="宋体"/>
          <w:b/>
          <w:color w:val="000000"/>
          <w:spacing w:val="4"/>
          <w:szCs w:val="21"/>
        </w:rPr>
      </w:pPr>
      <w:r>
        <w:rPr>
          <w:rFonts w:hint="eastAsia" w:ascii="宋体" w:hAnsi="宋体"/>
          <w:b/>
          <w:color w:val="000000"/>
          <w:spacing w:val="4"/>
          <w:szCs w:val="21"/>
        </w:rPr>
        <w:t>注：</w:t>
      </w:r>
    </w:p>
    <w:p w14:paraId="1A677528">
      <w:pPr>
        <w:pStyle w:val="19"/>
        <w:numPr>
          <w:ilvl w:val="0"/>
          <w:numId w:val="18"/>
        </w:numPr>
        <w:shd w:val="clear" w:color="auto" w:fill="FFFFFF"/>
        <w:spacing w:before="0" w:beforeAutospacing="0" w:after="0" w:afterAutospacing="0" w:line="360" w:lineRule="auto"/>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p>
    <w:p w14:paraId="733AE5AF">
      <w:pPr>
        <w:pStyle w:val="19"/>
        <w:numPr>
          <w:ilvl w:val="0"/>
          <w:numId w:val="18"/>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14:paraId="59A31432">
      <w:pPr>
        <w:pStyle w:val="19"/>
        <w:numPr>
          <w:ilvl w:val="0"/>
          <w:numId w:val="18"/>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平台上报价与报价表合计不一致的，以报价表报价（经价格核准后的价格）为准</w:t>
      </w:r>
      <w:r>
        <w:rPr>
          <w:rFonts w:hint="eastAsia"/>
          <w:b/>
          <w:bCs/>
          <w:color w:val="000000"/>
          <w:sz w:val="21"/>
          <w:szCs w:val="21"/>
          <w:shd w:val="clear" w:color="auto" w:fill="FFFFFF"/>
        </w:rPr>
        <w:t>；</w:t>
      </w:r>
    </w:p>
    <w:p w14:paraId="78AE69CF">
      <w:pPr>
        <w:pStyle w:val="19"/>
        <w:numPr>
          <w:ilvl w:val="0"/>
          <w:numId w:val="18"/>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供应商报价表必须加盖公章，否则视作无效报价；</w:t>
      </w:r>
    </w:p>
    <w:p w14:paraId="65512CC5">
      <w:pPr>
        <w:pStyle w:val="19"/>
        <w:numPr>
          <w:ilvl w:val="0"/>
          <w:numId w:val="18"/>
        </w:numPr>
        <w:shd w:val="clear" w:color="auto" w:fill="FFFFFF"/>
        <w:spacing w:before="0" w:beforeAutospacing="0" w:after="0" w:afterAutospacing="0" w:line="360" w:lineRule="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报价的小数点后保留2位有效数。</w:t>
      </w:r>
    </w:p>
    <w:p w14:paraId="4B953977">
      <w:pPr>
        <w:widowControl/>
        <w:spacing w:line="360" w:lineRule="auto"/>
        <w:ind w:left="420"/>
        <w:jc w:val="left"/>
        <w:rPr>
          <w:kern w:val="0"/>
          <w:sz w:val="20"/>
          <w:szCs w:val="20"/>
        </w:rPr>
      </w:pPr>
      <w:r>
        <w:rPr>
          <w:rFonts w:hint="eastAsia" w:ascii="宋体" w:hAnsi="宋体"/>
          <w:b/>
          <w:bCs/>
          <w:kern w:val="0"/>
        </w:rPr>
        <w:t xml:space="preserve">                                                                         </w:t>
      </w:r>
    </w:p>
    <w:p w14:paraId="2FED0B4C">
      <w:pPr>
        <w:wordWrap w:val="0"/>
        <w:spacing w:line="360" w:lineRule="auto"/>
        <w:ind w:right="218"/>
        <w:jc w:val="right"/>
        <w:rPr>
          <w:rFonts w:hint="eastAsia" w:ascii="宋体" w:hAnsi="宋体"/>
          <w:color w:val="000000"/>
          <w:spacing w:val="4"/>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14:paraId="2CCA8166">
      <w:pPr>
        <w:spacing w:line="360" w:lineRule="auto"/>
        <w:ind w:right="218"/>
        <w:jc w:val="right"/>
        <w:rPr>
          <w:rFonts w:hint="eastAsia" w:ascii="宋体" w:hAnsi="宋体"/>
          <w:color w:val="000000"/>
          <w:spacing w:val="4"/>
          <w:szCs w:val="21"/>
          <w:u w:val="single"/>
        </w:rPr>
      </w:pPr>
    </w:p>
    <w:p w14:paraId="72821F31">
      <w:pPr>
        <w:wordWrap w:val="0"/>
        <w:spacing w:line="360" w:lineRule="auto"/>
        <w:ind w:right="218"/>
        <w:jc w:val="right"/>
        <w:rPr>
          <w:rFonts w:hint="eastAsia" w:ascii="宋体" w:hAnsi="宋体"/>
          <w:color w:val="000000"/>
          <w:spacing w:val="4"/>
          <w:szCs w:val="21"/>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14:paraId="13A22BBE">
      <w:pPr>
        <w:pStyle w:val="3"/>
      </w:pPr>
      <w:r>
        <w:br w:type="page"/>
      </w:r>
      <w:r>
        <w:rPr>
          <w:rFonts w:hint="eastAsia"/>
        </w:rPr>
        <w:t>采购需求书响应声明函</w:t>
      </w:r>
    </w:p>
    <w:p w14:paraId="54025A38">
      <w:pPr>
        <w:spacing w:line="360" w:lineRule="auto"/>
        <w:rPr>
          <w:rFonts w:hint="eastAsia" w:ascii="宋体" w:hAnsi="宋体"/>
          <w:b/>
          <w:color w:val="000000"/>
          <w:szCs w:val="21"/>
        </w:rPr>
      </w:pPr>
      <w:r>
        <w:rPr>
          <w:rFonts w:hint="eastAsia" w:ascii="宋体" w:hAnsi="宋体"/>
          <w:b/>
          <w:color w:val="000000"/>
          <w:szCs w:val="21"/>
        </w:rPr>
        <w:t>致：广东省肇庆监狱、</w:t>
      </w:r>
      <w:r>
        <w:rPr>
          <w:rFonts w:hint="eastAsia" w:ascii="宋体" w:hAnsi="宋体"/>
          <w:b/>
          <w:color w:val="000000"/>
        </w:rPr>
        <w:t>采联国际招标采购集团有限公司</w:t>
      </w:r>
    </w:p>
    <w:p w14:paraId="76FB3D95">
      <w:pPr>
        <w:spacing w:line="360" w:lineRule="auto"/>
        <w:rPr>
          <w:rFonts w:hint="eastAsia" w:ascii="宋体" w:hAnsi="宋体"/>
          <w:color w:val="000000"/>
          <w:lang w:val="zh-CN"/>
        </w:rPr>
      </w:pPr>
    </w:p>
    <w:p w14:paraId="14CEDB6B">
      <w:pPr>
        <w:snapToGrid w:val="0"/>
        <w:spacing w:line="360" w:lineRule="auto"/>
        <w:ind w:firstLine="426" w:firstLineChars="200"/>
        <w:rPr>
          <w:rFonts w:hint="eastAsia" w:ascii="宋体" w:hAnsi="宋体"/>
          <w:color w:val="000000"/>
          <w:szCs w:val="21"/>
        </w:rPr>
      </w:pPr>
      <w:r>
        <w:rPr>
          <w:rFonts w:hint="eastAsia" w:ascii="宋体" w:hAnsi="宋体"/>
          <w:color w:val="000000"/>
          <w:szCs w:val="21"/>
        </w:rPr>
        <w:t>关于贵单位、贵司发布</w:t>
      </w:r>
      <w:r>
        <w:rPr>
          <w:rFonts w:hint="eastAsia" w:ascii="宋体" w:hAnsi="宋体"/>
          <w:b/>
          <w:bCs/>
          <w:color w:val="000000"/>
          <w:szCs w:val="32"/>
          <w:u w:val="single"/>
          <w:lang w:eastAsia="zh-CN"/>
        </w:rPr>
        <w:t>广东省肇庆监狱无线智能微震生命探测系统租赁项目（第二次）</w:t>
      </w:r>
      <w:r>
        <w:rPr>
          <w:rFonts w:hint="eastAsia" w:ascii="宋体" w:hAnsi="宋体"/>
          <w:color w:val="000000"/>
          <w:szCs w:val="21"/>
        </w:rPr>
        <w:t>的竞价公告，本公司（企业）愿意参加竞价活动，并作出如下声明：</w:t>
      </w:r>
    </w:p>
    <w:p w14:paraId="1A0B5CC6">
      <w:pPr>
        <w:pStyle w:val="42"/>
        <w:tabs>
          <w:tab w:val="left" w:pos="426"/>
        </w:tabs>
        <w:snapToGrid w:val="0"/>
        <w:spacing w:line="360" w:lineRule="auto"/>
        <w:ind w:firstLineChars="0"/>
        <w:rPr>
          <w:rFonts w:hint="eastAsia" w:ascii="宋体" w:hAnsi="宋体" w:cs="宋体"/>
          <w:color w:val="000000"/>
        </w:rPr>
      </w:pPr>
      <w:r>
        <w:rPr>
          <w:rFonts w:hint="eastAsia" w:ascii="宋体" w:hAnsi="宋体" w:cs="宋体"/>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7697FC13">
      <w:pPr>
        <w:pStyle w:val="42"/>
        <w:tabs>
          <w:tab w:val="left" w:pos="426"/>
        </w:tabs>
        <w:snapToGrid w:val="0"/>
        <w:spacing w:line="360" w:lineRule="auto"/>
        <w:ind w:firstLineChars="0"/>
        <w:rPr>
          <w:rFonts w:hint="eastAsia" w:ascii="宋体" w:hAnsi="宋体" w:cs="宋体"/>
          <w:color w:val="000000"/>
        </w:rPr>
      </w:pPr>
      <w:r>
        <w:rPr>
          <w:rFonts w:hint="eastAsia" w:ascii="宋体" w:hAnsi="宋体" w:cs="宋体"/>
          <w:color w:val="000000"/>
        </w:rPr>
        <w:t>本公司（企业）承诺在本次采购活动中，如有违法、违规、弄虚作假行为，所造成的损失、不良后果及法律责任，一律由我公司（企业）承担。</w:t>
      </w:r>
    </w:p>
    <w:p w14:paraId="10C601BE">
      <w:pPr>
        <w:autoSpaceDE w:val="0"/>
        <w:autoSpaceDN w:val="0"/>
        <w:adjustRightInd w:val="0"/>
        <w:spacing w:line="360" w:lineRule="auto"/>
        <w:ind w:firstLine="416" w:firstLineChars="196"/>
        <w:rPr>
          <w:rFonts w:hint="eastAsia" w:ascii="宋体" w:hAnsi="宋体"/>
          <w:b/>
          <w:color w:val="000000"/>
        </w:rPr>
      </w:pPr>
      <w:r>
        <w:rPr>
          <w:rFonts w:hint="eastAsia" w:ascii="宋体" w:hAnsi="宋体"/>
          <w:b/>
          <w:color w:val="000000"/>
        </w:rPr>
        <w:t>备注：</w:t>
      </w:r>
    </w:p>
    <w:p w14:paraId="054A1C69">
      <w:pPr>
        <w:pStyle w:val="32"/>
        <w:numPr>
          <w:ilvl w:val="0"/>
          <w:numId w:val="19"/>
        </w:numPr>
        <w:autoSpaceDE w:val="0"/>
        <w:autoSpaceDN w:val="0"/>
        <w:adjustRightInd w:val="0"/>
        <w:spacing w:line="360" w:lineRule="auto"/>
        <w:ind w:firstLineChars="0"/>
        <w:rPr>
          <w:rFonts w:hint="eastAsia" w:ascii="宋体" w:hAnsi="宋体"/>
          <w:color w:val="000000"/>
        </w:rPr>
      </w:pPr>
      <w:r>
        <w:rPr>
          <w:rFonts w:hint="eastAsia" w:ascii="宋体" w:hAnsi="宋体"/>
          <w:color w:val="000000"/>
        </w:rPr>
        <w:t>本声明函必须提供且内容不得擅自删改，否则视为响应无效。</w:t>
      </w:r>
    </w:p>
    <w:p w14:paraId="68CA9CD5">
      <w:pPr>
        <w:pStyle w:val="32"/>
        <w:numPr>
          <w:ilvl w:val="0"/>
          <w:numId w:val="19"/>
        </w:numPr>
        <w:snapToGrid w:val="0"/>
        <w:spacing w:line="360" w:lineRule="auto"/>
        <w:ind w:firstLineChars="0"/>
        <w:rPr>
          <w:rFonts w:hint="eastAsia" w:ascii="宋体" w:hAnsi="宋体"/>
          <w:color w:val="000000"/>
          <w:szCs w:val="21"/>
        </w:rPr>
      </w:pPr>
      <w:r>
        <w:rPr>
          <w:rFonts w:hint="eastAsia" w:ascii="宋体" w:hAnsi="宋体"/>
          <w:color w:val="000000"/>
          <w:szCs w:val="21"/>
        </w:rPr>
        <w:t>本声明函如有虚假或与事实不符的，作无效报价处理。</w:t>
      </w:r>
    </w:p>
    <w:p w14:paraId="1F8CB94E">
      <w:pPr>
        <w:widowControl/>
        <w:spacing w:line="360" w:lineRule="auto"/>
        <w:jc w:val="left"/>
        <w:rPr>
          <w:rFonts w:hint="eastAsia" w:ascii="宋体" w:hAnsi="宋体"/>
          <w:b/>
          <w:bCs/>
          <w:color w:val="000000"/>
          <w:kern w:val="0"/>
          <w:sz w:val="32"/>
          <w:szCs w:val="32"/>
        </w:rPr>
      </w:pPr>
    </w:p>
    <w:p w14:paraId="15195EC1">
      <w:pPr>
        <w:wordWrap w:val="0"/>
        <w:spacing w:line="360" w:lineRule="auto"/>
        <w:jc w:val="right"/>
        <w:rPr>
          <w:rFonts w:hint="eastAsia"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14:paraId="023C0DF5">
      <w:pPr>
        <w:spacing w:line="360" w:lineRule="auto"/>
        <w:ind w:firstLine="106" w:firstLineChars="50"/>
        <w:jc w:val="right"/>
        <w:rPr>
          <w:rFonts w:hint="eastAsia" w:ascii="宋体" w:hAnsi="宋体"/>
          <w:color w:val="000000"/>
          <w:szCs w:val="21"/>
          <w:u w:val="single"/>
        </w:rPr>
      </w:pPr>
    </w:p>
    <w:p w14:paraId="26A2E3D7">
      <w:pPr>
        <w:wordWrap w:val="0"/>
        <w:spacing w:line="360" w:lineRule="auto"/>
        <w:jc w:val="right"/>
        <w:rPr>
          <w:rFonts w:hint="eastAsia" w:ascii="宋体" w:hAnsi="宋体"/>
          <w:color w:val="000000"/>
          <w:szCs w:val="21"/>
          <w:u w:val="single"/>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14:paraId="40E63949">
      <w:pPr>
        <w:widowControl/>
        <w:spacing w:line="360" w:lineRule="auto"/>
        <w:jc w:val="right"/>
        <w:rPr>
          <w:rFonts w:hint="eastAsia" w:ascii="宋体" w:hAnsi="宋体"/>
          <w:b/>
          <w:bCs/>
          <w:color w:val="000000"/>
          <w:kern w:val="0"/>
          <w:sz w:val="32"/>
          <w:szCs w:val="32"/>
          <w:lang w:val="zh-CN"/>
        </w:rPr>
      </w:pPr>
    </w:p>
    <w:p w14:paraId="355F4D84">
      <w:pPr>
        <w:spacing w:line="360" w:lineRule="auto"/>
        <w:rPr>
          <w:rFonts w:hint="eastAsia" w:ascii="宋体" w:hAnsi="宋体"/>
          <w:color w:val="000000"/>
        </w:rPr>
      </w:pPr>
    </w:p>
    <w:p w14:paraId="0A5DDE7A">
      <w:pPr>
        <w:widowControl/>
        <w:spacing w:line="360" w:lineRule="auto"/>
        <w:jc w:val="left"/>
        <w:rPr>
          <w:rFonts w:hint="eastAsia" w:ascii="宋体" w:hAnsi="宋体"/>
          <w:b/>
          <w:bCs/>
          <w:color w:val="000000"/>
          <w:kern w:val="0"/>
          <w:sz w:val="32"/>
          <w:szCs w:val="32"/>
          <w:lang w:val="zh-CN"/>
        </w:rPr>
      </w:pPr>
      <w:r>
        <w:rPr>
          <w:rFonts w:hint="eastAsia" w:ascii="宋体" w:hAnsi="宋体"/>
          <w:color w:val="000000"/>
        </w:rPr>
        <w:br w:type="page"/>
      </w:r>
    </w:p>
    <w:p w14:paraId="19D5C4CD">
      <w:pPr>
        <w:pStyle w:val="3"/>
      </w:pPr>
      <w:r>
        <w:rPr>
          <w:rFonts w:hint="eastAsia"/>
        </w:rPr>
        <w:t>供应商资格声明函</w:t>
      </w:r>
    </w:p>
    <w:p w14:paraId="035A057D">
      <w:pPr>
        <w:rPr>
          <w:rFonts w:hint="eastAsia" w:ascii="宋体" w:hAnsi="宋体"/>
          <w:b/>
          <w:color w:val="000000"/>
          <w:szCs w:val="24"/>
        </w:rPr>
      </w:pPr>
    </w:p>
    <w:p w14:paraId="0B4E87E2">
      <w:pPr>
        <w:rPr>
          <w:rFonts w:hint="eastAsia" w:ascii="宋体" w:hAnsi="宋体"/>
          <w:b/>
          <w:color w:val="000000"/>
          <w:szCs w:val="24"/>
        </w:rPr>
      </w:pPr>
      <w:r>
        <w:rPr>
          <w:rFonts w:hint="eastAsia" w:ascii="宋体" w:hAnsi="宋体"/>
          <w:b/>
          <w:color w:val="000000"/>
          <w:szCs w:val="21"/>
        </w:rPr>
        <w:t>致：</w:t>
      </w:r>
      <w:r>
        <w:rPr>
          <w:rFonts w:hint="eastAsia" w:ascii="宋体" w:hAnsi="宋体"/>
          <w:b/>
          <w:color w:val="000000"/>
          <w:szCs w:val="24"/>
        </w:rPr>
        <w:t>广东省肇庆监狱、</w:t>
      </w:r>
      <w:r>
        <w:rPr>
          <w:rFonts w:hint="eastAsia" w:ascii="宋体" w:hAnsi="宋体"/>
          <w:b/>
          <w:color w:val="000000"/>
        </w:rPr>
        <w:t>采联国际招标采购集团有限公司</w:t>
      </w:r>
      <w:r>
        <w:rPr>
          <w:rFonts w:hint="eastAsia" w:ascii="宋体" w:hAnsi="宋体"/>
          <w:b/>
          <w:color w:val="000000"/>
          <w:szCs w:val="24"/>
        </w:rPr>
        <w:t>：</w:t>
      </w:r>
    </w:p>
    <w:p w14:paraId="61F329BE">
      <w:pPr>
        <w:rPr>
          <w:rFonts w:hint="eastAsia" w:ascii="宋体" w:hAnsi="宋体"/>
          <w:b/>
          <w:color w:val="000000"/>
          <w:szCs w:val="24"/>
        </w:rPr>
      </w:pPr>
    </w:p>
    <w:p w14:paraId="1F8143F2">
      <w:pPr>
        <w:snapToGrid w:val="0"/>
        <w:spacing w:line="360" w:lineRule="auto"/>
        <w:ind w:firstLine="430" w:firstLineChars="202"/>
        <w:rPr>
          <w:rFonts w:hint="eastAsia" w:ascii="宋体" w:hAnsi="宋体"/>
          <w:color w:val="000000"/>
          <w:szCs w:val="24"/>
        </w:rPr>
      </w:pPr>
      <w:r>
        <w:rPr>
          <w:rFonts w:hint="eastAsia" w:ascii="宋体" w:hAnsi="宋体"/>
          <w:color w:val="000000"/>
          <w:szCs w:val="24"/>
        </w:rPr>
        <w:t>关于贵单位、贵司发布</w:t>
      </w:r>
      <w:r>
        <w:rPr>
          <w:rFonts w:hint="eastAsia" w:ascii="宋体" w:hAnsi="宋体"/>
          <w:b/>
          <w:bCs/>
          <w:color w:val="000000"/>
          <w:szCs w:val="32"/>
          <w:u w:val="single"/>
          <w:lang w:eastAsia="zh-CN"/>
        </w:rPr>
        <w:t>广东省肇庆监狱无线智能微震生命探测系统租赁项目（第二次）</w:t>
      </w:r>
      <w:r>
        <w:rPr>
          <w:rFonts w:hint="eastAsia" w:ascii="宋体" w:hAnsi="宋体"/>
          <w:color w:val="000000"/>
          <w:szCs w:val="24"/>
        </w:rPr>
        <w:t>的竞价公告，本公司（企业）愿意参加竞价活动，并作出如下声明：</w:t>
      </w:r>
    </w:p>
    <w:p w14:paraId="0E7C38A6">
      <w:pPr>
        <w:snapToGrid w:val="0"/>
        <w:spacing w:line="360" w:lineRule="auto"/>
        <w:ind w:firstLine="426" w:firstLineChars="200"/>
        <w:rPr>
          <w:rFonts w:hint="eastAsia" w:ascii="宋体" w:hAnsi="宋体"/>
          <w:bCs/>
          <w:szCs w:val="20"/>
        </w:rPr>
      </w:pPr>
      <w:r>
        <w:rPr>
          <w:rFonts w:hint="eastAsia" w:ascii="宋体" w:hAnsi="宋体"/>
          <w:szCs w:val="24"/>
        </w:rPr>
        <w:t>一、本公司（企业）</w:t>
      </w:r>
      <w:r>
        <w:rPr>
          <w:rFonts w:hint="eastAsia" w:ascii="宋体" w:hAnsi="宋体"/>
          <w:bCs/>
          <w:szCs w:val="20"/>
        </w:rPr>
        <w:t>具备：</w:t>
      </w:r>
    </w:p>
    <w:p w14:paraId="213B10D7">
      <w:pPr>
        <w:widowControl/>
        <w:spacing w:line="360" w:lineRule="auto"/>
        <w:ind w:firstLine="360"/>
        <w:rPr>
          <w:rFonts w:hint="eastAsia" w:ascii="宋体" w:hAnsi="宋体"/>
          <w:kern w:val="0"/>
          <w:szCs w:val="21"/>
        </w:rPr>
      </w:pPr>
      <w:r>
        <w:rPr>
          <w:rFonts w:hint="eastAsia" w:ascii="宋体" w:hAnsi="宋体"/>
          <w:kern w:val="0"/>
          <w:szCs w:val="21"/>
        </w:rPr>
        <w:t>（一）具有独立承担民事责任的能力；</w:t>
      </w:r>
    </w:p>
    <w:p w14:paraId="67187CA7">
      <w:pPr>
        <w:widowControl/>
        <w:spacing w:line="360" w:lineRule="auto"/>
        <w:ind w:firstLine="360"/>
        <w:rPr>
          <w:rFonts w:hint="eastAsia" w:ascii="宋体" w:hAnsi="宋体"/>
          <w:kern w:val="0"/>
          <w:szCs w:val="21"/>
        </w:rPr>
      </w:pPr>
      <w:r>
        <w:rPr>
          <w:rFonts w:hint="eastAsia" w:ascii="宋体" w:hAnsi="宋体"/>
          <w:kern w:val="0"/>
          <w:szCs w:val="21"/>
        </w:rPr>
        <w:t>（二）具有良好的商业信誉和健全的财务会计制度；</w:t>
      </w:r>
      <w:r>
        <w:rPr>
          <w:rFonts w:ascii="宋体" w:hAnsi="宋体"/>
          <w:kern w:val="0"/>
          <w:szCs w:val="21"/>
        </w:rPr>
        <w:t xml:space="preserve"> </w:t>
      </w:r>
    </w:p>
    <w:p w14:paraId="2D557FE1">
      <w:pPr>
        <w:widowControl/>
        <w:spacing w:line="360" w:lineRule="auto"/>
        <w:ind w:firstLine="360"/>
        <w:rPr>
          <w:rFonts w:hint="eastAsia" w:ascii="宋体" w:hAnsi="宋体"/>
          <w:kern w:val="0"/>
          <w:szCs w:val="21"/>
        </w:rPr>
      </w:pPr>
      <w:r>
        <w:rPr>
          <w:rFonts w:hint="eastAsia" w:ascii="宋体" w:hAnsi="宋体"/>
          <w:kern w:val="0"/>
          <w:szCs w:val="21"/>
        </w:rPr>
        <w:t>（三）具有履行合同所必需的设备和专业技术能力；</w:t>
      </w:r>
    </w:p>
    <w:p w14:paraId="6C85F6D5">
      <w:pPr>
        <w:widowControl/>
        <w:spacing w:line="360" w:lineRule="auto"/>
        <w:ind w:firstLine="360"/>
        <w:rPr>
          <w:rFonts w:hint="eastAsia" w:ascii="宋体" w:hAnsi="宋体"/>
          <w:kern w:val="0"/>
          <w:szCs w:val="21"/>
        </w:rPr>
      </w:pPr>
      <w:r>
        <w:rPr>
          <w:rFonts w:hint="eastAsia" w:ascii="宋体" w:hAnsi="宋体"/>
          <w:kern w:val="0"/>
          <w:szCs w:val="21"/>
        </w:rPr>
        <w:t>（四）有依法缴纳税收和社会保障资金的良好记录；</w:t>
      </w:r>
    </w:p>
    <w:p w14:paraId="1C37FC4E">
      <w:pPr>
        <w:widowControl/>
        <w:spacing w:line="360" w:lineRule="auto"/>
        <w:ind w:firstLine="360"/>
        <w:rPr>
          <w:rFonts w:hint="eastAsia" w:ascii="宋体" w:hAnsi="宋体"/>
          <w:kern w:val="0"/>
          <w:szCs w:val="21"/>
        </w:rPr>
      </w:pPr>
      <w:r>
        <w:rPr>
          <w:rFonts w:hint="eastAsia" w:ascii="宋体" w:hAnsi="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kern w:val="0"/>
          <w:szCs w:val="21"/>
        </w:rPr>
        <w:t>；</w:t>
      </w:r>
    </w:p>
    <w:p w14:paraId="3A480C45">
      <w:pPr>
        <w:widowControl/>
        <w:spacing w:line="360" w:lineRule="auto"/>
        <w:ind w:firstLine="360"/>
        <w:rPr>
          <w:rFonts w:hint="eastAsia" w:ascii="宋体" w:hAnsi="宋体"/>
          <w:kern w:val="0"/>
          <w:szCs w:val="21"/>
        </w:rPr>
      </w:pPr>
      <w:r>
        <w:rPr>
          <w:rFonts w:hint="eastAsia" w:ascii="宋体" w:hAnsi="宋体"/>
          <w:kern w:val="0"/>
          <w:szCs w:val="21"/>
        </w:rPr>
        <w:t>（六）法律、行政法规规定的其他条件。</w:t>
      </w:r>
    </w:p>
    <w:p w14:paraId="334AE0A4">
      <w:pPr>
        <w:snapToGrid w:val="0"/>
        <w:spacing w:line="360" w:lineRule="auto"/>
        <w:ind w:firstLine="430" w:firstLineChars="202"/>
        <w:rPr>
          <w:rFonts w:hint="eastAsia" w:ascii="宋体" w:hAnsi="宋体"/>
          <w:szCs w:val="24"/>
        </w:rPr>
      </w:pPr>
      <w:r>
        <w:rPr>
          <w:rFonts w:hint="eastAsia" w:ascii="宋体" w:hAnsi="宋体"/>
          <w:szCs w:val="24"/>
        </w:rPr>
        <w:t>二、本公司（企业）的法定代表人或单位负责人与所参投的本项目其他供应商的法定代表人或单位负责人不为同一人且与其他供应商之间不存在直接控股、管理关系。</w:t>
      </w:r>
    </w:p>
    <w:p w14:paraId="55876456">
      <w:pPr>
        <w:snapToGrid w:val="0"/>
        <w:spacing w:line="360" w:lineRule="auto"/>
        <w:ind w:firstLine="430" w:firstLineChars="202"/>
        <w:rPr>
          <w:rFonts w:hint="eastAsia" w:ascii="宋体" w:hAnsi="宋体"/>
          <w:szCs w:val="24"/>
        </w:rPr>
      </w:pPr>
      <w:r>
        <w:rPr>
          <w:rFonts w:hint="eastAsia" w:ascii="宋体" w:hAnsi="宋体"/>
          <w:szCs w:val="24"/>
        </w:rPr>
        <w:t>三、本公司（企业）</w:t>
      </w:r>
      <w:r>
        <w:rPr>
          <w:rFonts w:ascii="宋体" w:hAnsi="宋体"/>
          <w:szCs w:val="24"/>
        </w:rPr>
        <w:t>在本项目中不转包分包且不联合竞价。</w:t>
      </w:r>
    </w:p>
    <w:p w14:paraId="40B82616">
      <w:pPr>
        <w:snapToGrid w:val="0"/>
        <w:spacing w:line="360" w:lineRule="auto"/>
        <w:ind w:firstLine="430" w:firstLineChars="202"/>
        <w:rPr>
          <w:rFonts w:hint="eastAsia" w:ascii="宋体" w:hAnsi="宋体"/>
          <w:szCs w:val="21"/>
        </w:rPr>
      </w:pPr>
      <w:r>
        <w:rPr>
          <w:rFonts w:hint="eastAsia" w:ascii="宋体" w:hAnsi="宋体"/>
          <w:szCs w:val="21"/>
        </w:rPr>
        <w:t>本公司（企业）承诺在本次采购活动中，如有违法、违规、弄虚作假行为，所造成的损失、不良后果及法律责任，一律由我公司（企业）承担。</w:t>
      </w:r>
    </w:p>
    <w:p w14:paraId="6D5BBF29">
      <w:pPr>
        <w:spacing w:line="360" w:lineRule="auto"/>
        <w:ind w:firstLine="420"/>
        <w:rPr>
          <w:rFonts w:hint="eastAsia" w:ascii="宋体" w:hAnsi="宋体"/>
          <w:szCs w:val="21"/>
        </w:rPr>
      </w:pPr>
      <w:r>
        <w:rPr>
          <w:rFonts w:hint="eastAsia" w:ascii="宋体" w:hAnsi="宋体"/>
          <w:szCs w:val="21"/>
        </w:rPr>
        <w:t>特此声明！</w:t>
      </w:r>
    </w:p>
    <w:p w14:paraId="6B5AEBA5">
      <w:pPr>
        <w:autoSpaceDE w:val="0"/>
        <w:autoSpaceDN w:val="0"/>
        <w:adjustRightInd w:val="0"/>
        <w:spacing w:line="360" w:lineRule="auto"/>
        <w:ind w:firstLine="416" w:firstLineChars="196"/>
        <w:rPr>
          <w:rFonts w:hint="eastAsia" w:ascii="宋体" w:hAnsi="宋体"/>
          <w:b/>
          <w:color w:val="000000"/>
        </w:rPr>
      </w:pPr>
      <w:r>
        <w:rPr>
          <w:rFonts w:hint="eastAsia" w:ascii="宋体" w:hAnsi="宋体"/>
          <w:b/>
          <w:color w:val="000000"/>
        </w:rPr>
        <w:t>备注：</w:t>
      </w:r>
    </w:p>
    <w:p w14:paraId="3BCA3575">
      <w:pPr>
        <w:pStyle w:val="32"/>
        <w:numPr>
          <w:ilvl w:val="0"/>
          <w:numId w:val="20"/>
        </w:numPr>
        <w:autoSpaceDE w:val="0"/>
        <w:autoSpaceDN w:val="0"/>
        <w:adjustRightInd w:val="0"/>
        <w:spacing w:line="360" w:lineRule="auto"/>
        <w:ind w:firstLineChars="0"/>
        <w:rPr>
          <w:rFonts w:hint="eastAsia" w:ascii="宋体" w:hAnsi="宋体"/>
          <w:color w:val="000000"/>
        </w:rPr>
      </w:pPr>
      <w:r>
        <w:rPr>
          <w:rFonts w:hint="eastAsia" w:ascii="宋体" w:hAnsi="宋体"/>
          <w:color w:val="000000"/>
        </w:rPr>
        <w:t>本声明函必须提供且内容不得擅自删改，否则视为响应无效。</w:t>
      </w:r>
    </w:p>
    <w:p w14:paraId="238BD5E5">
      <w:pPr>
        <w:pStyle w:val="32"/>
        <w:numPr>
          <w:ilvl w:val="0"/>
          <w:numId w:val="20"/>
        </w:numPr>
        <w:snapToGrid w:val="0"/>
        <w:spacing w:line="360" w:lineRule="auto"/>
        <w:ind w:firstLineChars="0"/>
        <w:rPr>
          <w:rFonts w:hint="eastAsia" w:ascii="宋体" w:hAnsi="宋体"/>
          <w:color w:val="000000"/>
          <w:szCs w:val="21"/>
        </w:rPr>
      </w:pPr>
      <w:r>
        <w:rPr>
          <w:rFonts w:hint="eastAsia" w:ascii="宋体" w:hAnsi="宋体"/>
          <w:color w:val="000000"/>
          <w:szCs w:val="21"/>
        </w:rPr>
        <w:t>本声明函如有虚假或与事实不符的，作无效报价处理。</w:t>
      </w:r>
    </w:p>
    <w:p w14:paraId="13474174">
      <w:pPr>
        <w:pStyle w:val="32"/>
        <w:wordWrap w:val="0"/>
        <w:spacing w:line="360" w:lineRule="auto"/>
        <w:ind w:left="1200" w:right="218" w:firstLine="0" w:firstLineChars="0"/>
        <w:jc w:val="right"/>
        <w:rPr>
          <w:rFonts w:hint="eastAsia"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hint="eastAsia" w:ascii="宋体" w:hAnsi="宋体"/>
          <w:color w:val="000000"/>
          <w:spacing w:val="4"/>
          <w:szCs w:val="21"/>
          <w:u w:val="single"/>
        </w:rPr>
        <w:t xml:space="preserve">          </w:t>
      </w:r>
    </w:p>
    <w:p w14:paraId="48EA1A14">
      <w:pPr>
        <w:pStyle w:val="32"/>
        <w:wordWrap w:val="0"/>
        <w:spacing w:line="360" w:lineRule="auto"/>
        <w:ind w:left="1200" w:right="218" w:firstLine="0" w:firstLineChars="0"/>
        <w:jc w:val="right"/>
        <w:rPr>
          <w:rFonts w:hint="eastAsia" w:ascii="宋体" w:hAnsi="宋体"/>
          <w:color w:val="000000"/>
          <w:spacing w:val="4"/>
          <w:szCs w:val="21"/>
        </w:rPr>
      </w:pPr>
      <w:r>
        <w:rPr>
          <w:rFonts w:hint="eastAsia" w:ascii="宋体" w:hAnsi="宋体"/>
          <w:color w:val="000000"/>
          <w:spacing w:val="4"/>
          <w:szCs w:val="21"/>
        </w:rPr>
        <w:t>日期：</w:t>
      </w:r>
      <w:r>
        <w:rPr>
          <w:rFonts w:hint="eastAsia" w:ascii="宋体" w:hAnsi="宋体"/>
          <w:color w:val="000000"/>
          <w:spacing w:val="4"/>
          <w:szCs w:val="21"/>
          <w:u w:val="single"/>
        </w:rPr>
        <w:t xml:space="preserve">          </w:t>
      </w:r>
    </w:p>
    <w:p w14:paraId="7A9FC7CA">
      <w:pPr>
        <w:widowControl/>
        <w:jc w:val="left"/>
        <w:rPr>
          <w:rFonts w:hint="eastAsia" w:ascii="宋体" w:hAnsi="宋体"/>
          <w:color w:val="000000"/>
        </w:rPr>
      </w:pPr>
    </w:p>
    <w:sectPr>
      <w:pgSz w:w="11906" w:h="16838"/>
      <w:pgMar w:top="1417" w:right="1797" w:bottom="1417" w:left="1797" w:header="720" w:footer="720" w:gutter="0"/>
      <w:cols w:space="0" w:num="1"/>
      <w:titlePg/>
      <w:docGrid w:type="linesAndChar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akuyoxingshu7000">
    <w:altName w:val="Segoe Print"/>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B7EE3">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1C59">
    <w:pPr>
      <w:pStyle w:val="14"/>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9ECD9"/>
    <w:multiLevelType w:val="singleLevel"/>
    <w:tmpl w:val="89D9ECD9"/>
    <w:lvl w:ilvl="0" w:tentative="0">
      <w:start w:val="1"/>
      <w:numFmt w:val="decimal"/>
      <w:lvlText w:val="(%1)"/>
      <w:lvlJc w:val="left"/>
      <w:pPr>
        <w:ind w:left="425" w:hanging="425"/>
      </w:pPr>
      <w:rPr>
        <w:rFonts w:hint="default"/>
      </w:rPr>
    </w:lvl>
  </w:abstractNum>
  <w:abstractNum w:abstractNumId="1">
    <w:nsid w:val="DB871EF4"/>
    <w:multiLevelType w:val="singleLevel"/>
    <w:tmpl w:val="DB871EF4"/>
    <w:lvl w:ilvl="0" w:tentative="0">
      <w:start w:val="6"/>
      <w:numFmt w:val="chineseCounting"/>
      <w:suff w:val="nothing"/>
      <w:lvlText w:val="（%1）"/>
      <w:lvlJc w:val="left"/>
      <w:rPr>
        <w:rFonts w:hint="eastAsia"/>
      </w:rPr>
    </w:lvl>
  </w:abstractNum>
  <w:abstractNum w:abstractNumId="2">
    <w:nsid w:val="00000001"/>
    <w:multiLevelType w:val="singleLevel"/>
    <w:tmpl w:val="00000001"/>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3">
    <w:nsid w:val="00000002"/>
    <w:multiLevelType w:val="singleLevel"/>
    <w:tmpl w:val="00000002"/>
    <w:lvl w:ilvl="0" w:tentative="0">
      <w:start w:val="1"/>
      <w:numFmt w:val="decimal"/>
      <w:lvlText w:val="(%1)"/>
      <w:lvlJc w:val="left"/>
      <w:pPr>
        <w:ind w:left="425" w:hanging="425"/>
      </w:pPr>
      <w:rPr>
        <w:rFonts w:hint="default" w:ascii="宋体" w:hAnsi="宋体" w:eastAsia="宋体" w:cs="宋体"/>
        <w:sz w:val="21"/>
        <w:szCs w:val="21"/>
      </w:rPr>
    </w:lvl>
  </w:abstractNum>
  <w:abstractNum w:abstractNumId="4">
    <w:nsid w:val="00000003"/>
    <w:multiLevelType w:val="singleLevel"/>
    <w:tmpl w:val="00000003"/>
    <w:lvl w:ilvl="0" w:tentative="0">
      <w:start w:val="1"/>
      <w:numFmt w:val="chineseCounting"/>
      <w:suff w:val="nothing"/>
      <w:lvlText w:val="（%1）"/>
      <w:lvlJc w:val="left"/>
      <w:pPr>
        <w:ind w:left="0" w:firstLine="420"/>
      </w:pPr>
      <w:rPr>
        <w:rFonts w:hint="eastAsia"/>
        <w:b/>
        <w:bCs/>
      </w:rPr>
    </w:lvl>
  </w:abstractNum>
  <w:abstractNum w:abstractNumId="5">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1"/>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06"/>
    <w:multiLevelType w:val="singleLevel"/>
    <w:tmpl w:val="00000006"/>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7">
    <w:nsid w:val="00000007"/>
    <w:multiLevelType w:val="multilevel"/>
    <w:tmpl w:val="00000007"/>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8">
    <w:nsid w:val="00000009"/>
    <w:multiLevelType w:val="singleLevel"/>
    <w:tmpl w:val="00000009"/>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9">
    <w:nsid w:val="0000000B"/>
    <w:multiLevelType w:val="singleLevel"/>
    <w:tmpl w:val="0000000B"/>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0">
    <w:nsid w:val="0000000E"/>
    <w:multiLevelType w:val="multilevel"/>
    <w:tmpl w:val="0000000E"/>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1">
    <w:nsid w:val="00000010"/>
    <w:multiLevelType w:val="singleLevel"/>
    <w:tmpl w:val="00000010"/>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2">
    <w:nsid w:val="00000011"/>
    <w:multiLevelType w:val="multilevel"/>
    <w:tmpl w:val="00000011"/>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3">
    <w:nsid w:val="00000015"/>
    <w:multiLevelType w:val="singleLevel"/>
    <w:tmpl w:val="00000015"/>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4">
    <w:nsid w:val="00000016"/>
    <w:multiLevelType w:val="multilevel"/>
    <w:tmpl w:val="00000016"/>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9260921"/>
    <w:multiLevelType w:val="singleLevel"/>
    <w:tmpl w:val="19260921"/>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6">
    <w:nsid w:val="65B81154"/>
    <w:multiLevelType w:val="multilevel"/>
    <w:tmpl w:val="65B81154"/>
    <w:lvl w:ilvl="0" w:tentative="0">
      <w:start w:val="1"/>
      <w:numFmt w:val="chineseCountingThousand"/>
      <w:suff w:val="space"/>
      <w:lvlText w:val="%1、"/>
      <w:lvlJc w:val="left"/>
      <w:pPr>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60C0596"/>
    <w:multiLevelType w:val="singleLevel"/>
    <w:tmpl w:val="660C0596"/>
    <w:lvl w:ilvl="0" w:tentative="0">
      <w:start w:val="1"/>
      <w:numFmt w:val="decimal"/>
      <w:suff w:val="nothing"/>
      <w:lvlText w:val="%1、"/>
      <w:lvlJc w:val="left"/>
    </w:lvl>
  </w:abstractNum>
  <w:abstractNum w:abstractNumId="18">
    <w:nsid w:val="6B5F4573"/>
    <w:multiLevelType w:val="singleLevel"/>
    <w:tmpl w:val="6B5F4573"/>
    <w:lvl w:ilvl="0" w:tentative="0">
      <w:start w:val="2"/>
      <w:numFmt w:val="chineseCounting"/>
      <w:suff w:val="nothing"/>
      <w:lvlText w:val="（%1）"/>
      <w:lvlJc w:val="left"/>
      <w:rPr>
        <w:rFonts w:hint="eastAsia"/>
      </w:rPr>
    </w:lvl>
  </w:abstractNum>
  <w:abstractNum w:abstractNumId="19">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4"/>
  </w:num>
  <w:num w:numId="3">
    <w:abstractNumId w:val="4"/>
  </w:num>
  <w:num w:numId="4">
    <w:abstractNumId w:val="11"/>
  </w:num>
  <w:num w:numId="5">
    <w:abstractNumId w:val="2"/>
  </w:num>
  <w:num w:numId="6">
    <w:abstractNumId w:val="6"/>
  </w:num>
  <w:num w:numId="7">
    <w:abstractNumId w:val="8"/>
  </w:num>
  <w:num w:numId="8">
    <w:abstractNumId w:val="13"/>
  </w:num>
  <w:num w:numId="9">
    <w:abstractNumId w:val="9"/>
  </w:num>
  <w:num w:numId="10">
    <w:abstractNumId w:val="3"/>
  </w:num>
  <w:num w:numId="11">
    <w:abstractNumId w:val="15"/>
  </w:num>
  <w:num w:numId="12">
    <w:abstractNumId w:val="7"/>
  </w:num>
  <w:num w:numId="13">
    <w:abstractNumId w:val="16"/>
  </w:num>
  <w:num w:numId="14">
    <w:abstractNumId w:val="18"/>
  </w:num>
  <w:num w:numId="15">
    <w:abstractNumId w:val="17"/>
  </w:num>
  <w:num w:numId="16">
    <w:abstractNumId w:val="0"/>
  </w:num>
  <w:num w:numId="17">
    <w:abstractNumId w:val="1"/>
  </w:num>
  <w:num w:numId="18">
    <w:abstractNumId w:val="19"/>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3YzY5MzAyNjVjZjgyYmZhNzY3NjFiOWFkNThiZmIifQ=="/>
  </w:docVars>
  <w:rsids>
    <w:rsidRoot w:val="528F18A4"/>
    <w:rsid w:val="00000D44"/>
    <w:rsid w:val="000018C2"/>
    <w:rsid w:val="00007615"/>
    <w:rsid w:val="00007D55"/>
    <w:rsid w:val="00010BD7"/>
    <w:rsid w:val="000163F0"/>
    <w:rsid w:val="00021183"/>
    <w:rsid w:val="00026973"/>
    <w:rsid w:val="000357F9"/>
    <w:rsid w:val="000368B2"/>
    <w:rsid w:val="0004156B"/>
    <w:rsid w:val="00061A65"/>
    <w:rsid w:val="00064ED3"/>
    <w:rsid w:val="000652BC"/>
    <w:rsid w:val="000704CE"/>
    <w:rsid w:val="00093850"/>
    <w:rsid w:val="000A4D17"/>
    <w:rsid w:val="000A4FC5"/>
    <w:rsid w:val="000B24CA"/>
    <w:rsid w:val="000B4E64"/>
    <w:rsid w:val="000C3B05"/>
    <w:rsid w:val="000D77A8"/>
    <w:rsid w:val="000E3AB1"/>
    <w:rsid w:val="000E6902"/>
    <w:rsid w:val="00102F3E"/>
    <w:rsid w:val="00104AAE"/>
    <w:rsid w:val="00117CD6"/>
    <w:rsid w:val="00120C1E"/>
    <w:rsid w:val="001276F0"/>
    <w:rsid w:val="001331DD"/>
    <w:rsid w:val="00135164"/>
    <w:rsid w:val="00141FCC"/>
    <w:rsid w:val="001462EF"/>
    <w:rsid w:val="001501EF"/>
    <w:rsid w:val="00154365"/>
    <w:rsid w:val="00154B2B"/>
    <w:rsid w:val="00154BFF"/>
    <w:rsid w:val="00154FF7"/>
    <w:rsid w:val="00155218"/>
    <w:rsid w:val="00156670"/>
    <w:rsid w:val="00161258"/>
    <w:rsid w:val="001723F0"/>
    <w:rsid w:val="00172A27"/>
    <w:rsid w:val="00172E02"/>
    <w:rsid w:val="00181FF7"/>
    <w:rsid w:val="00186039"/>
    <w:rsid w:val="00190C6E"/>
    <w:rsid w:val="001913D2"/>
    <w:rsid w:val="00197F57"/>
    <w:rsid w:val="001A5D6F"/>
    <w:rsid w:val="001A6F4C"/>
    <w:rsid w:val="001B3A99"/>
    <w:rsid w:val="001C27A6"/>
    <w:rsid w:val="001C4EFF"/>
    <w:rsid w:val="001D5EA6"/>
    <w:rsid w:val="001D7372"/>
    <w:rsid w:val="001E0379"/>
    <w:rsid w:val="001F2B06"/>
    <w:rsid w:val="00206D14"/>
    <w:rsid w:val="002221A8"/>
    <w:rsid w:val="00232DC3"/>
    <w:rsid w:val="00234E01"/>
    <w:rsid w:val="002376A9"/>
    <w:rsid w:val="00247368"/>
    <w:rsid w:val="002524EC"/>
    <w:rsid w:val="0025351A"/>
    <w:rsid w:val="00262613"/>
    <w:rsid w:val="00265EBD"/>
    <w:rsid w:val="00271C1C"/>
    <w:rsid w:val="00273482"/>
    <w:rsid w:val="00286571"/>
    <w:rsid w:val="002961EA"/>
    <w:rsid w:val="002B6234"/>
    <w:rsid w:val="002D044C"/>
    <w:rsid w:val="002D46D1"/>
    <w:rsid w:val="002D5DDF"/>
    <w:rsid w:val="002D62A6"/>
    <w:rsid w:val="002E0A58"/>
    <w:rsid w:val="002E10EE"/>
    <w:rsid w:val="002E1B3D"/>
    <w:rsid w:val="002F17C3"/>
    <w:rsid w:val="002F2EA1"/>
    <w:rsid w:val="002F55B8"/>
    <w:rsid w:val="002F7A77"/>
    <w:rsid w:val="00300618"/>
    <w:rsid w:val="00302C9A"/>
    <w:rsid w:val="003170A8"/>
    <w:rsid w:val="00322106"/>
    <w:rsid w:val="00326D3C"/>
    <w:rsid w:val="0033023F"/>
    <w:rsid w:val="00332AFF"/>
    <w:rsid w:val="00337C04"/>
    <w:rsid w:val="003407FE"/>
    <w:rsid w:val="00342AD0"/>
    <w:rsid w:val="00353A08"/>
    <w:rsid w:val="00356231"/>
    <w:rsid w:val="00367A3B"/>
    <w:rsid w:val="00371FD4"/>
    <w:rsid w:val="00374C08"/>
    <w:rsid w:val="00381F3C"/>
    <w:rsid w:val="00382368"/>
    <w:rsid w:val="003A17C5"/>
    <w:rsid w:val="003A4170"/>
    <w:rsid w:val="003A6EAE"/>
    <w:rsid w:val="003B0BE4"/>
    <w:rsid w:val="003B1BDB"/>
    <w:rsid w:val="003B3F1F"/>
    <w:rsid w:val="003C3F22"/>
    <w:rsid w:val="003D487C"/>
    <w:rsid w:val="003D4C82"/>
    <w:rsid w:val="003E20A6"/>
    <w:rsid w:val="003F0A0E"/>
    <w:rsid w:val="003F6D70"/>
    <w:rsid w:val="00412760"/>
    <w:rsid w:val="00413EFC"/>
    <w:rsid w:val="0041441D"/>
    <w:rsid w:val="00417451"/>
    <w:rsid w:val="00426444"/>
    <w:rsid w:val="00427209"/>
    <w:rsid w:val="004331B1"/>
    <w:rsid w:val="004335CA"/>
    <w:rsid w:val="00442801"/>
    <w:rsid w:val="004568FB"/>
    <w:rsid w:val="00471EAD"/>
    <w:rsid w:val="0047623E"/>
    <w:rsid w:val="00487BD3"/>
    <w:rsid w:val="004A24D5"/>
    <w:rsid w:val="004C2F12"/>
    <w:rsid w:val="004D4B8E"/>
    <w:rsid w:val="004E2034"/>
    <w:rsid w:val="004E293C"/>
    <w:rsid w:val="004E48B7"/>
    <w:rsid w:val="004E6130"/>
    <w:rsid w:val="004F18A3"/>
    <w:rsid w:val="005015DA"/>
    <w:rsid w:val="00502BD9"/>
    <w:rsid w:val="00502ED8"/>
    <w:rsid w:val="005135F9"/>
    <w:rsid w:val="00521132"/>
    <w:rsid w:val="0052453D"/>
    <w:rsid w:val="0052500F"/>
    <w:rsid w:val="00530992"/>
    <w:rsid w:val="00531992"/>
    <w:rsid w:val="005410AF"/>
    <w:rsid w:val="00550BD7"/>
    <w:rsid w:val="00551D76"/>
    <w:rsid w:val="00562B6B"/>
    <w:rsid w:val="0056621D"/>
    <w:rsid w:val="0057595C"/>
    <w:rsid w:val="0057678F"/>
    <w:rsid w:val="00577D29"/>
    <w:rsid w:val="00581635"/>
    <w:rsid w:val="00593636"/>
    <w:rsid w:val="005A248F"/>
    <w:rsid w:val="005A266E"/>
    <w:rsid w:val="005A31F8"/>
    <w:rsid w:val="005A47B9"/>
    <w:rsid w:val="005B509F"/>
    <w:rsid w:val="005B5F0A"/>
    <w:rsid w:val="005C11AA"/>
    <w:rsid w:val="005C533E"/>
    <w:rsid w:val="005C54EC"/>
    <w:rsid w:val="005C74B2"/>
    <w:rsid w:val="005D6048"/>
    <w:rsid w:val="005D6822"/>
    <w:rsid w:val="005E187C"/>
    <w:rsid w:val="005E61F1"/>
    <w:rsid w:val="005F0513"/>
    <w:rsid w:val="005F18DD"/>
    <w:rsid w:val="006044DF"/>
    <w:rsid w:val="00606284"/>
    <w:rsid w:val="00611AA8"/>
    <w:rsid w:val="006131F5"/>
    <w:rsid w:val="00615DAA"/>
    <w:rsid w:val="00620AF3"/>
    <w:rsid w:val="00620C18"/>
    <w:rsid w:val="00632F59"/>
    <w:rsid w:val="0063322B"/>
    <w:rsid w:val="0063394B"/>
    <w:rsid w:val="00643553"/>
    <w:rsid w:val="0064538A"/>
    <w:rsid w:val="006536F2"/>
    <w:rsid w:val="0065765F"/>
    <w:rsid w:val="00657B1D"/>
    <w:rsid w:val="00664772"/>
    <w:rsid w:val="0068034A"/>
    <w:rsid w:val="00681622"/>
    <w:rsid w:val="006821A9"/>
    <w:rsid w:val="00695449"/>
    <w:rsid w:val="00697F53"/>
    <w:rsid w:val="006A0E6C"/>
    <w:rsid w:val="006A3E3F"/>
    <w:rsid w:val="006A7E0C"/>
    <w:rsid w:val="006B6450"/>
    <w:rsid w:val="006B7A9A"/>
    <w:rsid w:val="006C2438"/>
    <w:rsid w:val="006C26DA"/>
    <w:rsid w:val="006D0351"/>
    <w:rsid w:val="006D35E5"/>
    <w:rsid w:val="006E186A"/>
    <w:rsid w:val="006E6554"/>
    <w:rsid w:val="006E691A"/>
    <w:rsid w:val="007005F8"/>
    <w:rsid w:val="0070256B"/>
    <w:rsid w:val="007204B7"/>
    <w:rsid w:val="00724207"/>
    <w:rsid w:val="007245F0"/>
    <w:rsid w:val="0072784B"/>
    <w:rsid w:val="00732355"/>
    <w:rsid w:val="007326A6"/>
    <w:rsid w:val="00735C49"/>
    <w:rsid w:val="00735CF1"/>
    <w:rsid w:val="007373EE"/>
    <w:rsid w:val="007374AD"/>
    <w:rsid w:val="0074099D"/>
    <w:rsid w:val="00742401"/>
    <w:rsid w:val="00742F7B"/>
    <w:rsid w:val="00744A48"/>
    <w:rsid w:val="00746D1E"/>
    <w:rsid w:val="007475F6"/>
    <w:rsid w:val="007504E3"/>
    <w:rsid w:val="00750D94"/>
    <w:rsid w:val="00750E37"/>
    <w:rsid w:val="00752DAE"/>
    <w:rsid w:val="00753305"/>
    <w:rsid w:val="007536AC"/>
    <w:rsid w:val="00753BB5"/>
    <w:rsid w:val="007549D2"/>
    <w:rsid w:val="007557B5"/>
    <w:rsid w:val="007566BA"/>
    <w:rsid w:val="00756B86"/>
    <w:rsid w:val="007603B9"/>
    <w:rsid w:val="007631BA"/>
    <w:rsid w:val="007748F0"/>
    <w:rsid w:val="00780F05"/>
    <w:rsid w:val="007A0C99"/>
    <w:rsid w:val="007A34C3"/>
    <w:rsid w:val="007A3709"/>
    <w:rsid w:val="007A6359"/>
    <w:rsid w:val="007A63EE"/>
    <w:rsid w:val="007B2A19"/>
    <w:rsid w:val="007B3E44"/>
    <w:rsid w:val="007C0042"/>
    <w:rsid w:val="007C0FA8"/>
    <w:rsid w:val="007C2036"/>
    <w:rsid w:val="007C25E1"/>
    <w:rsid w:val="007C4C5B"/>
    <w:rsid w:val="007C7107"/>
    <w:rsid w:val="007D488A"/>
    <w:rsid w:val="007F25C8"/>
    <w:rsid w:val="0080616B"/>
    <w:rsid w:val="00807F9F"/>
    <w:rsid w:val="00811983"/>
    <w:rsid w:val="00817F01"/>
    <w:rsid w:val="00823C2D"/>
    <w:rsid w:val="00824B55"/>
    <w:rsid w:val="00832331"/>
    <w:rsid w:val="00833656"/>
    <w:rsid w:val="00834860"/>
    <w:rsid w:val="008515FB"/>
    <w:rsid w:val="008566F7"/>
    <w:rsid w:val="0088032C"/>
    <w:rsid w:val="00887BC4"/>
    <w:rsid w:val="008B0829"/>
    <w:rsid w:val="008B2C1A"/>
    <w:rsid w:val="008B3D22"/>
    <w:rsid w:val="008B3EF6"/>
    <w:rsid w:val="008C1693"/>
    <w:rsid w:val="008D1E43"/>
    <w:rsid w:val="008D7DD1"/>
    <w:rsid w:val="008F382E"/>
    <w:rsid w:val="00904437"/>
    <w:rsid w:val="00905BA3"/>
    <w:rsid w:val="00905BEB"/>
    <w:rsid w:val="00907834"/>
    <w:rsid w:val="00913D6F"/>
    <w:rsid w:val="00915168"/>
    <w:rsid w:val="00915B2E"/>
    <w:rsid w:val="0091684C"/>
    <w:rsid w:val="00927955"/>
    <w:rsid w:val="00930032"/>
    <w:rsid w:val="00932504"/>
    <w:rsid w:val="00944180"/>
    <w:rsid w:val="00962BA6"/>
    <w:rsid w:val="00975410"/>
    <w:rsid w:val="009801FB"/>
    <w:rsid w:val="0098088B"/>
    <w:rsid w:val="00986AD3"/>
    <w:rsid w:val="009A0ACE"/>
    <w:rsid w:val="009A42D0"/>
    <w:rsid w:val="009B1DF4"/>
    <w:rsid w:val="009B3A66"/>
    <w:rsid w:val="009C0A6E"/>
    <w:rsid w:val="009C47E9"/>
    <w:rsid w:val="009C5015"/>
    <w:rsid w:val="009D0CD5"/>
    <w:rsid w:val="009D45CD"/>
    <w:rsid w:val="009D75EB"/>
    <w:rsid w:val="009F059F"/>
    <w:rsid w:val="00A30267"/>
    <w:rsid w:val="00A311B2"/>
    <w:rsid w:val="00A32B3C"/>
    <w:rsid w:val="00A356B5"/>
    <w:rsid w:val="00A41892"/>
    <w:rsid w:val="00A42A0F"/>
    <w:rsid w:val="00A50D8A"/>
    <w:rsid w:val="00A65C0F"/>
    <w:rsid w:val="00A72224"/>
    <w:rsid w:val="00A76482"/>
    <w:rsid w:val="00A817AB"/>
    <w:rsid w:val="00A83882"/>
    <w:rsid w:val="00A85C37"/>
    <w:rsid w:val="00A91DCF"/>
    <w:rsid w:val="00A92A18"/>
    <w:rsid w:val="00AA172D"/>
    <w:rsid w:val="00AA179F"/>
    <w:rsid w:val="00AB1FB4"/>
    <w:rsid w:val="00AB6E1F"/>
    <w:rsid w:val="00AB774D"/>
    <w:rsid w:val="00AC15E6"/>
    <w:rsid w:val="00AC34FC"/>
    <w:rsid w:val="00AC5A8D"/>
    <w:rsid w:val="00AC5BC5"/>
    <w:rsid w:val="00AD44E8"/>
    <w:rsid w:val="00AD6D1F"/>
    <w:rsid w:val="00AE1FFE"/>
    <w:rsid w:val="00AE442B"/>
    <w:rsid w:val="00AF12C0"/>
    <w:rsid w:val="00B104D1"/>
    <w:rsid w:val="00B12375"/>
    <w:rsid w:val="00B206A0"/>
    <w:rsid w:val="00B252DA"/>
    <w:rsid w:val="00B271CD"/>
    <w:rsid w:val="00B317BE"/>
    <w:rsid w:val="00B322D3"/>
    <w:rsid w:val="00B32BDE"/>
    <w:rsid w:val="00B33B50"/>
    <w:rsid w:val="00B33D04"/>
    <w:rsid w:val="00B35FCE"/>
    <w:rsid w:val="00B53687"/>
    <w:rsid w:val="00B6645D"/>
    <w:rsid w:val="00B67CD5"/>
    <w:rsid w:val="00B75A57"/>
    <w:rsid w:val="00B82FC0"/>
    <w:rsid w:val="00B92B2F"/>
    <w:rsid w:val="00B95F2C"/>
    <w:rsid w:val="00BA0F28"/>
    <w:rsid w:val="00BB25D8"/>
    <w:rsid w:val="00BB54A9"/>
    <w:rsid w:val="00BC2469"/>
    <w:rsid w:val="00BC2F19"/>
    <w:rsid w:val="00BC340C"/>
    <w:rsid w:val="00BC3986"/>
    <w:rsid w:val="00BE3545"/>
    <w:rsid w:val="00BE5574"/>
    <w:rsid w:val="00BE58B2"/>
    <w:rsid w:val="00BE7B3F"/>
    <w:rsid w:val="00BF1BE3"/>
    <w:rsid w:val="00BF58D4"/>
    <w:rsid w:val="00BF5AA5"/>
    <w:rsid w:val="00C132B2"/>
    <w:rsid w:val="00C13455"/>
    <w:rsid w:val="00C43FD3"/>
    <w:rsid w:val="00C4419A"/>
    <w:rsid w:val="00C47463"/>
    <w:rsid w:val="00C47767"/>
    <w:rsid w:val="00C515DB"/>
    <w:rsid w:val="00C5327C"/>
    <w:rsid w:val="00C61472"/>
    <w:rsid w:val="00C61D2E"/>
    <w:rsid w:val="00C63058"/>
    <w:rsid w:val="00C6574A"/>
    <w:rsid w:val="00C65FF5"/>
    <w:rsid w:val="00C754FD"/>
    <w:rsid w:val="00C87692"/>
    <w:rsid w:val="00C97535"/>
    <w:rsid w:val="00CA0106"/>
    <w:rsid w:val="00CA6264"/>
    <w:rsid w:val="00CB6B43"/>
    <w:rsid w:val="00CC12FE"/>
    <w:rsid w:val="00CC3F1A"/>
    <w:rsid w:val="00CC4B21"/>
    <w:rsid w:val="00CC77CA"/>
    <w:rsid w:val="00CD0635"/>
    <w:rsid w:val="00CD30D8"/>
    <w:rsid w:val="00CD31B3"/>
    <w:rsid w:val="00CD5796"/>
    <w:rsid w:val="00CD596E"/>
    <w:rsid w:val="00CF3682"/>
    <w:rsid w:val="00D3333E"/>
    <w:rsid w:val="00D350D3"/>
    <w:rsid w:val="00D37621"/>
    <w:rsid w:val="00D413BE"/>
    <w:rsid w:val="00D41AE9"/>
    <w:rsid w:val="00D528EA"/>
    <w:rsid w:val="00D5473C"/>
    <w:rsid w:val="00D566EF"/>
    <w:rsid w:val="00D61531"/>
    <w:rsid w:val="00D61E96"/>
    <w:rsid w:val="00D634D5"/>
    <w:rsid w:val="00D6745F"/>
    <w:rsid w:val="00D76CC9"/>
    <w:rsid w:val="00D77282"/>
    <w:rsid w:val="00D77FE4"/>
    <w:rsid w:val="00D84AD3"/>
    <w:rsid w:val="00D951FB"/>
    <w:rsid w:val="00D97AB3"/>
    <w:rsid w:val="00DB0424"/>
    <w:rsid w:val="00DB0ADC"/>
    <w:rsid w:val="00DB1A00"/>
    <w:rsid w:val="00DB576E"/>
    <w:rsid w:val="00DD275E"/>
    <w:rsid w:val="00DE06E6"/>
    <w:rsid w:val="00DF0397"/>
    <w:rsid w:val="00DF0CA1"/>
    <w:rsid w:val="00E0025F"/>
    <w:rsid w:val="00E009F7"/>
    <w:rsid w:val="00E00E72"/>
    <w:rsid w:val="00E03BDB"/>
    <w:rsid w:val="00E10DD1"/>
    <w:rsid w:val="00E15287"/>
    <w:rsid w:val="00E21ADB"/>
    <w:rsid w:val="00E24F07"/>
    <w:rsid w:val="00E3122D"/>
    <w:rsid w:val="00E36AB4"/>
    <w:rsid w:val="00E47E81"/>
    <w:rsid w:val="00E504E4"/>
    <w:rsid w:val="00E50E27"/>
    <w:rsid w:val="00E536B8"/>
    <w:rsid w:val="00E57F16"/>
    <w:rsid w:val="00E60C49"/>
    <w:rsid w:val="00E64F27"/>
    <w:rsid w:val="00E65A53"/>
    <w:rsid w:val="00E77088"/>
    <w:rsid w:val="00E901FD"/>
    <w:rsid w:val="00E95384"/>
    <w:rsid w:val="00EA11ED"/>
    <w:rsid w:val="00EA1D6F"/>
    <w:rsid w:val="00EA3A44"/>
    <w:rsid w:val="00EC6489"/>
    <w:rsid w:val="00ED5A89"/>
    <w:rsid w:val="00EF02B4"/>
    <w:rsid w:val="00EF38D6"/>
    <w:rsid w:val="00F11891"/>
    <w:rsid w:val="00F325C5"/>
    <w:rsid w:val="00F33CA9"/>
    <w:rsid w:val="00F34CA7"/>
    <w:rsid w:val="00F36B0A"/>
    <w:rsid w:val="00F412D6"/>
    <w:rsid w:val="00F454DB"/>
    <w:rsid w:val="00F462B4"/>
    <w:rsid w:val="00F46D31"/>
    <w:rsid w:val="00F50BA0"/>
    <w:rsid w:val="00F550F8"/>
    <w:rsid w:val="00F60267"/>
    <w:rsid w:val="00F65E1D"/>
    <w:rsid w:val="00F67E6F"/>
    <w:rsid w:val="00F70661"/>
    <w:rsid w:val="00F75D7D"/>
    <w:rsid w:val="00F76483"/>
    <w:rsid w:val="00F76EAF"/>
    <w:rsid w:val="00F8603B"/>
    <w:rsid w:val="00F94812"/>
    <w:rsid w:val="00F95005"/>
    <w:rsid w:val="00F967C2"/>
    <w:rsid w:val="00FA1F5A"/>
    <w:rsid w:val="00FB43CD"/>
    <w:rsid w:val="00FC080D"/>
    <w:rsid w:val="00FD4515"/>
    <w:rsid w:val="00FD5864"/>
    <w:rsid w:val="00FD66D5"/>
    <w:rsid w:val="00FE6C64"/>
    <w:rsid w:val="00FE727B"/>
    <w:rsid w:val="00FF6320"/>
    <w:rsid w:val="02CD7A41"/>
    <w:rsid w:val="0B92379D"/>
    <w:rsid w:val="0C402416"/>
    <w:rsid w:val="148853C3"/>
    <w:rsid w:val="14D94420"/>
    <w:rsid w:val="180A3E84"/>
    <w:rsid w:val="1F610FFA"/>
    <w:rsid w:val="21035511"/>
    <w:rsid w:val="238B3100"/>
    <w:rsid w:val="24B0459D"/>
    <w:rsid w:val="27CB464F"/>
    <w:rsid w:val="2AF81B9A"/>
    <w:rsid w:val="2E1257EC"/>
    <w:rsid w:val="2F1B2655"/>
    <w:rsid w:val="33DA23A9"/>
    <w:rsid w:val="34276F09"/>
    <w:rsid w:val="34442C49"/>
    <w:rsid w:val="34CF5F34"/>
    <w:rsid w:val="3C4F6F1A"/>
    <w:rsid w:val="41041E84"/>
    <w:rsid w:val="421E2D67"/>
    <w:rsid w:val="44C606A1"/>
    <w:rsid w:val="4A785E5F"/>
    <w:rsid w:val="4BCC01DC"/>
    <w:rsid w:val="4C4D6142"/>
    <w:rsid w:val="5053183E"/>
    <w:rsid w:val="511E2FB3"/>
    <w:rsid w:val="51C851A2"/>
    <w:rsid w:val="51F73589"/>
    <w:rsid w:val="527B6176"/>
    <w:rsid w:val="528F18A4"/>
    <w:rsid w:val="52A8161F"/>
    <w:rsid w:val="569E48CE"/>
    <w:rsid w:val="58BB6D90"/>
    <w:rsid w:val="614B4158"/>
    <w:rsid w:val="61A145D6"/>
    <w:rsid w:val="62A229B2"/>
    <w:rsid w:val="6A99123A"/>
    <w:rsid w:val="6AF60891"/>
    <w:rsid w:val="6C2C57B1"/>
    <w:rsid w:val="6CCD5207"/>
    <w:rsid w:val="6D495E7D"/>
    <w:rsid w:val="70C8515A"/>
    <w:rsid w:val="73240D44"/>
    <w:rsid w:val="736D5908"/>
    <w:rsid w:val="74715661"/>
    <w:rsid w:val="74FE1A10"/>
    <w:rsid w:val="75FF4CB8"/>
    <w:rsid w:val="76CE17C6"/>
    <w:rsid w:val="77DC609D"/>
    <w:rsid w:val="7A7E73AF"/>
    <w:rsid w:val="7C04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57"/>
    <w:qFormat/>
    <w:uiPriority w:val="9"/>
    <w:pPr>
      <w:keepNext/>
      <w:keepLines/>
      <w:spacing w:before="340" w:after="330" w:line="576" w:lineRule="auto"/>
      <w:outlineLvl w:val="0"/>
    </w:pPr>
    <w:rPr>
      <w:rFonts w:ascii="Times New Roman" w:hAnsi="Times New Roman" w:cs="Times New Roman"/>
      <w:b/>
      <w:bCs/>
      <w:kern w:val="44"/>
      <w:sz w:val="44"/>
      <w:szCs w:val="44"/>
    </w:rPr>
  </w:style>
  <w:style w:type="paragraph" w:styleId="3">
    <w:name w:val="heading 2"/>
    <w:basedOn w:val="1"/>
    <w:next w:val="1"/>
    <w:link w:val="87"/>
    <w:unhideWhenUsed/>
    <w:qFormat/>
    <w:uiPriority w:val="0"/>
    <w:pPr>
      <w:keepNext/>
      <w:keepLines/>
      <w:spacing w:before="260" w:after="260" w:line="416" w:lineRule="auto"/>
      <w:jc w:val="center"/>
      <w:outlineLvl w:val="1"/>
    </w:pPr>
    <w:rPr>
      <w:rFonts w:ascii="Arial" w:hAnsi="Arial" w:eastAsia="黑体" w:cs="Times New Roman"/>
      <w:bCs/>
      <w:sz w:val="32"/>
      <w:szCs w:val="32"/>
    </w:rPr>
  </w:style>
  <w:style w:type="paragraph" w:styleId="4">
    <w:name w:val="heading 3"/>
    <w:basedOn w:val="1"/>
    <w:next w:val="1"/>
    <w:link w:val="63"/>
    <w:semiHidden/>
    <w:unhideWhenUsed/>
    <w:qFormat/>
    <w:uiPriority w:val="9"/>
    <w:pPr>
      <w:keepNext/>
      <w:keepLines/>
      <w:spacing w:before="260" w:after="260" w:line="413" w:lineRule="auto"/>
      <w:outlineLvl w:val="2"/>
    </w:pPr>
    <w:rPr>
      <w:b/>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60" w:lineRule="auto"/>
      <w:ind w:firstLine="420" w:firstLineChars="200"/>
    </w:pPr>
    <w:rPr>
      <w:rFonts w:ascii="Times New Roman" w:hAnsi="Times New Roman" w:cs="Times New Roman"/>
      <w:szCs w:val="24"/>
    </w:rPr>
  </w:style>
  <w:style w:type="paragraph" w:styleId="6">
    <w:name w:val="annotation text"/>
    <w:basedOn w:val="1"/>
    <w:link w:val="88"/>
    <w:qFormat/>
    <w:uiPriority w:val="99"/>
    <w:pPr>
      <w:jc w:val="left"/>
    </w:pPr>
    <w:rPr>
      <w:rFonts w:ascii="Times New Roman" w:hAnsi="Times New Roman" w:cs="Times New Roman"/>
      <w:szCs w:val="24"/>
    </w:rPr>
  </w:style>
  <w:style w:type="paragraph" w:styleId="7">
    <w:name w:val="Body Text"/>
    <w:basedOn w:val="1"/>
    <w:link w:val="93"/>
    <w:qFormat/>
    <w:uiPriority w:val="99"/>
    <w:pPr>
      <w:spacing w:after="120"/>
    </w:pPr>
  </w:style>
  <w:style w:type="paragraph" w:styleId="8">
    <w:name w:val="Body Text Indent"/>
    <w:basedOn w:val="1"/>
    <w:next w:val="9"/>
    <w:link w:val="90"/>
    <w:qFormat/>
    <w:uiPriority w:val="99"/>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link w:val="62"/>
    <w:qFormat/>
    <w:uiPriority w:val="0"/>
    <w:rPr>
      <w:rFonts w:ascii="宋体" w:hAnsi="Courier New" w:cs="Times New Roman"/>
      <w:kern w:val="0"/>
      <w:sz w:val="20"/>
      <w:szCs w:val="21"/>
    </w:rPr>
  </w:style>
  <w:style w:type="paragraph" w:styleId="11">
    <w:name w:val="Date"/>
    <w:basedOn w:val="1"/>
    <w:next w:val="1"/>
    <w:link w:val="110"/>
    <w:semiHidden/>
    <w:unhideWhenUsed/>
    <w:qFormat/>
    <w:uiPriority w:val="99"/>
    <w:pPr>
      <w:ind w:left="100" w:leftChars="2500"/>
    </w:pPr>
  </w:style>
  <w:style w:type="paragraph" w:styleId="12">
    <w:name w:val="Balloon Text"/>
    <w:basedOn w:val="1"/>
    <w:link w:val="34"/>
    <w:qFormat/>
    <w:uiPriority w:val="99"/>
    <w:rPr>
      <w:sz w:val="18"/>
      <w:szCs w:val="18"/>
    </w:rPr>
  </w:style>
  <w:style w:type="paragraph" w:styleId="13">
    <w:name w:val="footer"/>
    <w:basedOn w:val="1"/>
    <w:link w:val="58"/>
    <w:qFormat/>
    <w:uiPriority w:val="0"/>
    <w:pPr>
      <w:tabs>
        <w:tab w:val="center" w:pos="4153"/>
        <w:tab w:val="right" w:pos="8306"/>
      </w:tabs>
      <w:snapToGrid w:val="0"/>
      <w:jc w:val="left"/>
    </w:pPr>
    <w:rPr>
      <w:sz w:val="18"/>
      <w:szCs w:val="18"/>
    </w:rPr>
  </w:style>
  <w:style w:type="paragraph" w:styleId="14">
    <w:name w:val="header"/>
    <w:basedOn w:val="1"/>
    <w:link w:val="103"/>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line="400" w:lineRule="exact"/>
      <w:jc w:val="center"/>
    </w:pPr>
    <w:rPr>
      <w:rFonts w:hint="eastAsia" w:ascii="宋体" w:hAnsi="宋体" w:cs="Times New Roman"/>
      <w:b/>
      <w:bCs/>
    </w:rPr>
  </w:style>
  <w:style w:type="paragraph" w:styleId="16">
    <w:name w:val="footnote text"/>
    <w:basedOn w:val="1"/>
    <w:link w:val="75"/>
    <w:qFormat/>
    <w:uiPriority w:val="99"/>
    <w:pPr>
      <w:snapToGrid w:val="0"/>
      <w:jc w:val="left"/>
    </w:pPr>
    <w:rPr>
      <w:sz w:val="18"/>
    </w:rPr>
  </w:style>
  <w:style w:type="paragraph" w:styleId="17">
    <w:name w:val="Body Text Indent 3"/>
    <w:basedOn w:val="1"/>
    <w:link w:val="95"/>
    <w:qFormat/>
    <w:uiPriority w:val="99"/>
    <w:pPr>
      <w:spacing w:after="120"/>
      <w:ind w:left="420" w:leftChars="200"/>
    </w:pPr>
    <w:rPr>
      <w:rFonts w:hint="eastAsia" w:ascii="等线" w:hAnsi="等线" w:eastAsia="等线" w:cs="Times New Roman"/>
      <w:sz w:val="16"/>
      <w:szCs w:val="16"/>
    </w:rPr>
  </w:style>
  <w:style w:type="paragraph" w:styleId="18">
    <w:name w:val="toc 2"/>
    <w:basedOn w:val="1"/>
    <w:next w:val="1"/>
    <w:qFormat/>
    <w:uiPriority w:val="39"/>
    <w:pPr>
      <w:tabs>
        <w:tab w:val="left" w:pos="1080"/>
        <w:tab w:val="right" w:leader="dot" w:pos="9540"/>
        <w:tab w:val="right" w:leader="dot" w:pos="9628"/>
      </w:tabs>
      <w:ind w:left="150" w:leftChars="150" w:right="-34" w:rightChars="-34"/>
      <w:jc w:val="left"/>
    </w:pPr>
    <w:rPr>
      <w:rFonts w:ascii="Times New Roman" w:hAnsi="Times New Roman" w:cs="Times New Roman"/>
      <w:smallCaps/>
      <w:sz w:val="20"/>
    </w:rPr>
  </w:style>
  <w:style w:type="paragraph" w:styleId="19">
    <w:name w:val="Normal (Web)"/>
    <w:basedOn w:val="1"/>
    <w:link w:val="89"/>
    <w:qFormat/>
    <w:uiPriority w:val="99"/>
    <w:pPr>
      <w:widowControl/>
      <w:spacing w:before="100" w:beforeAutospacing="1" w:after="100" w:afterAutospacing="1"/>
      <w:jc w:val="left"/>
    </w:pPr>
    <w:rPr>
      <w:rFonts w:ascii="宋体" w:hAnsi="宋体"/>
      <w:kern w:val="0"/>
      <w:sz w:val="24"/>
      <w:szCs w:val="24"/>
    </w:rPr>
  </w:style>
  <w:style w:type="paragraph" w:styleId="20">
    <w:name w:val="Title"/>
    <w:basedOn w:val="1"/>
    <w:next w:val="1"/>
    <w:link w:val="74"/>
    <w:qFormat/>
    <w:uiPriority w:val="0"/>
    <w:pPr>
      <w:spacing w:before="240" w:after="60"/>
      <w:jc w:val="center"/>
      <w:outlineLvl w:val="0"/>
    </w:pPr>
    <w:rPr>
      <w:rFonts w:ascii="Cambria" w:hAnsi="Cambria"/>
      <w:b/>
      <w:bCs/>
      <w:sz w:val="32"/>
      <w:szCs w:val="32"/>
    </w:rPr>
  </w:style>
  <w:style w:type="paragraph" w:styleId="21">
    <w:name w:val="annotation subject"/>
    <w:basedOn w:val="6"/>
    <w:next w:val="6"/>
    <w:link w:val="35"/>
    <w:qFormat/>
    <w:uiPriority w:val="99"/>
    <w:rPr>
      <w:b/>
      <w:bCs/>
    </w:rPr>
  </w:style>
  <w:style w:type="paragraph" w:styleId="22">
    <w:name w:val="Body Text First Indent"/>
    <w:basedOn w:val="7"/>
    <w:link w:val="96"/>
    <w:qFormat/>
    <w:uiPriority w:val="0"/>
    <w:pPr>
      <w:ind w:firstLine="420" w:firstLineChars="100"/>
    </w:pPr>
    <w:rPr>
      <w:rFonts w:cs="Times New Roman"/>
    </w:rPr>
  </w:style>
  <w:style w:type="paragraph" w:styleId="23">
    <w:name w:val="Body Text First Indent 2"/>
    <w:basedOn w:val="8"/>
    <w:next w:val="1"/>
    <w:link w:val="49"/>
    <w:qFormat/>
    <w:uiPriority w:val="0"/>
    <w:pPr>
      <w:ind w:firstLine="420" w:firstLineChars="20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page number"/>
    <w:basedOn w:val="26"/>
    <w:qFormat/>
    <w:uiPriority w:val="0"/>
  </w:style>
  <w:style w:type="character" w:styleId="29">
    <w:name w:val="annotation reference"/>
    <w:basedOn w:val="26"/>
    <w:qFormat/>
    <w:uiPriority w:val="99"/>
    <w:rPr>
      <w:sz w:val="21"/>
      <w:szCs w:val="21"/>
    </w:rPr>
  </w:style>
  <w:style w:type="character" w:customStyle="1" w:styleId="30">
    <w:name w:val="页眉 字符"/>
    <w:basedOn w:val="26"/>
    <w:qFormat/>
    <w:uiPriority w:val="0"/>
    <w:rPr>
      <w:sz w:val="18"/>
      <w:szCs w:val="18"/>
    </w:rPr>
  </w:style>
  <w:style w:type="character" w:customStyle="1" w:styleId="31">
    <w:name w:val="页脚 字符"/>
    <w:basedOn w:val="26"/>
    <w:qFormat/>
    <w:uiPriority w:val="0"/>
    <w:rPr>
      <w:sz w:val="18"/>
      <w:szCs w:val="18"/>
    </w:rPr>
  </w:style>
  <w:style w:type="paragraph" w:styleId="32">
    <w:name w:val="List Paragraph"/>
    <w:basedOn w:val="1"/>
    <w:link w:val="40"/>
    <w:qFormat/>
    <w:uiPriority w:val="34"/>
    <w:pPr>
      <w:ind w:firstLine="420" w:firstLineChars="200"/>
    </w:pPr>
  </w:style>
  <w:style w:type="character" w:customStyle="1" w:styleId="33">
    <w:name w:val="批注文字 字符"/>
    <w:basedOn w:val="26"/>
    <w:qFormat/>
    <w:uiPriority w:val="99"/>
  </w:style>
  <w:style w:type="character" w:customStyle="1" w:styleId="34">
    <w:name w:val="批注框文本 字符"/>
    <w:basedOn w:val="26"/>
    <w:link w:val="12"/>
    <w:qFormat/>
    <w:uiPriority w:val="99"/>
    <w:rPr>
      <w:sz w:val="18"/>
      <w:szCs w:val="18"/>
    </w:rPr>
  </w:style>
  <w:style w:type="character" w:customStyle="1" w:styleId="35">
    <w:name w:val="批注主题 字符"/>
    <w:basedOn w:val="33"/>
    <w:link w:val="21"/>
    <w:qFormat/>
    <w:uiPriority w:val="99"/>
    <w:rPr>
      <w:b/>
      <w:bCs/>
    </w:rPr>
  </w:style>
  <w:style w:type="character" w:customStyle="1" w:styleId="36">
    <w:name w:val="标题 Char"/>
    <w:basedOn w:val="26"/>
    <w:qFormat/>
    <w:uiPriority w:val="0"/>
    <w:rPr>
      <w:rFonts w:ascii="Cambria" w:hAnsi="Cambria" w:eastAsia="宋体" w:cs="宋体"/>
      <w:b/>
      <w:bCs/>
      <w:sz w:val="32"/>
      <w:szCs w:val="32"/>
    </w:rPr>
  </w:style>
  <w:style w:type="character" w:customStyle="1" w:styleId="37">
    <w:name w:val="标题 2 字符"/>
    <w:basedOn w:val="26"/>
    <w:qFormat/>
    <w:uiPriority w:val="0"/>
    <w:rPr>
      <w:rFonts w:ascii="Arial" w:hAnsi="Arial" w:eastAsia="黑体" w:cs="Times New Roman"/>
      <w:b/>
      <w:bCs/>
      <w:sz w:val="32"/>
      <w:szCs w:val="32"/>
    </w:rPr>
  </w:style>
  <w:style w:type="character" w:customStyle="1" w:styleId="38">
    <w:name w:val="纯文本 字符"/>
    <w:basedOn w:val="26"/>
    <w:qFormat/>
    <w:uiPriority w:val="0"/>
    <w:rPr>
      <w:rFonts w:ascii="宋体" w:hAnsi="Courier New" w:eastAsia="宋体" w:cs="Times New Roman"/>
      <w:kern w:val="0"/>
      <w:sz w:val="20"/>
      <w:szCs w:val="21"/>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32"/>
    <w:qFormat/>
    <w:uiPriority w:val="99"/>
  </w:style>
  <w:style w:type="paragraph" w:customStyle="1" w:styleId="41">
    <w:name w:val="样式4"/>
    <w:basedOn w:val="1"/>
    <w:qFormat/>
    <w:uiPriority w:val="0"/>
    <w:pPr>
      <w:numPr>
        <w:ilvl w:val="3"/>
        <w:numId w:val="1"/>
      </w:numPr>
      <w:tabs>
        <w:tab w:val="clear" w:pos="851"/>
      </w:tabs>
    </w:pPr>
    <w:rPr>
      <w:rFonts w:ascii="Times New Roman" w:hAnsi="Times New Roman" w:cs="Times New Roman"/>
      <w:szCs w:val="24"/>
    </w:rPr>
  </w:style>
  <w:style w:type="paragraph" w:customStyle="1" w:styleId="42">
    <w:name w:val="列出段落1"/>
    <w:basedOn w:val="1"/>
    <w:link w:val="43"/>
    <w:qFormat/>
    <w:uiPriority w:val="99"/>
    <w:pPr>
      <w:ind w:firstLine="420" w:firstLineChars="200"/>
    </w:pPr>
    <w:rPr>
      <w:rFonts w:ascii="Times New Roman" w:hAnsi="Times New Roman" w:cs="Times New Roman"/>
      <w:szCs w:val="21"/>
    </w:rPr>
  </w:style>
  <w:style w:type="character" w:customStyle="1" w:styleId="43">
    <w:name w:val="List Paragraph Char"/>
    <w:link w:val="42"/>
    <w:qFormat/>
    <w:uiPriority w:val="99"/>
    <w:rPr>
      <w:rFonts w:ascii="Times New Roman" w:hAnsi="Times New Roman" w:eastAsia="宋体" w:cs="Times New Roman"/>
      <w:szCs w:val="21"/>
    </w:rPr>
  </w:style>
  <w:style w:type="paragraph" w:customStyle="1" w:styleId="44">
    <w:name w:val="_Style 121"/>
    <w:basedOn w:val="1"/>
    <w:next w:val="32"/>
    <w:qFormat/>
    <w:uiPriority w:val="34"/>
    <w:pPr>
      <w:ind w:firstLine="420" w:firstLineChars="200"/>
    </w:pPr>
    <w:rPr>
      <w:rFonts w:cs="Times New Roman"/>
    </w:rPr>
  </w:style>
  <w:style w:type="paragraph" w:customStyle="1" w:styleId="45">
    <w:name w:val="start-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6">
    <w:name w:val="start-font-3"/>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47">
    <w:name w:val="纯文本 Char1"/>
    <w:qFormat/>
    <w:uiPriority w:val="0"/>
    <w:rPr>
      <w:rFonts w:ascii="宋体" w:hAnsi="Courier New" w:eastAsia="宋体" w:cs="Times New Roman"/>
      <w:kern w:val="0"/>
      <w:sz w:val="20"/>
      <w:szCs w:val="21"/>
    </w:rPr>
  </w:style>
  <w:style w:type="character" w:customStyle="1" w:styleId="48">
    <w:name w:val="正文文本缩进 字符"/>
    <w:basedOn w:val="26"/>
    <w:qFormat/>
    <w:uiPriority w:val="99"/>
    <w:rPr>
      <w:kern w:val="2"/>
      <w:sz w:val="21"/>
      <w:szCs w:val="24"/>
    </w:rPr>
  </w:style>
  <w:style w:type="character" w:customStyle="1" w:styleId="49">
    <w:name w:val="正文文本首行缩进 2 字符"/>
    <w:basedOn w:val="48"/>
    <w:link w:val="23"/>
    <w:qFormat/>
    <w:uiPriority w:val="99"/>
    <w:rPr>
      <w:kern w:val="2"/>
      <w:sz w:val="21"/>
      <w:szCs w:val="24"/>
    </w:rPr>
  </w:style>
  <w:style w:type="paragraph" w:customStyle="1" w:styleId="50">
    <w:name w:val="msolistparagraph"/>
    <w:basedOn w:val="1"/>
    <w:qFormat/>
    <w:uiPriority w:val="0"/>
    <w:pPr>
      <w:ind w:firstLine="420" w:firstLineChars="200"/>
    </w:pPr>
    <w:rPr>
      <w:rFonts w:ascii="Times New Roman" w:hAnsi="Times New Roman" w:cs="Times New Roman"/>
    </w:rPr>
  </w:style>
  <w:style w:type="character" w:customStyle="1" w:styleId="51">
    <w:name w:val="列出段落 Char"/>
    <w:basedOn w:val="26"/>
    <w:qFormat/>
    <w:uiPriority w:val="34"/>
    <w:rPr>
      <w:kern w:val="2"/>
      <w:sz w:val="21"/>
      <w:szCs w:val="22"/>
    </w:rPr>
  </w:style>
  <w:style w:type="character" w:customStyle="1" w:styleId="52">
    <w:name w:val="正文文本 字符"/>
    <w:basedOn w:val="26"/>
    <w:qFormat/>
    <w:uiPriority w:val="99"/>
    <w:rPr>
      <w:rFonts w:hint="default" w:ascii="Calibri" w:hAnsi="Calibri" w:eastAsia="宋体" w:cs="Times New Roman"/>
      <w:kern w:val="2"/>
      <w:sz w:val="21"/>
      <w:szCs w:val="22"/>
    </w:rPr>
  </w:style>
  <w:style w:type="character" w:customStyle="1" w:styleId="53">
    <w:name w:val="纯文本 Char"/>
    <w:basedOn w:val="26"/>
    <w:qFormat/>
    <w:uiPriority w:val="0"/>
    <w:rPr>
      <w:rFonts w:hint="eastAsia" w:ascii="宋体" w:hAnsi="Courier New" w:eastAsia="宋体" w:cs="宋体"/>
      <w:szCs w:val="21"/>
    </w:rPr>
  </w:style>
  <w:style w:type="paragraph" w:customStyle="1" w:styleId="54">
    <w:name w:val="_Style 116"/>
    <w:basedOn w:val="1"/>
    <w:next w:val="32"/>
    <w:qFormat/>
    <w:uiPriority w:val="99"/>
    <w:pPr>
      <w:ind w:firstLine="420" w:firstLineChars="200"/>
    </w:pPr>
    <w:rPr>
      <w:kern w:val="0"/>
      <w:sz w:val="20"/>
      <w:szCs w:val="20"/>
    </w:rPr>
  </w:style>
  <w:style w:type="character" w:customStyle="1" w:styleId="55">
    <w:name w:val="普通(网站) 字符"/>
    <w:basedOn w:val="26"/>
    <w:qFormat/>
    <w:uiPriority w:val="0"/>
    <w:rPr>
      <w:rFonts w:hint="eastAsia" w:ascii="宋体" w:hAnsi="宋体" w:eastAsia="宋体" w:cs="宋体"/>
      <w:sz w:val="24"/>
      <w:szCs w:val="24"/>
    </w:rPr>
  </w:style>
  <w:style w:type="character" w:customStyle="1" w:styleId="56">
    <w:name w:val="批注文字 Char"/>
    <w:basedOn w:val="26"/>
    <w:qFormat/>
    <w:uiPriority w:val="0"/>
    <w:rPr>
      <w:kern w:val="2"/>
      <w:sz w:val="21"/>
      <w:szCs w:val="24"/>
    </w:rPr>
  </w:style>
  <w:style w:type="character" w:customStyle="1" w:styleId="57">
    <w:name w:val="标题 1 字符"/>
    <w:basedOn w:val="26"/>
    <w:link w:val="2"/>
    <w:qFormat/>
    <w:uiPriority w:val="0"/>
    <w:rPr>
      <w:b/>
      <w:bCs/>
      <w:kern w:val="44"/>
      <w:sz w:val="44"/>
      <w:szCs w:val="44"/>
    </w:rPr>
  </w:style>
  <w:style w:type="character" w:customStyle="1" w:styleId="58">
    <w:name w:val="页脚 字符1"/>
    <w:basedOn w:val="26"/>
    <w:link w:val="13"/>
    <w:qFormat/>
    <w:uiPriority w:val="0"/>
    <w:rPr>
      <w:kern w:val="2"/>
      <w:sz w:val="18"/>
      <w:szCs w:val="18"/>
    </w:rPr>
  </w:style>
  <w:style w:type="character" w:customStyle="1" w:styleId="59">
    <w:name w:val="页眉 字符1"/>
    <w:basedOn w:val="26"/>
    <w:qFormat/>
    <w:uiPriority w:val="0"/>
    <w:rPr>
      <w:kern w:val="2"/>
      <w:sz w:val="18"/>
      <w:szCs w:val="18"/>
    </w:rPr>
  </w:style>
  <w:style w:type="character" w:customStyle="1" w:styleId="60">
    <w:name w:val="标题 2 字符1"/>
    <w:basedOn w:val="26"/>
    <w:qFormat/>
    <w:uiPriority w:val="0"/>
    <w:rPr>
      <w:rFonts w:hint="default" w:ascii="Cambria" w:hAnsi="Cambria" w:eastAsia="Cambria" w:cs="Cambria"/>
      <w:b/>
      <w:bCs/>
      <w:kern w:val="2"/>
      <w:sz w:val="32"/>
      <w:szCs w:val="32"/>
    </w:rPr>
  </w:style>
  <w:style w:type="character" w:customStyle="1" w:styleId="61">
    <w:name w:val="列出段落 Char1"/>
    <w:basedOn w:val="26"/>
    <w:qFormat/>
    <w:uiPriority w:val="0"/>
    <w:rPr>
      <w:rFonts w:hint="default" w:ascii="Calibri" w:hAnsi="Calibri" w:cs="Calibri"/>
      <w:kern w:val="2"/>
      <w:sz w:val="21"/>
      <w:szCs w:val="22"/>
    </w:rPr>
  </w:style>
  <w:style w:type="character" w:customStyle="1" w:styleId="62">
    <w:name w:val="纯文本 字符2"/>
    <w:basedOn w:val="26"/>
    <w:link w:val="10"/>
    <w:qFormat/>
    <w:uiPriority w:val="0"/>
    <w:rPr>
      <w:rFonts w:hint="eastAsia" w:ascii="宋体" w:hAnsi="Courier New" w:eastAsia="宋体" w:cs="宋体"/>
      <w:szCs w:val="21"/>
      <w:lang w:val="zh-CN"/>
    </w:rPr>
  </w:style>
  <w:style w:type="character" w:customStyle="1" w:styleId="63">
    <w:name w:val="标题 3 字符"/>
    <w:basedOn w:val="26"/>
    <w:link w:val="4"/>
    <w:qFormat/>
    <w:uiPriority w:val="9"/>
    <w:rPr>
      <w:rFonts w:ascii="Calibri" w:hAnsi="Calibri" w:eastAsia="宋体" w:cs="宋体"/>
      <w:b/>
      <w:kern w:val="2"/>
      <w:sz w:val="21"/>
      <w:szCs w:val="21"/>
    </w:rPr>
  </w:style>
  <w:style w:type="paragraph" w:customStyle="1" w:styleId="64">
    <w:name w:val="列表段落2"/>
    <w:basedOn w:val="1"/>
    <w:qFormat/>
    <w:uiPriority w:val="0"/>
    <w:pPr>
      <w:ind w:firstLine="420" w:firstLineChars="200"/>
    </w:pPr>
    <w:rPr>
      <w:rFonts w:ascii="Times New Roman" w:hAnsi="Times New Roman" w:cs="Times New Roman"/>
      <w:szCs w:val="24"/>
    </w:rPr>
  </w:style>
  <w:style w:type="character" w:customStyle="1" w:styleId="65">
    <w:name w:val="正文文本首行缩进 字符"/>
    <w:qFormat/>
    <w:uiPriority w:val="0"/>
    <w:rPr>
      <w:rFonts w:hint="default" w:ascii="Calibri" w:hAnsi="Calibri" w:eastAsia="宋体" w:cs="Times New Roman"/>
      <w:kern w:val="2"/>
      <w:sz w:val="21"/>
      <w:szCs w:val="22"/>
    </w:rPr>
  </w:style>
  <w:style w:type="paragraph" w:customStyle="1" w:styleId="66">
    <w:name w:val="p0"/>
    <w:basedOn w:val="1"/>
    <w:qFormat/>
    <w:uiPriority w:val="0"/>
    <w:pPr>
      <w:widowControl/>
    </w:pPr>
    <w:rPr>
      <w:rFonts w:cs="Times New Roman"/>
      <w:kern w:val="0"/>
      <w:szCs w:val="21"/>
    </w:rPr>
  </w:style>
  <w:style w:type="character" w:customStyle="1" w:styleId="67">
    <w:name w:val="font51"/>
    <w:basedOn w:val="26"/>
    <w:qFormat/>
    <w:uiPriority w:val="0"/>
    <w:rPr>
      <w:rFonts w:hint="eastAsia" w:ascii="宋体" w:hAnsi="宋体" w:eastAsia="宋体" w:cs="宋体"/>
      <w:color w:val="000000"/>
      <w:sz w:val="21"/>
      <w:szCs w:val="21"/>
      <w:u w:val="none"/>
    </w:rPr>
  </w:style>
  <w:style w:type="character" w:customStyle="1" w:styleId="68">
    <w:name w:val="列表段落 字符2"/>
    <w:basedOn w:val="26"/>
    <w:qFormat/>
    <w:uiPriority w:val="0"/>
  </w:style>
  <w:style w:type="character" w:customStyle="1" w:styleId="69">
    <w:name w:val="NormalCharacter"/>
    <w:basedOn w:val="26"/>
    <w:qFormat/>
    <w:uiPriority w:val="0"/>
  </w:style>
  <w:style w:type="character" w:customStyle="1" w:styleId="70">
    <w:name w:val="font31"/>
    <w:basedOn w:val="26"/>
    <w:qFormat/>
    <w:uiPriority w:val="0"/>
    <w:rPr>
      <w:rFonts w:hint="default" w:ascii="Times New Roman" w:hAnsi="Times New Roman" w:cs="Times New Roman"/>
      <w:color w:val="000000"/>
      <w:sz w:val="21"/>
      <w:szCs w:val="21"/>
      <w:u w:val="none"/>
    </w:rPr>
  </w:style>
  <w:style w:type="character" w:customStyle="1" w:styleId="71">
    <w:name w:val="font21"/>
    <w:basedOn w:val="26"/>
    <w:qFormat/>
    <w:uiPriority w:val="0"/>
    <w:rPr>
      <w:rFonts w:hint="eastAsia" w:ascii="宋体" w:hAnsi="宋体" w:eastAsia="宋体" w:cs="宋体"/>
      <w:color w:val="000000"/>
      <w:sz w:val="24"/>
      <w:szCs w:val="24"/>
      <w:u w:val="none"/>
    </w:rPr>
  </w:style>
  <w:style w:type="character" w:customStyle="1" w:styleId="72">
    <w:name w:val="font11"/>
    <w:basedOn w:val="26"/>
    <w:qFormat/>
    <w:uiPriority w:val="0"/>
    <w:rPr>
      <w:rFonts w:hint="eastAsia" w:ascii="宋体" w:hAnsi="宋体" w:eastAsia="宋体" w:cs="宋体"/>
      <w:color w:val="000000"/>
      <w:sz w:val="21"/>
      <w:szCs w:val="21"/>
      <w:u w:val="none"/>
    </w:rPr>
  </w:style>
  <w:style w:type="character" w:customStyle="1" w:styleId="73">
    <w:name w:val="纯文本 字符1"/>
    <w:basedOn w:val="26"/>
    <w:qFormat/>
    <w:uiPriority w:val="0"/>
    <w:rPr>
      <w:rFonts w:hint="eastAsia" w:ascii="宋体" w:hAnsi="Courier New" w:eastAsia="宋体" w:cs="宋体"/>
      <w:szCs w:val="21"/>
    </w:rPr>
  </w:style>
  <w:style w:type="character" w:customStyle="1" w:styleId="74">
    <w:name w:val="标题 字符"/>
    <w:basedOn w:val="26"/>
    <w:link w:val="20"/>
    <w:qFormat/>
    <w:uiPriority w:val="0"/>
    <w:rPr>
      <w:rFonts w:hint="default" w:ascii="Cambria" w:hAnsi="Cambria" w:eastAsia="Cambria" w:cs="Times New Roman"/>
      <w:b/>
      <w:bCs/>
      <w:kern w:val="2"/>
      <w:sz w:val="32"/>
      <w:szCs w:val="32"/>
    </w:rPr>
  </w:style>
  <w:style w:type="character" w:customStyle="1" w:styleId="75">
    <w:name w:val="脚注文本 字符"/>
    <w:basedOn w:val="26"/>
    <w:link w:val="16"/>
    <w:qFormat/>
    <w:uiPriority w:val="0"/>
    <w:rPr>
      <w:rFonts w:hint="eastAsia" w:ascii="宋体" w:hAnsi="宋体" w:eastAsia="宋体" w:cs="Times New Roman"/>
      <w:kern w:val="2"/>
      <w:sz w:val="24"/>
      <w:szCs w:val="18"/>
    </w:rPr>
  </w:style>
  <w:style w:type="character" w:customStyle="1" w:styleId="76">
    <w:name w:val="脚注文本 Char1"/>
    <w:basedOn w:val="26"/>
    <w:qFormat/>
    <w:uiPriority w:val="0"/>
    <w:rPr>
      <w:rFonts w:hint="default" w:ascii="Calibri" w:hAnsi="Calibri" w:eastAsia="宋体" w:cs="Times New Roman"/>
      <w:kern w:val="2"/>
      <w:sz w:val="18"/>
      <w:szCs w:val="18"/>
    </w:rPr>
  </w:style>
  <w:style w:type="character" w:customStyle="1" w:styleId="77">
    <w:name w:val="列表段落 字符1"/>
    <w:basedOn w:val="26"/>
    <w:qFormat/>
    <w:uiPriority w:val="0"/>
  </w:style>
  <w:style w:type="paragraph" w:customStyle="1" w:styleId="78">
    <w:name w:val="Table Paragraph"/>
    <w:basedOn w:val="1"/>
    <w:qFormat/>
    <w:uiPriority w:val="0"/>
    <w:rPr>
      <w:rFonts w:hint="eastAsia" w:ascii="宋体" w:hAnsi="宋体" w:cs="Times New Roman"/>
      <w:szCs w:val="24"/>
    </w:rPr>
  </w:style>
  <w:style w:type="character" w:customStyle="1" w:styleId="79">
    <w:name w:val="font41"/>
    <w:basedOn w:val="26"/>
    <w:qFormat/>
    <w:uiPriority w:val="0"/>
    <w:rPr>
      <w:rFonts w:hint="eastAsia" w:ascii="宋体" w:hAnsi="宋体" w:eastAsia="宋体" w:cs="宋体"/>
      <w:color w:val="FF0000"/>
      <w:sz w:val="24"/>
      <w:szCs w:val="24"/>
      <w:u w:val="none"/>
    </w:rPr>
  </w:style>
  <w:style w:type="character" w:customStyle="1" w:styleId="80">
    <w:name w:val="font91"/>
    <w:basedOn w:val="26"/>
    <w:qFormat/>
    <w:uiPriority w:val="0"/>
    <w:rPr>
      <w:rFonts w:hint="default" w:ascii="Times New Roman" w:hAnsi="Times New Roman" w:cs="Times New Roman"/>
      <w:color w:val="000000"/>
      <w:sz w:val="21"/>
      <w:szCs w:val="21"/>
      <w:u w:val="none"/>
    </w:rPr>
  </w:style>
  <w:style w:type="paragraph" w:customStyle="1" w:styleId="81">
    <w:name w:val="正文_0_0"/>
    <w:basedOn w:val="1"/>
    <w:qFormat/>
    <w:uiPriority w:val="0"/>
    <w:rPr>
      <w:rFonts w:cs="Times New Roman"/>
    </w:rPr>
  </w:style>
  <w:style w:type="character" w:customStyle="1" w:styleId="82">
    <w:name w:val="批注文字 字符1"/>
    <w:basedOn w:val="26"/>
    <w:qFormat/>
    <w:uiPriority w:val="0"/>
    <w:rPr>
      <w:szCs w:val="24"/>
    </w:rPr>
  </w:style>
  <w:style w:type="character" w:customStyle="1" w:styleId="83">
    <w:name w:val="列表段落 字符"/>
    <w:basedOn w:val="26"/>
    <w:qFormat/>
    <w:uiPriority w:val="34"/>
    <w:rPr>
      <w:rFonts w:hint="default" w:ascii="Calibri" w:hAnsi="Calibri" w:cs="Calibri"/>
      <w:kern w:val="2"/>
      <w:sz w:val="21"/>
      <w:szCs w:val="22"/>
    </w:rPr>
  </w:style>
  <w:style w:type="paragraph" w:customStyle="1" w:styleId="84">
    <w:name w:val="_Style 24"/>
    <w:basedOn w:val="1"/>
    <w:qFormat/>
    <w:uiPriority w:val="0"/>
    <w:pPr>
      <w:ind w:firstLine="420" w:firstLineChars="200"/>
    </w:pPr>
    <w:rPr>
      <w:rFonts w:cs="Times New Roman"/>
    </w:rPr>
  </w:style>
  <w:style w:type="character" w:customStyle="1" w:styleId="85">
    <w:name w:val="列表段落 字符3"/>
    <w:basedOn w:val="26"/>
    <w:qFormat/>
    <w:uiPriority w:val="0"/>
    <w:rPr>
      <w:rFonts w:hint="default" w:ascii="Calibri" w:hAnsi="Calibri" w:eastAsia="宋体" w:cs="Times New Roman"/>
      <w:kern w:val="2"/>
      <w:sz w:val="21"/>
      <w:szCs w:val="22"/>
    </w:rPr>
  </w:style>
  <w:style w:type="character" w:customStyle="1" w:styleId="86">
    <w:name w:val="列出段落 Char2"/>
    <w:basedOn w:val="26"/>
    <w:qFormat/>
    <w:uiPriority w:val="0"/>
    <w:rPr>
      <w:rFonts w:hint="default" w:ascii="Calibri" w:hAnsi="Calibri" w:eastAsia="宋体" w:cs="Times New Roman"/>
      <w:kern w:val="2"/>
      <w:sz w:val="21"/>
      <w:szCs w:val="22"/>
    </w:rPr>
  </w:style>
  <w:style w:type="character" w:customStyle="1" w:styleId="87">
    <w:name w:val="标题 2 字符2"/>
    <w:basedOn w:val="26"/>
    <w:link w:val="3"/>
    <w:qFormat/>
    <w:uiPriority w:val="0"/>
    <w:rPr>
      <w:rFonts w:ascii="Arial" w:hAnsi="Arial" w:eastAsia="黑体"/>
      <w:bCs/>
      <w:kern w:val="2"/>
      <w:sz w:val="32"/>
      <w:szCs w:val="32"/>
    </w:rPr>
  </w:style>
  <w:style w:type="character" w:customStyle="1" w:styleId="88">
    <w:name w:val="批注文字 字符2"/>
    <w:basedOn w:val="26"/>
    <w:link w:val="6"/>
    <w:qFormat/>
    <w:uiPriority w:val="0"/>
    <w:rPr>
      <w:kern w:val="2"/>
      <w:sz w:val="21"/>
      <w:szCs w:val="24"/>
    </w:rPr>
  </w:style>
  <w:style w:type="character" w:customStyle="1" w:styleId="89">
    <w:name w:val="普通(网站) 字符1"/>
    <w:basedOn w:val="26"/>
    <w:link w:val="19"/>
    <w:qFormat/>
    <w:uiPriority w:val="0"/>
    <w:rPr>
      <w:rFonts w:hint="eastAsia" w:ascii="宋体" w:hAnsi="宋体" w:eastAsia="宋体" w:cs="宋体"/>
      <w:sz w:val="24"/>
      <w:szCs w:val="24"/>
    </w:rPr>
  </w:style>
  <w:style w:type="character" w:customStyle="1" w:styleId="90">
    <w:name w:val="正文文本缩进 字符1"/>
    <w:basedOn w:val="26"/>
    <w:link w:val="8"/>
    <w:qFormat/>
    <w:uiPriority w:val="0"/>
    <w:rPr>
      <w:kern w:val="2"/>
      <w:sz w:val="21"/>
      <w:szCs w:val="22"/>
    </w:rPr>
  </w:style>
  <w:style w:type="paragraph" w:customStyle="1" w:styleId="91">
    <w:name w:val="正文文本首行缩进 21"/>
    <w:basedOn w:val="8"/>
    <w:qFormat/>
    <w:uiPriority w:val="0"/>
    <w:pPr>
      <w:ind w:firstLine="420" w:firstLineChars="200"/>
    </w:pPr>
    <w:rPr>
      <w:rFonts w:ascii="Times New Roman" w:hAnsi="Times New Roman" w:cs="Times New Roman"/>
      <w:kern w:val="0"/>
      <w:sz w:val="20"/>
      <w:szCs w:val="20"/>
    </w:rPr>
  </w:style>
  <w:style w:type="paragraph" w:customStyle="1" w:styleId="92">
    <w:name w:val="_Style 5"/>
    <w:basedOn w:val="1"/>
    <w:next w:val="1"/>
    <w:qFormat/>
    <w:uiPriority w:val="0"/>
    <w:pPr>
      <w:ind w:firstLine="420" w:firstLineChars="200"/>
    </w:pPr>
    <w:rPr>
      <w:rFonts w:ascii="Times New Roman" w:hAnsi="Times New Roman" w:cs="Times New Roman"/>
    </w:rPr>
  </w:style>
  <w:style w:type="character" w:customStyle="1" w:styleId="93">
    <w:name w:val="正文文本 字符1"/>
    <w:basedOn w:val="26"/>
    <w:link w:val="7"/>
    <w:qFormat/>
    <w:uiPriority w:val="0"/>
    <w:rPr>
      <w:rFonts w:hint="default" w:ascii="Calibri" w:hAnsi="Calibri" w:eastAsia="宋体" w:cs="Times New Roman"/>
      <w:kern w:val="2"/>
      <w:sz w:val="21"/>
      <w:szCs w:val="22"/>
    </w:rPr>
  </w:style>
  <w:style w:type="paragraph" w:customStyle="1" w:styleId="94">
    <w:name w:val="列表段落1"/>
    <w:basedOn w:val="1"/>
    <w:qFormat/>
    <w:uiPriority w:val="0"/>
    <w:pPr>
      <w:ind w:firstLine="420" w:firstLineChars="200"/>
    </w:pPr>
    <w:rPr>
      <w:rFonts w:hint="eastAsia" w:ascii="等线" w:hAnsi="等线" w:eastAsia="等线" w:cs="Times New Roman"/>
    </w:rPr>
  </w:style>
  <w:style w:type="character" w:customStyle="1" w:styleId="95">
    <w:name w:val="正文文本缩进 3 字符"/>
    <w:basedOn w:val="26"/>
    <w:link w:val="17"/>
    <w:qFormat/>
    <w:uiPriority w:val="0"/>
    <w:rPr>
      <w:rFonts w:hint="eastAsia" w:ascii="等线" w:hAnsi="等线" w:eastAsia="等线" w:cs="等线"/>
      <w:kern w:val="2"/>
      <w:sz w:val="16"/>
      <w:szCs w:val="16"/>
    </w:rPr>
  </w:style>
  <w:style w:type="character" w:customStyle="1" w:styleId="96">
    <w:name w:val="正文文本首行缩进 字符1"/>
    <w:link w:val="22"/>
    <w:qFormat/>
    <w:uiPriority w:val="0"/>
    <w:rPr>
      <w:rFonts w:hint="default" w:ascii="Calibri" w:hAnsi="Calibri" w:eastAsia="楷体_GB2312" w:cs="Calibri"/>
      <w:kern w:val="2"/>
      <w:sz w:val="32"/>
      <w:szCs w:val="22"/>
    </w:rPr>
  </w:style>
  <w:style w:type="character" w:customStyle="1" w:styleId="97">
    <w:name w:val="表格文字 Char"/>
    <w:basedOn w:val="26"/>
    <w:link w:val="98"/>
    <w:qFormat/>
    <w:uiPriority w:val="0"/>
    <w:rPr>
      <w:bCs/>
      <w:spacing w:val="10"/>
      <w:sz w:val="24"/>
    </w:rPr>
  </w:style>
  <w:style w:type="paragraph" w:customStyle="1" w:styleId="98">
    <w:name w:val="表格文字"/>
    <w:basedOn w:val="1"/>
    <w:link w:val="97"/>
    <w:qFormat/>
    <w:uiPriority w:val="0"/>
    <w:pPr>
      <w:spacing w:before="25" w:after="25"/>
      <w:jc w:val="left"/>
    </w:pPr>
    <w:rPr>
      <w:rFonts w:ascii="Times New Roman" w:hAnsi="Times New Roman" w:cs="Times New Roman"/>
      <w:bCs/>
      <w:spacing w:val="10"/>
      <w:kern w:val="0"/>
      <w:sz w:val="24"/>
      <w:szCs w:val="20"/>
    </w:rPr>
  </w:style>
  <w:style w:type="paragraph" w:customStyle="1" w:styleId="99">
    <w:name w:val="_Style 3"/>
    <w:basedOn w:val="1"/>
    <w:qFormat/>
    <w:uiPriority w:val="0"/>
    <w:rPr>
      <w:rFonts w:ascii="Times New Roman" w:hAnsi="Times New Roman" w:cs="Times New Roman"/>
    </w:rPr>
  </w:style>
  <w:style w:type="paragraph" w:customStyle="1" w:styleId="100">
    <w:name w:val="列表段落3"/>
    <w:basedOn w:val="1"/>
    <w:qFormat/>
    <w:uiPriority w:val="0"/>
    <w:pPr>
      <w:ind w:firstLine="420" w:firstLineChars="200"/>
    </w:pPr>
    <w:rPr>
      <w:rFonts w:cs="Times New Roman"/>
    </w:rPr>
  </w:style>
  <w:style w:type="character" w:customStyle="1" w:styleId="101">
    <w:name w:val="15"/>
    <w:basedOn w:val="26"/>
    <w:qFormat/>
    <w:uiPriority w:val="0"/>
    <w:rPr>
      <w:rFonts w:hint="default" w:ascii="Times New Roman" w:hAnsi="Times New Roman" w:cs="Times New Roman"/>
      <w:b/>
      <w:bCs/>
    </w:rPr>
  </w:style>
  <w:style w:type="character" w:customStyle="1" w:styleId="102">
    <w:name w:val="正文首行缩进 2 Char1"/>
    <w:basedOn w:val="26"/>
    <w:qFormat/>
    <w:uiPriority w:val="0"/>
  </w:style>
  <w:style w:type="character" w:customStyle="1" w:styleId="103">
    <w:name w:val="页眉 字符2"/>
    <w:basedOn w:val="26"/>
    <w:link w:val="14"/>
    <w:qFormat/>
    <w:uiPriority w:val="0"/>
    <w:rPr>
      <w:sz w:val="18"/>
      <w:szCs w:val="18"/>
    </w:rPr>
  </w:style>
  <w:style w:type="character" w:customStyle="1" w:styleId="104">
    <w:name w:val="页眉 Char1"/>
    <w:qFormat/>
    <w:uiPriority w:val="99"/>
    <w:rPr>
      <w:sz w:val="18"/>
      <w:szCs w:val="18"/>
      <w:lang w:val="zh-CN" w:eastAsia="zh-CN"/>
    </w:rPr>
  </w:style>
  <w:style w:type="character" w:customStyle="1" w:styleId="105">
    <w:name w:val="标题 2 Char"/>
    <w:basedOn w:val="26"/>
    <w:qFormat/>
    <w:uiPriority w:val="0"/>
    <w:rPr>
      <w:rFonts w:ascii="Arial" w:hAnsi="Arial" w:eastAsia="黑体" w:cs="Times New Roman"/>
      <w:b/>
      <w:bCs/>
      <w:sz w:val="32"/>
      <w:szCs w:val="32"/>
    </w:rPr>
  </w:style>
  <w:style w:type="paragraph" w:customStyle="1" w:styleId="106">
    <w:name w:val="正文1"/>
    <w:basedOn w:val="1"/>
    <w:qFormat/>
    <w:uiPriority w:val="0"/>
    <w:pPr>
      <w:widowControl/>
      <w:overflowPunct w:val="0"/>
      <w:autoSpaceDE w:val="0"/>
      <w:autoSpaceDN w:val="0"/>
      <w:adjustRightInd w:val="0"/>
      <w:textAlignment w:val="baseline"/>
    </w:pPr>
    <w:rPr>
      <w:rFonts w:ascii="宋体" w:cs="Times New Roman"/>
      <w:kern w:val="0"/>
      <w:szCs w:val="20"/>
    </w:rPr>
  </w:style>
  <w:style w:type="paragraph" w:customStyle="1" w:styleId="107">
    <w:name w:val="样式 正文首行缩进 + 宋体 小四 首行缩进:  1 字符"/>
    <w:basedOn w:val="1"/>
    <w:next w:val="1"/>
    <w:qFormat/>
    <w:uiPriority w:val="0"/>
    <w:pPr>
      <w:spacing w:after="120" w:line="360" w:lineRule="auto"/>
      <w:ind w:firstLine="150" w:firstLineChars="150"/>
    </w:pPr>
    <w:rPr>
      <w:rFonts w:ascii="宋体" w:hAnsi="宋体" w:cs="Times New Roman"/>
      <w:sz w:val="24"/>
      <w:szCs w:val="20"/>
    </w:rPr>
  </w:style>
  <w:style w:type="paragraph" w:customStyle="1" w:styleId="108">
    <w:name w:val="AOHead3"/>
    <w:basedOn w:val="1"/>
    <w:next w:val="1"/>
    <w:qFormat/>
    <w:uiPriority w:val="0"/>
    <w:pPr>
      <w:spacing w:line="360" w:lineRule="auto"/>
      <w:ind w:left="1260" w:firstLine="480" w:firstLineChars="200"/>
      <w:outlineLvl w:val="2"/>
    </w:pPr>
    <w:rPr>
      <w:rFonts w:ascii="Times New Roman" w:hAnsi="Times New Roman"/>
      <w:color w:val="0000FF"/>
      <w:sz w:val="24"/>
      <w:szCs w:val="24"/>
    </w:rPr>
  </w:style>
  <w:style w:type="paragraph" w:customStyle="1" w:styleId="109">
    <w:name w:val="修订1"/>
    <w:qFormat/>
    <w:uiPriority w:val="99"/>
    <w:rPr>
      <w:rFonts w:ascii="Calibri" w:hAnsi="Calibri" w:eastAsia="宋体" w:cs="宋体"/>
      <w:kern w:val="2"/>
      <w:sz w:val="21"/>
      <w:szCs w:val="22"/>
      <w:lang w:val="en-US" w:eastAsia="zh-CN" w:bidi="ar-SA"/>
    </w:rPr>
  </w:style>
  <w:style w:type="character" w:customStyle="1" w:styleId="110">
    <w:name w:val="日期 字符"/>
    <w:basedOn w:val="26"/>
    <w:link w:val="11"/>
    <w:semiHidden/>
    <w:qFormat/>
    <w:uiPriority w:val="99"/>
    <w:rPr>
      <w:rFonts w:ascii="Calibri" w:hAnsi="Calibri" w:cs="宋体"/>
      <w:kern w:val="2"/>
      <w:sz w:val="21"/>
      <w:szCs w:val="22"/>
    </w:rPr>
  </w:style>
  <w:style w:type="paragraph" w:customStyle="1" w:styleId="111">
    <w:name w:val="修订2"/>
    <w:hidden/>
    <w:unhideWhenUsed/>
    <w:qFormat/>
    <w:uiPriority w:val="99"/>
    <w:rPr>
      <w:rFonts w:ascii="Calibri" w:hAnsi="Calibri" w:eastAsia="宋体" w:cs="宋体"/>
      <w:kern w:val="2"/>
      <w:sz w:val="21"/>
      <w:szCs w:val="22"/>
      <w:lang w:val="en-US" w:eastAsia="zh-CN" w:bidi="ar-SA"/>
    </w:rPr>
  </w:style>
  <w:style w:type="paragraph" w:customStyle="1" w:styleId="112">
    <w:name w:val="修订3"/>
    <w:hidden/>
    <w:unhideWhenUsed/>
    <w:qFormat/>
    <w:uiPriority w:val="99"/>
    <w:rPr>
      <w:rFonts w:ascii="Calibri" w:hAnsi="Calibri" w:eastAsia="宋体" w:cs="宋体"/>
      <w:kern w:val="2"/>
      <w:sz w:val="21"/>
      <w:szCs w:val="22"/>
      <w:lang w:val="en-US" w:eastAsia="zh-CN" w:bidi="ar-SA"/>
    </w:rPr>
  </w:style>
  <w:style w:type="paragraph" w:customStyle="1" w:styleId="113">
    <w:name w:val="修订4"/>
    <w:hidden/>
    <w:unhideWhenUsed/>
    <w:qFormat/>
    <w:uiPriority w:val="99"/>
    <w:rPr>
      <w:rFonts w:ascii="Calibri" w:hAnsi="Calibri" w:eastAsia="宋体" w:cs="宋体"/>
      <w:kern w:val="2"/>
      <w:sz w:val="21"/>
      <w:szCs w:val="22"/>
      <w:lang w:val="en-US" w:eastAsia="zh-CN" w:bidi="ar-SA"/>
    </w:rPr>
  </w:style>
  <w:style w:type="paragraph" w:customStyle="1" w:styleId="114">
    <w:name w:val="修订5"/>
    <w:hidden/>
    <w:unhideWhenUsed/>
    <w:qFormat/>
    <w:uiPriority w:val="99"/>
    <w:rPr>
      <w:rFonts w:ascii="Calibri" w:hAnsi="Calibri" w:eastAsia="宋体" w:cs="宋体"/>
      <w:kern w:val="2"/>
      <w:sz w:val="21"/>
      <w:szCs w:val="22"/>
      <w:lang w:val="en-US" w:eastAsia="zh-CN" w:bidi="ar-SA"/>
    </w:rPr>
  </w:style>
  <w:style w:type="paragraph" w:customStyle="1" w:styleId="115">
    <w:name w:val="修订6"/>
    <w:hidden/>
    <w:unhideWhenUsed/>
    <w:qFormat/>
    <w:uiPriority w:val="99"/>
    <w:rPr>
      <w:rFonts w:ascii="Calibri" w:hAnsi="Calibri" w:eastAsia="宋体" w:cs="宋体"/>
      <w:kern w:val="2"/>
      <w:sz w:val="21"/>
      <w:szCs w:val="22"/>
      <w:lang w:val="en-US" w:eastAsia="zh-CN" w:bidi="ar-SA"/>
    </w:rPr>
  </w:style>
  <w:style w:type="paragraph" w:customStyle="1" w:styleId="116">
    <w:name w:val="修订7"/>
    <w:hidden/>
    <w:unhideWhenUsed/>
    <w:qFormat/>
    <w:uiPriority w:val="99"/>
    <w:rPr>
      <w:rFonts w:ascii="Calibri" w:hAnsi="Calibri" w:eastAsia="宋体" w:cs="宋体"/>
      <w:kern w:val="2"/>
      <w:sz w:val="21"/>
      <w:szCs w:val="22"/>
      <w:lang w:val="en-US" w:eastAsia="zh-CN" w:bidi="ar-SA"/>
    </w:rPr>
  </w:style>
  <w:style w:type="paragraph" w:customStyle="1" w:styleId="117">
    <w:name w:val="修订8"/>
    <w:hidden/>
    <w:unhideWhenUsed/>
    <w:qFormat/>
    <w:uiPriority w:val="99"/>
    <w:rPr>
      <w:rFonts w:ascii="Calibri" w:hAnsi="Calibri" w:eastAsia="宋体" w:cs="宋体"/>
      <w:kern w:val="2"/>
      <w:sz w:val="21"/>
      <w:szCs w:val="22"/>
      <w:lang w:val="en-US" w:eastAsia="zh-CN" w:bidi="ar-SA"/>
    </w:rPr>
  </w:style>
  <w:style w:type="paragraph" w:customStyle="1" w:styleId="118">
    <w:name w:val="修订9"/>
    <w:hidden/>
    <w:unhideWhenUsed/>
    <w:qFormat/>
    <w:uiPriority w:val="99"/>
    <w:rPr>
      <w:rFonts w:ascii="Calibri" w:hAnsi="Calibri" w:eastAsia="宋体" w:cs="宋体"/>
      <w:kern w:val="2"/>
      <w:sz w:val="21"/>
      <w:szCs w:val="22"/>
      <w:lang w:val="en-US" w:eastAsia="zh-CN" w:bidi="ar-SA"/>
    </w:rPr>
  </w:style>
  <w:style w:type="paragraph" w:customStyle="1" w:styleId="119">
    <w:name w:val="修订10"/>
    <w:hidden/>
    <w:unhideWhenUsed/>
    <w:qFormat/>
    <w:uiPriority w:val="99"/>
    <w:rPr>
      <w:rFonts w:ascii="Calibri" w:hAnsi="Calibri" w:eastAsia="宋体" w:cs="宋体"/>
      <w:kern w:val="2"/>
      <w:sz w:val="21"/>
      <w:szCs w:val="22"/>
      <w:lang w:val="en-US" w:eastAsia="zh-CN" w:bidi="ar-SA"/>
    </w:rPr>
  </w:style>
  <w:style w:type="paragraph" w:customStyle="1" w:styleId="120">
    <w:name w:val="修订11"/>
    <w:hidden/>
    <w:unhideWhenUsed/>
    <w:qFormat/>
    <w:uiPriority w:val="99"/>
    <w:rPr>
      <w:rFonts w:ascii="Calibri" w:hAnsi="Calibri" w:eastAsia="宋体" w:cs="宋体"/>
      <w:kern w:val="2"/>
      <w:sz w:val="21"/>
      <w:szCs w:val="22"/>
      <w:lang w:val="en-US" w:eastAsia="zh-CN" w:bidi="ar-SA"/>
    </w:rPr>
  </w:style>
  <w:style w:type="paragraph" w:customStyle="1" w:styleId="121">
    <w:name w:val="修订12"/>
    <w:hidden/>
    <w:unhideWhenUsed/>
    <w:qFormat/>
    <w:uiPriority w:val="99"/>
    <w:rPr>
      <w:rFonts w:ascii="Calibri" w:hAnsi="Calibri" w:eastAsia="宋体" w:cs="宋体"/>
      <w:kern w:val="2"/>
      <w:sz w:val="21"/>
      <w:szCs w:val="22"/>
      <w:lang w:val="en-US" w:eastAsia="zh-CN" w:bidi="ar-SA"/>
    </w:rPr>
  </w:style>
  <w:style w:type="paragraph" w:customStyle="1" w:styleId="122">
    <w:name w:val="修订13"/>
    <w:hidden/>
    <w:unhideWhenUsed/>
    <w:qFormat/>
    <w:uiPriority w:val="99"/>
    <w:rPr>
      <w:rFonts w:ascii="Calibri" w:hAnsi="Calibri" w:eastAsia="宋体" w:cs="宋体"/>
      <w:kern w:val="2"/>
      <w:sz w:val="21"/>
      <w:szCs w:val="22"/>
      <w:lang w:val="en-US" w:eastAsia="zh-CN" w:bidi="ar-SA"/>
    </w:rPr>
  </w:style>
  <w:style w:type="paragraph" w:customStyle="1" w:styleId="123">
    <w:name w:val="修订14"/>
    <w:hidden/>
    <w:unhideWhenUsed/>
    <w:qFormat/>
    <w:uiPriority w:val="99"/>
    <w:rPr>
      <w:rFonts w:ascii="Calibri" w:hAnsi="Calibri" w:eastAsia="宋体" w:cs="宋体"/>
      <w:kern w:val="2"/>
      <w:sz w:val="21"/>
      <w:szCs w:val="22"/>
      <w:lang w:val="en-US" w:eastAsia="zh-CN" w:bidi="ar-SA"/>
    </w:rPr>
  </w:style>
  <w:style w:type="paragraph" w:customStyle="1" w:styleId="124">
    <w:name w:val="修订15"/>
    <w:hidden/>
    <w:unhideWhenUsed/>
    <w:qFormat/>
    <w:uiPriority w:val="99"/>
    <w:rPr>
      <w:rFonts w:ascii="Calibri" w:hAnsi="Calibri" w:eastAsia="宋体" w:cs="宋体"/>
      <w:kern w:val="2"/>
      <w:sz w:val="21"/>
      <w:szCs w:val="22"/>
      <w:lang w:val="en-US" w:eastAsia="zh-CN" w:bidi="ar-SA"/>
    </w:rPr>
  </w:style>
  <w:style w:type="paragraph" w:customStyle="1" w:styleId="125">
    <w:name w:val="修订16"/>
    <w:hidden/>
    <w:unhideWhenUsed/>
    <w:qFormat/>
    <w:uiPriority w:val="99"/>
    <w:rPr>
      <w:rFonts w:ascii="Calibri" w:hAnsi="Calibri" w:eastAsia="宋体" w:cs="宋体"/>
      <w:kern w:val="2"/>
      <w:sz w:val="21"/>
      <w:szCs w:val="22"/>
      <w:lang w:val="en-US" w:eastAsia="zh-CN" w:bidi="ar-SA"/>
    </w:rPr>
  </w:style>
  <w:style w:type="paragraph" w:customStyle="1" w:styleId="126">
    <w:name w:val="引文目录标题1"/>
    <w:basedOn w:val="1"/>
    <w:next w:val="1"/>
    <w:qFormat/>
    <w:uiPriority w:val="0"/>
    <w:rPr>
      <w:rFonts w:ascii="Arial" w:hAnsi="Arial" w:cs="Times New Roman"/>
      <w:sz w:val="24"/>
      <w:szCs w:val="24"/>
    </w:rPr>
  </w:style>
  <w:style w:type="table" w:customStyle="1" w:styleId="127">
    <w:name w:val="网格型1"/>
    <w:basedOn w:val="24"/>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8">
    <w:name w:val="fontstyle11"/>
    <w:basedOn w:val="26"/>
    <w:qFormat/>
    <w:uiPriority w:val="0"/>
    <w:rPr>
      <w:rFonts w:ascii="宋体" w:hAnsi="宋体" w:eastAsia="宋体" w:cs="宋体"/>
      <w:color w:val="000000"/>
      <w:sz w:val="36"/>
      <w:szCs w:val="36"/>
    </w:rPr>
  </w:style>
  <w:style w:type="character" w:customStyle="1" w:styleId="129">
    <w:name w:val="fontstyle01"/>
    <w:basedOn w:val="26"/>
    <w:qFormat/>
    <w:uiPriority w:val="0"/>
    <w:rPr>
      <w:rFonts w:ascii="黑体" w:hAnsi="宋体" w:eastAsia="黑体" w:cs="黑体"/>
      <w:color w:val="000000"/>
      <w:sz w:val="18"/>
      <w:szCs w:val="18"/>
    </w:rPr>
  </w:style>
  <w:style w:type="character" w:customStyle="1" w:styleId="130">
    <w:name w:val="fontstyle31"/>
    <w:basedOn w:val="26"/>
    <w:qFormat/>
    <w:uiPriority w:val="0"/>
    <w:rPr>
      <w:rFonts w:ascii="TimesNewRomanPSMT" w:hAnsi="TimesNewRomanPSMT" w:eastAsia="TimesNewRomanPSMT" w:cs="TimesNewRomanPSMT"/>
      <w:color w:val="000000"/>
      <w:sz w:val="18"/>
      <w:szCs w:val="18"/>
    </w:rPr>
  </w:style>
  <w:style w:type="character" w:customStyle="1" w:styleId="131">
    <w:name w:val="fontstyle41"/>
    <w:basedOn w:val="26"/>
    <w:qFormat/>
    <w:uiPriority w:val="0"/>
    <w:rPr>
      <w:rFonts w:ascii="TimesNewRomanPS-BoldMT" w:hAnsi="TimesNewRomanPS-BoldMT" w:eastAsia="TimesNewRomanPS-BoldMT" w:cs="TimesNewRomanPS-BoldMT"/>
      <w:b/>
      <w:color w:val="000000"/>
      <w:sz w:val="28"/>
      <w:szCs w:val="28"/>
    </w:rPr>
  </w:style>
  <w:style w:type="character" w:customStyle="1" w:styleId="132">
    <w:name w:val="fontstyle51"/>
    <w:basedOn w:val="26"/>
    <w:qFormat/>
    <w:uiPriority w:val="0"/>
    <w:rPr>
      <w:rFonts w:ascii="hakuyoxingshu7000" w:hAnsi="hakuyoxingshu7000" w:eastAsia="hakuyoxingshu7000" w:cs="hakuyoxingshu7000"/>
      <w:color w:val="000000"/>
      <w:sz w:val="22"/>
      <w:szCs w:val="22"/>
    </w:rPr>
  </w:style>
  <w:style w:type="character" w:customStyle="1" w:styleId="133">
    <w:name w:val="fontstyle61"/>
    <w:basedOn w:val="26"/>
    <w:qFormat/>
    <w:uiPriority w:val="0"/>
    <w:rPr>
      <w:rFonts w:ascii="Arial-BoldMT" w:hAnsi="Arial-BoldMT" w:eastAsia="Arial-BoldMT" w:cs="Arial-BoldMT"/>
      <w:b/>
      <w:color w:val="000000"/>
      <w:sz w:val="32"/>
      <w:szCs w:val="32"/>
    </w:rPr>
  </w:style>
  <w:style w:type="paragraph" w:customStyle="1" w:styleId="134">
    <w:name w:val="修订17"/>
    <w:hidden/>
    <w:unhideWhenUsed/>
    <w:qFormat/>
    <w:uiPriority w:val="99"/>
    <w:rPr>
      <w:rFonts w:ascii="Calibri" w:hAnsi="Calibri" w:eastAsia="宋体" w:cs="宋体"/>
      <w:kern w:val="2"/>
      <w:sz w:val="21"/>
      <w:szCs w:val="22"/>
      <w:lang w:val="en-US" w:eastAsia="zh-CN" w:bidi="ar-SA"/>
    </w:rPr>
  </w:style>
  <w:style w:type="paragraph" w:customStyle="1" w:styleId="135">
    <w:name w:val="修订18"/>
    <w:hidden/>
    <w:unhideWhenUsed/>
    <w:qFormat/>
    <w:uiPriority w:val="99"/>
    <w:rPr>
      <w:rFonts w:ascii="Calibri" w:hAnsi="Calibri" w:eastAsia="宋体" w:cs="宋体"/>
      <w:kern w:val="2"/>
      <w:sz w:val="21"/>
      <w:szCs w:val="22"/>
      <w:lang w:val="en-US" w:eastAsia="zh-CN" w:bidi="ar-SA"/>
    </w:rPr>
  </w:style>
  <w:style w:type="paragraph" w:customStyle="1" w:styleId="136">
    <w:name w:val="修订19"/>
    <w:hidden/>
    <w:unhideWhenUsed/>
    <w:qFormat/>
    <w:uiPriority w:val="99"/>
    <w:rPr>
      <w:rFonts w:ascii="Calibri" w:hAnsi="Calibri" w:eastAsia="宋体" w:cs="宋体"/>
      <w:kern w:val="2"/>
      <w:sz w:val="21"/>
      <w:szCs w:val="22"/>
      <w:lang w:val="en-US" w:eastAsia="zh-CN" w:bidi="ar-SA"/>
    </w:rPr>
  </w:style>
  <w:style w:type="paragraph" w:customStyle="1" w:styleId="137">
    <w:name w:val="Revision"/>
    <w:hidden/>
    <w:unhideWhenUsed/>
    <w:qFormat/>
    <w:uiPriority w:val="99"/>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9897</Words>
  <Characters>10099</Characters>
  <Lines>48</Lines>
  <Paragraphs>13</Paragraphs>
  <TotalTime>20</TotalTime>
  <ScaleCrop>false</ScaleCrop>
  <LinksUpToDate>false</LinksUpToDate>
  <CharactersWithSpaces>10256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2025-02-19T09:16:00Z</dcterms:created>
  <dc:creator>云采链</dc:creator>
  <cp:lastModifiedBy>云采链</cp:lastModifiedBy>
  <dcterms:modified xsi:type="dcterms:W3CDTF">2025-05-06T02:41:36Z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42F334D06F2F419B8A3AA09A0442F40A_13</vt:lpwstr>
  </property>
  <property fmtid="{D5CDD505-2E9C-101B-9397-08002B2CF9AE}" pid="4" name="KSOTemplateDocerSaveRecord">
    <vt:lpwstr>eyJoZGlkIjoiNjllMTQ1N2NiYWJhNmE3MmJmNjczYjE3MmE0Mzc5ZDEiLCJ1c2VySWQiOiIyNzgxOTkwNjUifQ==</vt:lpwstr>
  </property>
</Properties>
</file>