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7CA8">
      <w:pPr>
        <w:spacing w:line="360" w:lineRule="auto"/>
        <w:jc w:val="center"/>
        <w:rPr>
          <w:rFonts w:hint="eastAsia" w:ascii="仿宋" w:hAnsi="仿宋" w:eastAsia="仿宋" w:cs="仿宋"/>
          <w:b/>
          <w:bCs/>
          <w:kern w:val="44"/>
          <w:sz w:val="44"/>
          <w:szCs w:val="44"/>
          <w:lang w:val="zh-CN"/>
        </w:rPr>
      </w:pPr>
      <w:bookmarkStart w:id="0" w:name="_GoBack"/>
      <w:bookmarkEnd w:id="0"/>
      <w:r>
        <w:rPr>
          <w:rFonts w:hint="eastAsia" w:ascii="仿宋" w:hAnsi="仿宋" w:eastAsia="仿宋" w:cs="仿宋"/>
          <w:b/>
          <w:bCs/>
          <w:kern w:val="44"/>
          <w:sz w:val="44"/>
          <w:szCs w:val="44"/>
          <w:lang w:val="zh-CN"/>
        </w:rPr>
        <w:t>广东省广裕集团肇庆祥达实业有限公司</w:t>
      </w:r>
    </w:p>
    <w:p w14:paraId="26F7E1B6">
      <w:pPr>
        <w:spacing w:line="360" w:lineRule="auto"/>
        <w:jc w:val="center"/>
        <w:rPr>
          <w:rFonts w:hint="eastAsia" w:ascii="仿宋" w:hAnsi="仿宋" w:eastAsia="仿宋" w:cs="仿宋"/>
          <w:b/>
          <w:bCs/>
          <w:kern w:val="44"/>
          <w:sz w:val="44"/>
          <w:szCs w:val="44"/>
          <w:lang w:val="zh-CN"/>
        </w:rPr>
      </w:pPr>
      <w:r>
        <w:rPr>
          <w:rFonts w:hint="eastAsia" w:ascii="仿宋" w:hAnsi="仿宋" w:eastAsia="仿宋" w:cs="仿宋"/>
          <w:b/>
          <w:bCs/>
          <w:kern w:val="44"/>
          <w:sz w:val="44"/>
          <w:szCs w:val="44"/>
          <w:lang w:val="zh-CN" w:eastAsia="zh-CN"/>
        </w:rPr>
        <w:t>电动叉车</w:t>
      </w:r>
      <w:r>
        <w:rPr>
          <w:rFonts w:hint="eastAsia" w:ascii="仿宋" w:hAnsi="仿宋" w:eastAsia="仿宋" w:cs="仿宋"/>
          <w:b/>
          <w:bCs/>
          <w:kern w:val="44"/>
          <w:sz w:val="44"/>
          <w:szCs w:val="44"/>
          <w:lang w:val="zh-CN"/>
        </w:rPr>
        <w:t>项目</w:t>
      </w:r>
    </w:p>
    <w:p w14:paraId="6FA09629">
      <w:pPr>
        <w:spacing w:line="440" w:lineRule="exact"/>
        <w:ind w:firstLine="883" w:firstLineChars="200"/>
        <w:jc w:val="center"/>
        <w:rPr>
          <w:rFonts w:hint="eastAsia" w:ascii="仿宋" w:hAnsi="仿宋" w:eastAsia="仿宋" w:cs="仿宋"/>
          <w:b/>
          <w:bCs/>
          <w:kern w:val="44"/>
          <w:sz w:val="44"/>
          <w:szCs w:val="44"/>
          <w:lang w:val="zh-CN"/>
        </w:rPr>
      </w:pPr>
    </w:p>
    <w:p w14:paraId="42497E91">
      <w:pPr>
        <w:spacing w:line="440" w:lineRule="exact"/>
        <w:ind w:firstLine="883" w:firstLineChars="200"/>
        <w:jc w:val="center"/>
        <w:rPr>
          <w:rFonts w:hint="eastAsia" w:ascii="仿宋" w:hAnsi="仿宋" w:eastAsia="仿宋" w:cs="仿宋"/>
          <w:b/>
          <w:bCs/>
          <w:kern w:val="44"/>
          <w:sz w:val="44"/>
          <w:szCs w:val="44"/>
          <w:lang w:val="zh-CN"/>
        </w:rPr>
      </w:pPr>
    </w:p>
    <w:p w14:paraId="71D028B5">
      <w:pPr>
        <w:spacing w:line="440" w:lineRule="exact"/>
        <w:ind w:firstLine="883" w:firstLineChars="200"/>
        <w:jc w:val="center"/>
        <w:rPr>
          <w:rFonts w:hint="eastAsia" w:ascii="仿宋" w:hAnsi="仿宋" w:eastAsia="仿宋" w:cs="仿宋"/>
          <w:b/>
          <w:bCs/>
          <w:kern w:val="44"/>
          <w:sz w:val="44"/>
          <w:szCs w:val="44"/>
          <w:lang w:val="zh-CN"/>
        </w:rPr>
      </w:pPr>
    </w:p>
    <w:p w14:paraId="21A037DB">
      <w:pPr>
        <w:spacing w:line="440" w:lineRule="exact"/>
        <w:rPr>
          <w:rFonts w:hint="eastAsia" w:ascii="仿宋" w:hAnsi="仿宋" w:eastAsia="仿宋" w:cs="仿宋"/>
          <w:b/>
          <w:bCs/>
          <w:kern w:val="44"/>
          <w:sz w:val="44"/>
          <w:szCs w:val="44"/>
          <w:lang w:val="zh-CN"/>
        </w:rPr>
      </w:pPr>
    </w:p>
    <w:p w14:paraId="6E641CE2">
      <w:pPr>
        <w:spacing w:line="440" w:lineRule="exact"/>
        <w:ind w:firstLine="883" w:firstLineChars="200"/>
        <w:jc w:val="center"/>
        <w:rPr>
          <w:rFonts w:hint="eastAsia" w:ascii="仿宋" w:hAnsi="仿宋" w:eastAsia="仿宋" w:cs="仿宋"/>
          <w:b/>
          <w:bCs/>
          <w:kern w:val="44"/>
          <w:sz w:val="44"/>
          <w:szCs w:val="44"/>
          <w:lang w:val="zh-CN"/>
        </w:rPr>
      </w:pPr>
    </w:p>
    <w:p w14:paraId="0DCBF1EE">
      <w:pPr>
        <w:spacing w:line="360" w:lineRule="auto"/>
        <w:ind w:firstLine="0" w:firstLineChars="0"/>
        <w:jc w:val="center"/>
        <w:rPr>
          <w:rFonts w:hint="eastAsia" w:ascii="仿宋" w:hAnsi="仿宋" w:eastAsia="仿宋" w:cs="仿宋"/>
          <w:b/>
          <w:kern w:val="2"/>
          <w:sz w:val="44"/>
          <w:szCs w:val="44"/>
        </w:rPr>
      </w:pPr>
      <w:r>
        <w:rPr>
          <w:rFonts w:hint="eastAsia" w:ascii="仿宋" w:hAnsi="仿宋" w:eastAsia="仿宋" w:cs="仿宋"/>
          <w:b/>
          <w:kern w:val="2"/>
          <w:sz w:val="44"/>
          <w:szCs w:val="44"/>
        </w:rPr>
        <w:t>合 同 书</w:t>
      </w:r>
    </w:p>
    <w:p w14:paraId="66CE0138">
      <w:pPr>
        <w:spacing w:line="440" w:lineRule="exact"/>
        <w:ind w:firstLine="883" w:firstLineChars="200"/>
        <w:jc w:val="center"/>
        <w:rPr>
          <w:rFonts w:hint="eastAsia" w:ascii="仿宋" w:hAnsi="仿宋" w:eastAsia="仿宋" w:cs="仿宋"/>
          <w:b/>
          <w:bCs/>
          <w:kern w:val="44"/>
          <w:sz w:val="44"/>
          <w:szCs w:val="44"/>
          <w:lang w:val="zh-CN"/>
        </w:rPr>
      </w:pPr>
    </w:p>
    <w:p w14:paraId="1B521E1B">
      <w:pPr>
        <w:spacing w:line="440" w:lineRule="exact"/>
        <w:ind w:firstLine="883" w:firstLineChars="200"/>
        <w:jc w:val="center"/>
        <w:rPr>
          <w:rFonts w:hint="eastAsia" w:ascii="仿宋" w:hAnsi="仿宋" w:eastAsia="仿宋" w:cs="仿宋"/>
          <w:b/>
          <w:bCs/>
          <w:kern w:val="44"/>
          <w:sz w:val="44"/>
          <w:szCs w:val="44"/>
          <w:lang w:val="zh-CN"/>
        </w:rPr>
      </w:pPr>
    </w:p>
    <w:p w14:paraId="0B982F1D">
      <w:pPr>
        <w:spacing w:line="440" w:lineRule="exact"/>
        <w:ind w:firstLine="883" w:firstLineChars="200"/>
        <w:jc w:val="center"/>
        <w:rPr>
          <w:rFonts w:hint="eastAsia" w:ascii="仿宋" w:hAnsi="仿宋" w:eastAsia="仿宋" w:cs="仿宋"/>
          <w:b/>
          <w:bCs/>
          <w:kern w:val="44"/>
          <w:sz w:val="44"/>
          <w:szCs w:val="44"/>
          <w:lang w:val="zh-CN"/>
        </w:rPr>
      </w:pPr>
    </w:p>
    <w:p w14:paraId="44499592">
      <w:pPr>
        <w:spacing w:line="440" w:lineRule="exact"/>
        <w:ind w:firstLine="883" w:firstLineChars="200"/>
        <w:jc w:val="center"/>
        <w:rPr>
          <w:rFonts w:hint="eastAsia" w:ascii="仿宋" w:hAnsi="仿宋" w:eastAsia="仿宋" w:cs="仿宋"/>
          <w:b/>
          <w:bCs/>
          <w:kern w:val="44"/>
          <w:sz w:val="44"/>
          <w:szCs w:val="44"/>
          <w:lang w:val="zh-CN"/>
        </w:rPr>
      </w:pPr>
    </w:p>
    <w:p w14:paraId="5D9DA1E9">
      <w:pPr>
        <w:spacing w:line="440" w:lineRule="exact"/>
        <w:ind w:firstLine="883" w:firstLineChars="200"/>
        <w:jc w:val="center"/>
        <w:rPr>
          <w:rFonts w:hint="eastAsia" w:ascii="仿宋" w:hAnsi="仿宋" w:eastAsia="仿宋" w:cs="仿宋"/>
          <w:b/>
          <w:bCs/>
          <w:kern w:val="44"/>
          <w:sz w:val="44"/>
          <w:szCs w:val="44"/>
          <w:lang w:val="zh-CN"/>
        </w:rPr>
      </w:pPr>
    </w:p>
    <w:p w14:paraId="3565D65B">
      <w:pPr>
        <w:spacing w:line="440" w:lineRule="exact"/>
        <w:ind w:firstLine="883" w:firstLineChars="200"/>
        <w:rPr>
          <w:rFonts w:hint="eastAsia" w:ascii="仿宋" w:hAnsi="仿宋" w:eastAsia="仿宋" w:cs="仿宋"/>
          <w:b/>
          <w:bCs/>
          <w:kern w:val="44"/>
          <w:sz w:val="44"/>
          <w:szCs w:val="44"/>
          <w:lang w:val="zh-CN"/>
        </w:rPr>
      </w:pPr>
    </w:p>
    <w:p w14:paraId="409D2F8F">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16D75F72">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6B5A2E69">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合同编号：</w:t>
      </w:r>
      <w:r>
        <w:rPr>
          <w:rFonts w:hint="eastAsia" w:ascii="仿宋" w:hAnsi="仿宋" w:eastAsia="仿宋" w:cs="仿宋"/>
          <w:b/>
          <w:kern w:val="2"/>
          <w:sz w:val="44"/>
          <w:szCs w:val="44"/>
          <w:u w:val="single"/>
        </w:rPr>
        <w:t xml:space="preserve">                                                 </w:t>
      </w:r>
    </w:p>
    <w:p w14:paraId="7BD322E6">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项目编号：</w:t>
      </w:r>
      <w:r>
        <w:rPr>
          <w:rFonts w:hint="eastAsia" w:ascii="仿宋" w:hAnsi="仿宋" w:eastAsia="仿宋" w:cs="仿宋"/>
          <w:b/>
          <w:kern w:val="2"/>
          <w:sz w:val="44"/>
          <w:szCs w:val="44"/>
          <w:u w:val="single"/>
        </w:rPr>
        <w:t xml:space="preserve">                                   </w:t>
      </w:r>
    </w:p>
    <w:p w14:paraId="2CBC6323">
      <w:pPr>
        <w:spacing w:before="100" w:beforeAutospacing="1" w:after="100" w:afterAutospacing="1" w:line="440" w:lineRule="exact"/>
        <w:ind w:left="800" w:leftChars="400" w:right="1296" w:rightChars="648" w:firstLine="883" w:firstLineChars="200"/>
        <w:jc w:val="center"/>
        <w:rPr>
          <w:rFonts w:hint="eastAsia" w:ascii="仿宋" w:hAnsi="仿宋" w:eastAsia="仿宋" w:cs="仿宋"/>
          <w:b/>
          <w:kern w:val="2"/>
          <w:sz w:val="44"/>
          <w:szCs w:val="44"/>
          <w:u w:val="single"/>
        </w:rPr>
      </w:pPr>
      <w:r>
        <w:rPr>
          <w:rFonts w:hint="eastAsia" w:ascii="仿宋" w:hAnsi="仿宋" w:eastAsia="仿宋" w:cs="仿宋"/>
          <w:b/>
          <w:kern w:val="2"/>
          <w:sz w:val="44"/>
          <w:szCs w:val="44"/>
        </w:rPr>
        <w:t>项目名称：</w:t>
      </w:r>
      <w:r>
        <w:rPr>
          <w:rFonts w:hint="eastAsia" w:ascii="仿宋" w:hAnsi="仿宋" w:eastAsia="仿宋" w:cs="仿宋"/>
          <w:b/>
          <w:kern w:val="2"/>
          <w:sz w:val="44"/>
          <w:szCs w:val="44"/>
          <w:u w:val="single"/>
        </w:rPr>
        <w:t>广东省广裕集团肇庆祥达实业有限公司</w:t>
      </w:r>
      <w:r>
        <w:rPr>
          <w:rFonts w:hint="eastAsia" w:ascii="仿宋" w:hAnsi="仿宋" w:eastAsia="仿宋" w:cs="仿宋"/>
          <w:b/>
          <w:kern w:val="2"/>
          <w:sz w:val="44"/>
          <w:szCs w:val="44"/>
          <w:u w:val="single"/>
          <w:lang w:eastAsia="zh-CN"/>
        </w:rPr>
        <w:t>电动叉车</w:t>
      </w:r>
      <w:r>
        <w:rPr>
          <w:rFonts w:hint="eastAsia" w:ascii="仿宋" w:hAnsi="仿宋" w:eastAsia="仿宋" w:cs="仿宋"/>
          <w:b/>
          <w:kern w:val="2"/>
          <w:sz w:val="44"/>
          <w:szCs w:val="44"/>
          <w:u w:val="single"/>
        </w:rPr>
        <w:t>项目</w:t>
      </w:r>
    </w:p>
    <w:p w14:paraId="6FC5A3E1">
      <w:pPr>
        <w:spacing w:line="440" w:lineRule="exact"/>
        <w:ind w:firstLine="883" w:firstLineChars="200"/>
        <w:jc w:val="center"/>
        <w:rPr>
          <w:rFonts w:hint="eastAsia" w:ascii="仿宋" w:hAnsi="仿宋" w:eastAsia="仿宋" w:cs="仿宋"/>
          <w:b/>
          <w:kern w:val="2"/>
          <w:sz w:val="28"/>
          <w:szCs w:val="28"/>
        </w:rPr>
        <w:sectPr>
          <w:pgSz w:w="11906" w:h="16838"/>
          <w:pgMar w:top="1304" w:right="1304" w:bottom="1134" w:left="1304" w:header="851" w:footer="992" w:gutter="0"/>
          <w:pgNumType w:fmt="numberInDash"/>
          <w:cols w:space="425" w:num="1"/>
          <w:docGrid w:type="lines" w:linePitch="312" w:charSpace="0"/>
        </w:sectPr>
      </w:pPr>
      <w:r>
        <w:rPr>
          <w:rFonts w:hint="eastAsia" w:ascii="仿宋" w:hAnsi="仿宋" w:eastAsia="仿宋" w:cs="仿宋"/>
          <w:b/>
          <w:kern w:val="2"/>
          <w:sz w:val="44"/>
          <w:szCs w:val="44"/>
        </w:rPr>
        <w:t>签订日期：     年    月    日</w:t>
      </w:r>
      <w:r>
        <w:rPr>
          <w:rFonts w:hint="eastAsia" w:ascii="仿宋" w:hAnsi="仿宋" w:eastAsia="仿宋" w:cs="仿宋"/>
          <w:b/>
          <w:kern w:val="2"/>
          <w:sz w:val="28"/>
          <w:szCs w:val="28"/>
        </w:rPr>
        <w:br w:type="page"/>
      </w:r>
    </w:p>
    <w:p w14:paraId="6A964BEC">
      <w:pPr>
        <w:keepNext/>
        <w:keepLines/>
        <w:spacing w:before="340" w:after="330" w:line="440" w:lineRule="exact"/>
        <w:ind w:firstLine="0" w:firstLineChars="0"/>
        <w:jc w:val="left"/>
        <w:outlineLvl w:val="0"/>
        <w:rPr>
          <w:rFonts w:hint="eastAsia" w:ascii="仿宋" w:hAnsi="仿宋" w:eastAsia="仿宋" w:cs="仿宋"/>
          <w:kern w:val="28"/>
          <w:sz w:val="28"/>
          <w:szCs w:val="28"/>
        </w:rPr>
      </w:pPr>
      <w:r>
        <w:rPr>
          <w:rFonts w:hint="eastAsia" w:ascii="仿宋" w:hAnsi="仿宋" w:eastAsia="仿宋" w:cs="仿宋"/>
          <w:b/>
          <w:bCs/>
          <w:kern w:val="2"/>
          <w:sz w:val="28"/>
          <w:szCs w:val="28"/>
          <w:u w:val="single"/>
          <w:lang w:val="en-US" w:eastAsia="zh-CN"/>
        </w:rPr>
        <w:t xml:space="preserve">  </w:t>
      </w:r>
      <w:r>
        <w:rPr>
          <w:rFonts w:hint="eastAsia" w:ascii="仿宋" w:hAnsi="仿宋" w:eastAsia="仿宋" w:cs="仿宋"/>
          <w:kern w:val="2"/>
          <w:sz w:val="28"/>
          <w:szCs w:val="28"/>
        </w:rPr>
        <w:t>参照政府采购的相关法律法规及《中华人民共和国民法典》，“</w:t>
      </w:r>
      <w:r>
        <w:rPr>
          <w:rFonts w:hint="eastAsia" w:ascii="仿宋" w:hAnsi="仿宋" w:eastAsia="仿宋" w:cs="仿宋"/>
          <w:snapToGrid w:val="0"/>
          <w:sz w:val="28"/>
          <w:szCs w:val="28"/>
        </w:rPr>
        <w:t>广东省广裕集团肇庆祥达实业有限公司电动叉车项目 ”的竞价文件（项目编号：       ）</w:t>
      </w:r>
      <w:r>
        <w:rPr>
          <w:rFonts w:hint="eastAsia" w:ascii="仿宋" w:hAnsi="仿宋" w:eastAsia="仿宋" w:cs="仿宋"/>
          <w:kern w:val="2"/>
          <w:sz w:val="28"/>
          <w:szCs w:val="28"/>
        </w:rPr>
        <w:t>的要求及报价文件的承诺，</w:t>
      </w:r>
      <w:r>
        <w:rPr>
          <w:rFonts w:hint="eastAsia" w:ascii="仿宋" w:hAnsi="仿宋" w:eastAsia="仿宋" w:cs="仿宋"/>
          <w:kern w:val="28"/>
          <w:sz w:val="28"/>
          <w:szCs w:val="28"/>
        </w:rPr>
        <w:t>经双方协商，</w:t>
      </w:r>
      <w:r>
        <w:rPr>
          <w:rFonts w:hint="eastAsia" w:ascii="仿宋" w:hAnsi="仿宋" w:eastAsia="仿宋" w:cs="仿宋"/>
          <w:kern w:val="2"/>
          <w:sz w:val="28"/>
          <w:szCs w:val="28"/>
        </w:rPr>
        <w:t>本着平等互利和诚实信用的原则，</w:t>
      </w:r>
      <w:r>
        <w:rPr>
          <w:rFonts w:hint="eastAsia" w:ascii="仿宋" w:hAnsi="仿宋" w:eastAsia="仿宋" w:cs="仿宋"/>
          <w:kern w:val="28"/>
          <w:sz w:val="28"/>
          <w:szCs w:val="28"/>
        </w:rPr>
        <w:t>一致同意签订本合同如下。</w:t>
      </w:r>
    </w:p>
    <w:p w14:paraId="545DE8F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详细技术参数及要求</w:t>
      </w:r>
    </w:p>
    <w:p w14:paraId="25FD64BD">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1.采购清单</w:t>
      </w:r>
    </w:p>
    <w:p w14:paraId="503DC4C4">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zh-CN" w:eastAsia="zh-CN"/>
        </w:rPr>
        <w:t>电动叉车</w:t>
      </w:r>
      <w:r>
        <w:rPr>
          <w:rFonts w:hint="eastAsia" w:ascii="仿宋" w:hAnsi="仿宋" w:eastAsia="仿宋" w:cs="仿宋"/>
          <w:kern w:val="2"/>
          <w:sz w:val="28"/>
          <w:szCs w:val="28"/>
          <w:lang w:val="en-US" w:eastAsia="zh-CN"/>
        </w:rPr>
        <w:t>26台（每台配3块蓄电池），30个插座以上防爆充电柜1个（需接线安装）。</w:t>
      </w:r>
    </w:p>
    <w:p w14:paraId="5714B2E7">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b/>
          <w:bCs/>
          <w:kern w:val="2"/>
          <w:sz w:val="28"/>
          <w:szCs w:val="28"/>
        </w:rPr>
      </w:pPr>
      <w:r>
        <w:rPr>
          <w:rFonts w:hint="eastAsia" w:ascii="仿宋" w:hAnsi="仿宋" w:eastAsia="仿宋" w:cs="仿宋"/>
          <w:b w:val="0"/>
          <w:bCs/>
          <w:kern w:val="44"/>
          <w:sz w:val="28"/>
          <w:szCs w:val="28"/>
          <w:lang w:val="en-US" w:eastAsia="zh-CN"/>
        </w:rPr>
        <w:t>2.</w:t>
      </w:r>
      <w:r>
        <w:rPr>
          <w:rFonts w:hint="eastAsia" w:ascii="仿宋" w:hAnsi="仿宋" w:eastAsia="仿宋" w:cs="仿宋"/>
          <w:b w:val="0"/>
          <w:bCs/>
          <w:kern w:val="44"/>
          <w:sz w:val="28"/>
          <w:szCs w:val="28"/>
        </w:rPr>
        <w:t>技术参数要求</w:t>
      </w:r>
    </w:p>
    <w:tbl>
      <w:tblPr>
        <w:tblStyle w:val="11"/>
        <w:tblW w:w="4998" w:type="pct"/>
        <w:tblInd w:w="0" w:type="dxa"/>
        <w:shd w:val="clear" w:color="auto" w:fill="auto"/>
        <w:tblLayout w:type="autofit"/>
        <w:tblCellMar>
          <w:top w:w="0" w:type="dxa"/>
          <w:left w:w="108" w:type="dxa"/>
          <w:bottom w:w="0" w:type="dxa"/>
          <w:right w:w="108" w:type="dxa"/>
        </w:tblCellMar>
      </w:tblPr>
      <w:tblGrid>
        <w:gridCol w:w="1134"/>
        <w:gridCol w:w="1486"/>
        <w:gridCol w:w="883"/>
        <w:gridCol w:w="2024"/>
        <w:gridCol w:w="915"/>
        <w:gridCol w:w="1300"/>
        <w:gridCol w:w="1825"/>
      </w:tblGrid>
      <w:tr w14:paraId="42961D64">
        <w:tblPrEx>
          <w:shd w:val="clear" w:color="auto" w:fill="auto"/>
          <w:tblCellMar>
            <w:top w:w="0" w:type="dxa"/>
            <w:left w:w="108" w:type="dxa"/>
            <w:bottom w:w="0" w:type="dxa"/>
            <w:right w:w="108" w:type="dxa"/>
          </w:tblCellMar>
        </w:tblPrEx>
        <w:trPr>
          <w:trHeight w:val="285" w:hRule="atLeast"/>
        </w:trPr>
        <w:tc>
          <w:tcPr>
            <w:tcW w:w="593" w:type="pct"/>
            <w:tcBorders>
              <w:top w:val="single" w:color="auto" w:sz="8" w:space="0"/>
              <w:left w:val="single" w:color="auto" w:sz="8" w:space="0"/>
              <w:bottom w:val="single" w:color="auto" w:sz="8" w:space="0"/>
              <w:right w:val="single" w:color="auto" w:sz="8" w:space="0"/>
            </w:tcBorders>
            <w:shd w:val="clear" w:color="auto" w:fill="auto"/>
            <w:vAlign w:val="center"/>
          </w:tcPr>
          <w:p w14:paraId="1191476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序号</w:t>
            </w:r>
          </w:p>
        </w:tc>
        <w:tc>
          <w:tcPr>
            <w:tcW w:w="776" w:type="pct"/>
            <w:tcBorders>
              <w:top w:val="single" w:color="auto" w:sz="8" w:space="0"/>
              <w:left w:val="nil"/>
              <w:bottom w:val="single" w:color="auto" w:sz="8" w:space="0"/>
              <w:right w:val="single" w:color="auto" w:sz="8" w:space="0"/>
            </w:tcBorders>
            <w:shd w:val="clear" w:color="auto" w:fill="auto"/>
            <w:vAlign w:val="center"/>
          </w:tcPr>
          <w:p w14:paraId="3736BAE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设备名称</w:t>
            </w:r>
          </w:p>
        </w:tc>
        <w:tc>
          <w:tcPr>
            <w:tcW w:w="461" w:type="pct"/>
            <w:tcBorders>
              <w:top w:val="single" w:color="auto" w:sz="8" w:space="0"/>
              <w:left w:val="nil"/>
              <w:bottom w:val="single" w:color="auto" w:sz="8" w:space="0"/>
              <w:right w:val="single" w:color="auto" w:sz="8" w:space="0"/>
            </w:tcBorders>
            <w:shd w:val="clear" w:color="auto" w:fill="auto"/>
            <w:vAlign w:val="center"/>
          </w:tcPr>
          <w:p w14:paraId="196038A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品牌</w:t>
            </w:r>
          </w:p>
        </w:tc>
        <w:tc>
          <w:tcPr>
            <w:tcW w:w="1057" w:type="pct"/>
            <w:tcBorders>
              <w:top w:val="single" w:color="auto" w:sz="8" w:space="0"/>
              <w:left w:val="nil"/>
              <w:bottom w:val="single" w:color="auto" w:sz="8" w:space="0"/>
              <w:right w:val="single" w:color="auto" w:sz="8" w:space="0"/>
            </w:tcBorders>
            <w:shd w:val="clear" w:color="auto" w:fill="auto"/>
            <w:vAlign w:val="center"/>
          </w:tcPr>
          <w:p w14:paraId="356F67D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规格要求</w:t>
            </w:r>
          </w:p>
        </w:tc>
        <w:tc>
          <w:tcPr>
            <w:tcW w:w="478" w:type="pct"/>
            <w:tcBorders>
              <w:top w:val="single" w:color="auto" w:sz="8" w:space="0"/>
              <w:left w:val="nil"/>
              <w:bottom w:val="single" w:color="auto" w:sz="8" w:space="0"/>
              <w:right w:val="single" w:color="auto" w:sz="8" w:space="0"/>
            </w:tcBorders>
            <w:shd w:val="clear" w:color="auto" w:fill="auto"/>
            <w:vAlign w:val="center"/>
          </w:tcPr>
          <w:p w14:paraId="7FC5715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单位</w:t>
            </w:r>
          </w:p>
        </w:tc>
        <w:tc>
          <w:tcPr>
            <w:tcW w:w="679" w:type="pct"/>
            <w:tcBorders>
              <w:top w:val="single" w:color="auto" w:sz="8" w:space="0"/>
              <w:left w:val="nil"/>
              <w:bottom w:val="single" w:color="auto" w:sz="8" w:space="0"/>
              <w:right w:val="single" w:color="auto" w:sz="8" w:space="0"/>
            </w:tcBorders>
            <w:shd w:val="clear" w:color="auto" w:fill="auto"/>
            <w:vAlign w:val="center"/>
          </w:tcPr>
          <w:p w14:paraId="44FC6AFE">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数量</w:t>
            </w:r>
          </w:p>
        </w:tc>
        <w:tc>
          <w:tcPr>
            <w:tcW w:w="953" w:type="pct"/>
            <w:tcBorders>
              <w:top w:val="single" w:color="auto" w:sz="8" w:space="0"/>
              <w:left w:val="nil"/>
              <w:bottom w:val="single" w:color="auto" w:sz="8" w:space="0"/>
              <w:right w:val="single" w:color="auto" w:sz="8" w:space="0"/>
            </w:tcBorders>
            <w:shd w:val="clear" w:color="auto" w:fill="auto"/>
            <w:vAlign w:val="center"/>
          </w:tcPr>
          <w:p w14:paraId="416A544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eastAsia="zh-CN" w:bidi="ar"/>
              </w:rPr>
            </w:pPr>
            <w:r>
              <w:rPr>
                <w:rFonts w:hint="eastAsia" w:ascii="仿宋" w:hAnsi="仿宋" w:eastAsia="仿宋" w:cs="仿宋"/>
                <w:b/>
                <w:color w:val="1B1C1D"/>
                <w:kern w:val="2"/>
                <w:sz w:val="28"/>
                <w:szCs w:val="28"/>
                <w:lang w:val="en-US" w:eastAsia="zh-CN" w:bidi="ar"/>
              </w:rPr>
              <w:t>备注</w:t>
            </w:r>
          </w:p>
        </w:tc>
      </w:tr>
      <w:tr w14:paraId="48D0C0F5">
        <w:tblPrEx>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78D9780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776" w:type="pct"/>
            <w:tcBorders>
              <w:top w:val="nil"/>
              <w:left w:val="nil"/>
              <w:bottom w:val="single" w:color="auto" w:sz="8" w:space="0"/>
              <w:right w:val="single" w:color="auto" w:sz="8" w:space="0"/>
            </w:tcBorders>
            <w:shd w:val="clear" w:color="auto" w:fill="auto"/>
            <w:vAlign w:val="center"/>
          </w:tcPr>
          <w:p w14:paraId="3DA58184">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w:t>
            </w:r>
          </w:p>
        </w:tc>
        <w:tc>
          <w:tcPr>
            <w:tcW w:w="461" w:type="pct"/>
            <w:tcBorders>
              <w:top w:val="nil"/>
              <w:left w:val="nil"/>
              <w:bottom w:val="single" w:color="auto" w:sz="8" w:space="0"/>
              <w:right w:val="single" w:color="auto" w:sz="8" w:space="0"/>
            </w:tcBorders>
            <w:shd w:val="clear" w:color="auto" w:fill="auto"/>
            <w:vAlign w:val="center"/>
          </w:tcPr>
          <w:p w14:paraId="0B92D02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中力</w:t>
            </w:r>
          </w:p>
        </w:tc>
        <w:tc>
          <w:tcPr>
            <w:tcW w:w="1057" w:type="pct"/>
            <w:tcBorders>
              <w:top w:val="nil"/>
              <w:left w:val="nil"/>
              <w:bottom w:val="single" w:color="auto" w:sz="8" w:space="0"/>
              <w:right w:val="single" w:color="auto" w:sz="8" w:space="0"/>
            </w:tcBorders>
            <w:shd w:val="clear" w:color="auto" w:fill="auto"/>
            <w:vAlign w:val="center"/>
          </w:tcPr>
          <w:p w14:paraId="2902E04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F4</w:t>
            </w:r>
          </w:p>
        </w:tc>
        <w:tc>
          <w:tcPr>
            <w:tcW w:w="478" w:type="pct"/>
            <w:tcBorders>
              <w:top w:val="nil"/>
              <w:left w:val="nil"/>
              <w:bottom w:val="single" w:color="auto" w:sz="8" w:space="0"/>
              <w:right w:val="single" w:color="auto" w:sz="8" w:space="0"/>
            </w:tcBorders>
            <w:shd w:val="clear" w:color="auto" w:fill="auto"/>
            <w:vAlign w:val="center"/>
          </w:tcPr>
          <w:p w14:paraId="46B27AF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台</w:t>
            </w:r>
          </w:p>
        </w:tc>
        <w:tc>
          <w:tcPr>
            <w:tcW w:w="679" w:type="pct"/>
            <w:tcBorders>
              <w:top w:val="nil"/>
              <w:left w:val="nil"/>
              <w:bottom w:val="single" w:color="auto" w:sz="8" w:space="0"/>
              <w:right w:val="single" w:color="auto" w:sz="8" w:space="0"/>
            </w:tcBorders>
            <w:shd w:val="clear" w:color="auto" w:fill="auto"/>
            <w:vAlign w:val="center"/>
          </w:tcPr>
          <w:p w14:paraId="4FF72A4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26</w:t>
            </w:r>
          </w:p>
        </w:tc>
        <w:tc>
          <w:tcPr>
            <w:tcW w:w="953" w:type="pct"/>
            <w:tcBorders>
              <w:top w:val="nil"/>
              <w:left w:val="nil"/>
              <w:bottom w:val="single" w:color="auto" w:sz="8" w:space="0"/>
              <w:right w:val="single" w:color="auto" w:sz="8" w:space="0"/>
            </w:tcBorders>
            <w:shd w:val="clear" w:color="auto" w:fill="auto"/>
            <w:vAlign w:val="center"/>
          </w:tcPr>
          <w:p w14:paraId="607D552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textAlignment w:val="auto"/>
              <w:outlineLvl w:val="9"/>
              <w:rPr>
                <w:rFonts w:hint="eastAsia" w:ascii="仿宋" w:hAnsi="仿宋" w:eastAsia="仿宋" w:cs="仿宋"/>
                <w:color w:val="1B1C1D"/>
                <w:kern w:val="2"/>
                <w:sz w:val="28"/>
                <w:szCs w:val="28"/>
                <w:lang w:val="en-US" w:eastAsia="zh-CN"/>
              </w:rPr>
            </w:pPr>
          </w:p>
        </w:tc>
      </w:tr>
      <w:tr w14:paraId="2D4A76E7">
        <w:tblPrEx>
          <w:shd w:val="clear" w:color="auto" w:fill="auto"/>
          <w:tblCellMar>
            <w:top w:w="0" w:type="dxa"/>
            <w:left w:w="108" w:type="dxa"/>
            <w:bottom w:w="0" w:type="dxa"/>
            <w:right w:w="108" w:type="dxa"/>
          </w:tblCellMar>
        </w:tblPrEx>
        <w:trPr>
          <w:trHeight w:val="1801"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5B77E24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w:t>
            </w:r>
          </w:p>
        </w:tc>
        <w:tc>
          <w:tcPr>
            <w:tcW w:w="776" w:type="pct"/>
            <w:tcBorders>
              <w:top w:val="nil"/>
              <w:left w:val="nil"/>
              <w:bottom w:val="single" w:color="auto" w:sz="8" w:space="0"/>
              <w:right w:val="single" w:color="auto" w:sz="8" w:space="0"/>
            </w:tcBorders>
            <w:shd w:val="clear" w:color="auto" w:fill="auto"/>
            <w:vAlign w:val="center"/>
          </w:tcPr>
          <w:p w14:paraId="6A2A183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蓄电池</w:t>
            </w:r>
          </w:p>
        </w:tc>
        <w:tc>
          <w:tcPr>
            <w:tcW w:w="461" w:type="pct"/>
            <w:tcBorders>
              <w:top w:val="nil"/>
              <w:left w:val="nil"/>
              <w:bottom w:val="single" w:color="auto" w:sz="8" w:space="0"/>
              <w:right w:val="single" w:color="auto" w:sz="8" w:space="0"/>
            </w:tcBorders>
            <w:shd w:val="clear" w:color="auto" w:fill="auto"/>
            <w:vAlign w:val="center"/>
          </w:tcPr>
          <w:p w14:paraId="7819485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3B8E73B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电动叉车配套</w:t>
            </w:r>
          </w:p>
        </w:tc>
        <w:tc>
          <w:tcPr>
            <w:tcW w:w="478" w:type="pct"/>
            <w:tcBorders>
              <w:top w:val="nil"/>
              <w:left w:val="nil"/>
              <w:bottom w:val="single" w:color="auto" w:sz="8" w:space="0"/>
              <w:right w:val="single" w:color="auto" w:sz="8" w:space="0"/>
            </w:tcBorders>
            <w:shd w:val="clear" w:color="auto" w:fill="auto"/>
            <w:vAlign w:val="center"/>
          </w:tcPr>
          <w:p w14:paraId="3AC20A0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7A232C3A">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52</w:t>
            </w:r>
          </w:p>
        </w:tc>
        <w:tc>
          <w:tcPr>
            <w:tcW w:w="953" w:type="pct"/>
            <w:tcBorders>
              <w:top w:val="nil"/>
              <w:left w:val="nil"/>
              <w:bottom w:val="single" w:color="auto" w:sz="8" w:space="0"/>
              <w:right w:val="single" w:color="auto" w:sz="8" w:space="0"/>
            </w:tcBorders>
            <w:shd w:val="clear" w:color="auto" w:fill="auto"/>
            <w:vAlign w:val="center"/>
          </w:tcPr>
          <w:p w14:paraId="5DFC345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除电动叉车自身所配蓄电池外另外每台多配两个蓄电池</w:t>
            </w:r>
          </w:p>
        </w:tc>
      </w:tr>
      <w:tr w14:paraId="6EA97664">
        <w:tblPrEx>
          <w:shd w:val="clear" w:color="auto" w:fill="auto"/>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60A6438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w:t>
            </w:r>
          </w:p>
        </w:tc>
        <w:tc>
          <w:tcPr>
            <w:tcW w:w="776" w:type="pct"/>
            <w:tcBorders>
              <w:top w:val="nil"/>
              <w:left w:val="nil"/>
              <w:bottom w:val="single" w:color="auto" w:sz="8" w:space="0"/>
              <w:right w:val="single" w:color="auto" w:sz="8" w:space="0"/>
            </w:tcBorders>
            <w:shd w:val="clear" w:color="auto" w:fill="auto"/>
            <w:vAlign w:val="center"/>
          </w:tcPr>
          <w:p w14:paraId="1965812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防爆充电柜</w:t>
            </w:r>
          </w:p>
        </w:tc>
        <w:tc>
          <w:tcPr>
            <w:tcW w:w="461" w:type="pct"/>
            <w:tcBorders>
              <w:top w:val="nil"/>
              <w:left w:val="nil"/>
              <w:bottom w:val="single" w:color="auto" w:sz="8" w:space="0"/>
              <w:right w:val="single" w:color="auto" w:sz="8" w:space="0"/>
            </w:tcBorders>
            <w:shd w:val="clear" w:color="auto" w:fill="auto"/>
            <w:vAlign w:val="center"/>
          </w:tcPr>
          <w:p w14:paraId="170A81C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7E7367C0">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电池防爆、高温报警、高温断电、定时管理</w:t>
            </w:r>
          </w:p>
        </w:tc>
        <w:tc>
          <w:tcPr>
            <w:tcW w:w="478" w:type="pct"/>
            <w:tcBorders>
              <w:top w:val="nil"/>
              <w:left w:val="nil"/>
              <w:bottom w:val="single" w:color="auto" w:sz="8" w:space="0"/>
              <w:right w:val="single" w:color="auto" w:sz="8" w:space="0"/>
            </w:tcBorders>
            <w:shd w:val="clear" w:color="auto" w:fill="auto"/>
            <w:vAlign w:val="center"/>
          </w:tcPr>
          <w:p w14:paraId="2BFE30D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19B4D38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560" w:firstLineChars="200"/>
              <w:jc w:val="both"/>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953" w:type="pct"/>
            <w:tcBorders>
              <w:top w:val="nil"/>
              <w:left w:val="nil"/>
              <w:bottom w:val="single" w:color="auto" w:sz="8" w:space="0"/>
              <w:right w:val="single" w:color="auto" w:sz="8" w:space="0"/>
            </w:tcBorders>
            <w:shd w:val="clear" w:color="auto" w:fill="auto"/>
            <w:vAlign w:val="center"/>
          </w:tcPr>
          <w:p w14:paraId="5A18F20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30个插座以上，需接线安装。</w:t>
            </w:r>
          </w:p>
        </w:tc>
      </w:tr>
    </w:tbl>
    <w:p w14:paraId="78D801D6">
      <w:pPr>
        <w:pStyle w:val="17"/>
        <w:numPr>
          <w:ilvl w:val="0"/>
          <w:numId w:val="0"/>
        </w:numPr>
        <w:snapToGrid w:val="0"/>
        <w:spacing w:line="440" w:lineRule="exact"/>
        <w:ind w:leftChars="0"/>
        <w:rPr>
          <w:rFonts w:hint="eastAsia" w:ascii="仿宋" w:hAnsi="仿宋" w:eastAsia="仿宋" w:cs="仿宋"/>
          <w:b/>
          <w:bCs/>
          <w:kern w:val="2"/>
          <w:sz w:val="28"/>
          <w:szCs w:val="28"/>
        </w:rPr>
      </w:pPr>
    </w:p>
    <w:p w14:paraId="4E8FFF47">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合同金额</w:t>
      </w:r>
    </w:p>
    <w:p w14:paraId="683EFF5D">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合同总价：人民币</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元 ）</w:t>
      </w:r>
    </w:p>
    <w:p w14:paraId="3BA49BCC">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采用综合总价包干方式，合同总价应包含（人民币）完成本次项目所有内容的费用，包括货款、杂配件、安装、验收费、检测费、运输、进场、装卸、保管、调试、质保期售后服务、清运费、保险费、各项税金等合同实施过程中的一切费用。（注：乙方自行考虑完成项目所需的辅材、杂配件等数量，合同总价中应包含全部内容，成交后甲方不再另行支付额外费用。）</w:t>
      </w:r>
    </w:p>
    <w:p w14:paraId="6767697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本项目为一个整体，</w:t>
      </w:r>
      <w:r>
        <w:rPr>
          <w:rFonts w:hint="eastAsia" w:ascii="仿宋" w:hAnsi="仿宋" w:eastAsia="仿宋" w:cs="仿宋"/>
          <w:kern w:val="2"/>
          <w:sz w:val="28"/>
          <w:szCs w:val="28"/>
          <w:lang w:val="en-US" w:eastAsia="zh-CN"/>
        </w:rPr>
        <w:t>乙方</w:t>
      </w:r>
      <w:r>
        <w:rPr>
          <w:rFonts w:hint="eastAsia" w:ascii="仿宋" w:hAnsi="仿宋" w:eastAsia="仿宋" w:cs="仿宋"/>
          <w:kern w:val="2"/>
          <w:sz w:val="28"/>
          <w:szCs w:val="28"/>
        </w:rPr>
        <w:t>必须对本项目整体进行响应，不能只对其中部分货物进行响应，供货时要提供详细的电动叉车具体参数表，充电柜具体参数；</w:t>
      </w:r>
    </w:p>
    <w:p w14:paraId="6148A75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项目实施地点：广东省广裕集团肇庆祥达实业有限公司。</w:t>
      </w:r>
    </w:p>
    <w:p w14:paraId="381BA14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交货及验收事项</w:t>
      </w:r>
    </w:p>
    <w:p w14:paraId="256E1D2F">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质保期：一年；</w:t>
      </w:r>
    </w:p>
    <w:p w14:paraId="4847F07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bCs/>
          <w:kern w:val="2"/>
          <w:sz w:val="28"/>
          <w:szCs w:val="28"/>
        </w:rPr>
        <w:t>乙方须是合同货物的生产商或经销商，乙方须提供符合要求的生产商就本采购</w:t>
      </w:r>
      <w:r>
        <w:rPr>
          <w:rFonts w:hint="eastAsia" w:ascii="仿宋" w:hAnsi="仿宋" w:eastAsia="仿宋" w:cs="仿宋"/>
          <w:kern w:val="2"/>
          <w:sz w:val="28"/>
          <w:szCs w:val="28"/>
        </w:rPr>
        <w:t>项目出具的售后服务承诺书；</w:t>
      </w:r>
    </w:p>
    <w:p w14:paraId="4189FC2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交货地点：甲方指定的地点</w:t>
      </w:r>
    </w:p>
    <w:p w14:paraId="55E9041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交货期：乙方按有关标准提供货物的供货安装，在本合同生效后</w:t>
      </w:r>
      <w:r>
        <w:rPr>
          <w:rFonts w:hint="eastAsia" w:ascii="仿宋" w:hAnsi="仿宋" w:eastAsia="仿宋" w:cs="仿宋"/>
          <w:kern w:val="2"/>
          <w:sz w:val="28"/>
          <w:szCs w:val="28"/>
          <w:lang w:val="en-US" w:eastAsia="zh-CN"/>
        </w:rPr>
        <w:t>14</w:t>
      </w:r>
      <w:r>
        <w:rPr>
          <w:rFonts w:hint="eastAsia" w:ascii="仿宋" w:hAnsi="仿宋" w:eastAsia="仿宋" w:cs="仿宋"/>
          <w:kern w:val="2"/>
          <w:sz w:val="28"/>
          <w:szCs w:val="28"/>
        </w:rPr>
        <w:t>日历天内完成供货、安装调试以及验收。</w:t>
      </w:r>
    </w:p>
    <w:p w14:paraId="773BD62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乙方</w:t>
      </w:r>
      <w:r>
        <w:rPr>
          <w:rFonts w:hint="eastAsia" w:ascii="仿宋" w:hAnsi="仿宋" w:eastAsia="仿宋" w:cs="仿宋"/>
          <w:bCs w:val="0"/>
          <w:kern w:val="2"/>
          <w:sz w:val="28"/>
          <w:szCs w:val="28"/>
          <w:lang w:eastAsia="zh-CN"/>
        </w:rPr>
        <w:t>所报</w:t>
      </w:r>
      <w:r>
        <w:rPr>
          <w:rFonts w:hint="eastAsia" w:ascii="仿宋" w:hAnsi="仿宋" w:eastAsia="仿宋" w:cs="仿宋"/>
          <w:bCs w:val="0"/>
          <w:kern w:val="2"/>
          <w:sz w:val="28"/>
          <w:szCs w:val="28"/>
        </w:rPr>
        <w:t>合同货物应为制造商原装的、全新的、符合有关质量标准的产品。</w:t>
      </w:r>
    </w:p>
    <w:p w14:paraId="43B546CC">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所有材料均要求符合国家标准。</w:t>
      </w:r>
    </w:p>
    <w:p w14:paraId="08F8BE8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由乙方负责按国家相关标准进行货物包装，货物的包装均应有良好的防湿、防锈、防潮、防雨、防腐及防碰撞的措施，并适宜广东的气候条件。凡由于包装不良造成的损失和由此产生的费用均由乙方承担。</w:t>
      </w:r>
    </w:p>
    <w:p w14:paraId="36BC0B0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负责货物到现场过程中的全部运输及费用，包括装卸车、货物现场的搬运安装调试，并负责其派出的人员人身意外保险。货物交货之前的所有保险费用和派往甲方进行服务人员的人身险和其他有关险种，以及有关费用由乙方负责。</w:t>
      </w:r>
    </w:p>
    <w:p w14:paraId="6B032A92">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交货时必须随附该批产品的产品质量合格证书或能说明质量达标的证明资料、货物正常使用所需的所有技术资料及使用说明书。</w:t>
      </w:r>
    </w:p>
    <w:p w14:paraId="7E62C276">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所提供的产品必须是在中国范围内合法销售，原装、全新、并完全符合甲方要求的产品。</w:t>
      </w:r>
    </w:p>
    <w:p w14:paraId="1CC9B72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货物若有国家标准按照国家标准验收，若无国家标准按行业标准验收，为原制造商制造的全新产品，整机无污染，无侵权行为、表面无划损、无任何缺陷隐患，在中国境内可依常规安全合法使用。</w:t>
      </w:r>
    </w:p>
    <w:p w14:paraId="2DF9BB87">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乙方应将关键主机设备的用户手册、保修手册、有关单证资料及配备件、随机工具等交付给甲方，使用操作及安全须知等重要资料应附有中文说明。</w:t>
      </w:r>
    </w:p>
    <w:p w14:paraId="27E43281">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验收由甲方组成验收小组按国家有关规定、规范进行验收，必要时邀请相关的专业人员或机构参与验收。因货物质量问题发生争议时，由本地质量技术监督部门鉴定，鉴定费由乙方承担。</w:t>
      </w:r>
    </w:p>
    <w:p w14:paraId="4DD124D1">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支付方式</w:t>
      </w:r>
    </w:p>
    <w:p w14:paraId="3C60B6C4">
      <w:pPr>
        <w:tabs>
          <w:tab w:val="left" w:pos="624"/>
        </w:tabs>
        <w:snapToGrid w:val="0"/>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本项目以人民币转账方式支付。</w:t>
      </w:r>
    </w:p>
    <w:p w14:paraId="0FB95733">
      <w:pPr>
        <w:pStyle w:val="2"/>
        <w:numPr>
          <w:ilvl w:val="0"/>
          <w:numId w:val="4"/>
        </w:numPr>
        <w:spacing w:line="360" w:lineRule="auto"/>
        <w:rPr>
          <w:rFonts w:hint="eastAsia" w:ascii="仿宋" w:hAnsi="仿宋" w:eastAsia="仿宋" w:cs="仿宋"/>
          <w:sz w:val="28"/>
          <w:szCs w:val="28"/>
        </w:rPr>
      </w:pPr>
      <w:r>
        <w:rPr>
          <w:rFonts w:hint="eastAsia" w:ascii="仿宋" w:hAnsi="仿宋" w:eastAsia="仿宋" w:cs="仿宋"/>
          <w:kern w:val="2"/>
          <w:sz w:val="28"/>
          <w:szCs w:val="28"/>
        </w:rPr>
        <w:t>项目款项支付方式：</w:t>
      </w:r>
    </w:p>
    <w:p w14:paraId="18406B50">
      <w:pPr>
        <w:pStyle w:val="17"/>
        <w:numPr>
          <w:ilvl w:val="0"/>
          <w:numId w:val="5"/>
        </w:numPr>
        <w:tabs>
          <w:tab w:val="left" w:pos="624"/>
        </w:tabs>
        <w:snapToGrid w:val="0"/>
        <w:spacing w:line="360" w:lineRule="auto"/>
        <w:ind w:firstLineChars="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验收完毕并通过甲方(或甲方委托第三方)签字验收合格，甲方在三十个工作日内凭乙方开具的正式发票（增值税专用票）支付合同总价及退回履约保证金。</w:t>
      </w:r>
    </w:p>
    <w:p w14:paraId="42F74F8F">
      <w:pPr>
        <w:pStyle w:val="17"/>
        <w:numPr>
          <w:ilvl w:val="0"/>
          <w:numId w:val="5"/>
        </w:numPr>
        <w:tabs>
          <w:tab w:val="left" w:pos="624"/>
        </w:tabs>
        <w:snapToGrid w:val="0"/>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甲方仅负责在上述约定时间内完成申报手续，实际付款到账时间及金额以支付单位支付时间及金额为准。甲方不承担逾期付款的违约责任，并且此情况不能成为乙方逾期供货或怠于提供服务的理由。</w:t>
      </w:r>
    </w:p>
    <w:p w14:paraId="5BEBE22B">
      <w:pPr>
        <w:pStyle w:val="2"/>
        <w:numPr>
          <w:ilvl w:val="0"/>
          <w:numId w:val="4"/>
        </w:numPr>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履约保证金：</w:t>
      </w:r>
    </w:p>
    <w:p w14:paraId="01AFEB80">
      <w:pPr>
        <w:pStyle w:val="2"/>
        <w:numPr>
          <w:ilvl w:val="0"/>
          <w:numId w:val="0"/>
        </w:numPr>
        <w:spacing w:line="360" w:lineRule="auto"/>
        <w:ind w:left="48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服务期履约保证金金额按合同总价的5%收取，乙方须在签订合同后三个工作日内向甲方</w:t>
      </w:r>
      <w:r>
        <w:rPr>
          <w:rFonts w:hint="eastAsia" w:ascii="仿宋" w:hAnsi="仿宋" w:eastAsia="仿宋" w:cs="仿宋"/>
          <w:color w:val="000000"/>
          <w:sz w:val="28"/>
          <w:szCs w:val="28"/>
        </w:rPr>
        <w:t>通过银行转账方式</w:t>
      </w:r>
      <w:r>
        <w:rPr>
          <w:rFonts w:hint="eastAsia" w:ascii="仿宋" w:hAnsi="仿宋" w:eastAsia="仿宋" w:cs="仿宋"/>
          <w:kern w:val="2"/>
          <w:sz w:val="28"/>
          <w:szCs w:val="28"/>
        </w:rPr>
        <w:t>提交履约保证金，履约保证金的保证期限自乙方应当交付履约保证金之日始至合同期满之日止。合同期满后，在乙方没有违反合约条款的情况下，甲方在完工后签字验收合格(或甲方委托第三方)后三十个工作日内一次性无息退回履约保证金。</w:t>
      </w:r>
    </w:p>
    <w:p w14:paraId="4B8F6C2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售后服务</w:t>
      </w:r>
    </w:p>
    <w:p w14:paraId="7F469429">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乙方须承诺质保期限不低于竞价文件的要求（易耗易损设备除外）</w:t>
      </w: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rPr>
        <w:t>提供售后承诺函（文本自拟）。质保期自甲方和乙方代表在验收报告上签字之日起计算。</w:t>
      </w:r>
    </w:p>
    <w:p w14:paraId="021FD107">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所有设备质保服务方式均为由设备生产厂家或厂家指派专业人员上门提供质保服务，提供定期上门技术服务，24小时不间断技术支持，由此产生的一切费用均由乙方承担，乙方有责任为甲方提供长期维修服务和技术支持。如乙方怠于或拒绝履行质保义务的，甲方有权自行委托第三方维护，由此产生的一切费用均由乙方承担。</w:t>
      </w:r>
    </w:p>
    <w:p w14:paraId="0483BCA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质保期内，乙方对所供货物实行包修、包换、包退、包维护保养，期满后可同时提供终身、有偿维修保养服务。</w:t>
      </w:r>
    </w:p>
    <w:p w14:paraId="3ADB8BE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为保证设备的正常使用和日常维护，乙方需对甲方设备管理人员和操作人员进行技术培训。</w:t>
      </w:r>
    </w:p>
    <w:p w14:paraId="0C6E5E7C">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乙方负责对设备免费安装。</w:t>
      </w:r>
    </w:p>
    <w:p w14:paraId="7F1210A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其他要求</w:t>
      </w:r>
    </w:p>
    <w:p w14:paraId="7050CC8C">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乙方承包及负责竞价文件中对乙方要求的一切事宜及责任。包括货物供货、运输、保管、安装调试使用合格经相关部门验收、质保服务及相关服务等。成交后不得在成交价之外加收任何费用。</w:t>
      </w:r>
    </w:p>
    <w:p w14:paraId="6E38A2E0">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对于影响货物正常使用的必要组成部分，无论在技术需求中指出与否，乙方都应在</w:t>
      </w:r>
      <w:r>
        <w:rPr>
          <w:rFonts w:hint="eastAsia" w:ascii="仿宋" w:hAnsi="仿宋" w:eastAsia="仿宋" w:cs="仿宋"/>
          <w:bCs/>
          <w:kern w:val="2"/>
          <w:sz w:val="28"/>
          <w:szCs w:val="28"/>
          <w:lang w:val="en-US" w:eastAsia="zh-CN"/>
        </w:rPr>
        <w:t>报价文件</w:t>
      </w:r>
      <w:r>
        <w:rPr>
          <w:rFonts w:hint="eastAsia" w:ascii="仿宋" w:hAnsi="仿宋" w:eastAsia="仿宋" w:cs="仿宋"/>
          <w:bCs/>
          <w:kern w:val="2"/>
          <w:sz w:val="28"/>
          <w:szCs w:val="28"/>
        </w:rPr>
        <w:t>中明确列出，并且合同总价包含此部分的价格。</w:t>
      </w:r>
    </w:p>
    <w:p w14:paraId="5ECFCE67">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乙方提供的货物必须是原厂生产的、全新的、未使用过的，并完全符合原厂质量检测标准和国家相关标准、行业标准。</w:t>
      </w:r>
    </w:p>
    <w:p w14:paraId="5CBB2C26">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乙方应保证，甲方在使用该货物或该货物的任何一部分时，免受第三方提出的侵犯其专利权、商标权、工业设计权、侵犯所有权和工业产权、著作权（版权）等知识产权的起诉。</w:t>
      </w:r>
    </w:p>
    <w:p w14:paraId="50C6C951">
      <w:pPr>
        <w:pStyle w:val="17"/>
        <w:numPr>
          <w:ilvl w:val="0"/>
          <w:numId w:val="7"/>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货物交货之前的所有保险费用和派往甲方处进行服务人员的人身险和其他有关险种，以及有关费用由乙方负责。</w:t>
      </w:r>
    </w:p>
    <w:p w14:paraId="6EE238D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双方违约责任</w:t>
      </w:r>
    </w:p>
    <w:p w14:paraId="54A05262">
      <w:pPr>
        <w:pStyle w:val="17"/>
        <w:numPr>
          <w:ilvl w:val="0"/>
          <w:numId w:val="8"/>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发生以下情形，经调查属实的，扣除乙方50%履约保证金：</w:t>
      </w:r>
    </w:p>
    <w:p w14:paraId="24D703C3">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 xml:space="preserve">供应材料品种、品牌、规格或质量等级与合同不符； </w:t>
      </w:r>
    </w:p>
    <w:p w14:paraId="250FE2FD">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材料出现质量问题，乙方不积极配合查找原因，不及时反馈处理结果；</w:t>
      </w:r>
    </w:p>
    <w:p w14:paraId="504AAC4F">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提供虚假检验报告等相关票证；</w:t>
      </w:r>
    </w:p>
    <w:p w14:paraId="038B5711">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乙方没有在合同规定时间内完成货物安装并通过验收交付使用。</w:t>
      </w:r>
    </w:p>
    <w:p w14:paraId="20FF458C">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如在合同执行期间因乙方违约导致履约保证金部分扣除，乙方需在五个工作日内将扣除的履约保证金补齐；如未按期补齐，甲方有权单方面解除合同并没收全部履约保证金。</w:t>
      </w:r>
    </w:p>
    <w:p w14:paraId="67E0836E">
      <w:pPr>
        <w:pStyle w:val="17"/>
        <w:numPr>
          <w:ilvl w:val="0"/>
          <w:numId w:val="8"/>
        </w:numPr>
        <w:autoSpaceDE w:val="0"/>
        <w:autoSpaceDN w:val="0"/>
        <w:adjustRightInd w:val="0"/>
        <w:spacing w:line="360" w:lineRule="auto"/>
        <w:ind w:left="442" w:hanging="442" w:firstLineChars="0"/>
        <w:rPr>
          <w:rFonts w:hint="eastAsia" w:ascii="仿宋" w:hAnsi="仿宋" w:eastAsia="仿宋" w:cs="仿宋"/>
          <w:sz w:val="28"/>
          <w:szCs w:val="28"/>
        </w:rPr>
      </w:pPr>
      <w:r>
        <w:rPr>
          <w:rFonts w:hint="eastAsia" w:ascii="仿宋" w:hAnsi="仿宋" w:eastAsia="仿宋" w:cs="仿宋"/>
          <w:bCs/>
          <w:kern w:val="2"/>
          <w:sz w:val="28"/>
          <w:szCs w:val="28"/>
        </w:rPr>
        <w:t>乙方未能按本合同规定的项目完成时间提供设备供甲方使用，从逾期之日起每日按本合同总价千分之三的数额向甲方支付违约金；逾期半个月以上的，甲方有权终止合同，由此造成的甲方经济损失由乙方承担。</w:t>
      </w:r>
    </w:p>
    <w:p w14:paraId="633625A6">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货物或项目未能一次性通过验收，则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同意由</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予以整改，并在第一次验收结束之日起5天内重新组织验收；经2次验收不合格的，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有权单方面解除合同，没收全部履约保证金。如因此给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造成其他损失的，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提出索赔。</w:t>
      </w:r>
    </w:p>
    <w:p w14:paraId="6B0013AF">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未按时一次性足额支付保证金的，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有权单方解除本合同。如因此造成</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需要重新招</w:t>
      </w:r>
      <w:r>
        <w:rPr>
          <w:rFonts w:hint="eastAsia" w:ascii="仿宋" w:hAnsi="仿宋" w:eastAsia="仿宋" w:cs="仿宋"/>
          <w:bCs/>
          <w:kern w:val="2"/>
          <w:sz w:val="28"/>
          <w:szCs w:val="28"/>
          <w:lang w:val="en-US" w:eastAsia="zh-CN"/>
        </w:rPr>
        <w:t>竞价</w:t>
      </w:r>
      <w:r>
        <w:rPr>
          <w:rFonts w:hint="eastAsia" w:ascii="仿宋" w:hAnsi="仿宋" w:eastAsia="仿宋" w:cs="仿宋"/>
          <w:bCs/>
          <w:kern w:val="2"/>
          <w:sz w:val="28"/>
          <w:szCs w:val="28"/>
        </w:rPr>
        <w:t>等损失的，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追偿。</w:t>
      </w:r>
    </w:p>
    <w:p w14:paraId="06AF61AB">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无正当理由拒收接受</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所交付的货物，到期拒付合同款项的，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偿付本合同总额的5%的违约金。</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逾期付款，则每日按本合同总价的千份之三向</w:t>
      </w:r>
      <w:r>
        <w:rPr>
          <w:rFonts w:hint="eastAsia" w:ascii="仿宋" w:hAnsi="仿宋" w:eastAsia="仿宋" w:cs="仿宋"/>
          <w:bCs/>
          <w:kern w:val="2"/>
          <w:sz w:val="28"/>
          <w:szCs w:val="28"/>
          <w:lang w:val="en-US" w:eastAsia="zh-CN"/>
        </w:rPr>
        <w:t>乙方</w:t>
      </w:r>
      <w:r>
        <w:rPr>
          <w:rFonts w:hint="eastAsia" w:ascii="仿宋" w:hAnsi="仿宋" w:eastAsia="仿宋" w:cs="仿宋"/>
          <w:bCs/>
          <w:kern w:val="2"/>
          <w:sz w:val="28"/>
          <w:szCs w:val="28"/>
        </w:rPr>
        <w:t>偿付违约金。</w:t>
      </w:r>
    </w:p>
    <w:p w14:paraId="20B1EAB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异议索赔</w:t>
      </w:r>
    </w:p>
    <w:p w14:paraId="00BD56C6">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乙方对于所提供的服务与合同要求不符负有责任。若出现所提供的服务与本项目合同要求不符，乙方负担由此发生的一切损失和费用。包括银行利息、运输和保险费、检验费、仓储和装卸费等必要的费用。</w:t>
      </w:r>
    </w:p>
    <w:p w14:paraId="75F8AF6D">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对有缺陷的设计、货物，乙方需承诺同意免费更换，以达到合同规定的规格、质量和性能，由此产生的一切费用和风险及甲方遭受的一切损失由乙方承担。同时乙方相应顺延被更换货物的免费质保期。</w:t>
      </w:r>
    </w:p>
    <w:p w14:paraId="2E714A0A">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如果在甲方发出索赔通知后10天内，乙方未作答复，上述索赔应视为已被乙方接受。如乙方未能在收到索赔通知后10天内或征得甲方同意的延长期内，按照甲方选择的方法解决索赔事宜，甲方将有权从货款中扣回索赔金额，同时保留进一步要求索赔的权力。</w:t>
      </w:r>
    </w:p>
    <w:p w14:paraId="7260B89F">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不可抗力</w:t>
      </w:r>
    </w:p>
    <w:p w14:paraId="33974C4F">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由于不可预见、不可避免、不可克服等不可抗力的原因，一方不能履行合同义务的，应当在不可抗力发生之日起 14 天内以书面形式通知对方，证明不可抗力事件的存在。</w:t>
      </w:r>
    </w:p>
    <w:p w14:paraId="6A17FB70">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不可抗力事件发生后，甲方和乙方应当积极寻求以合理的方式履行本合同。如不可抗力无法消除，致使合同目的无法实现的，双方均有权解除合同，且均不互相索赔。</w:t>
      </w:r>
    </w:p>
    <w:p w14:paraId="6D5097A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争议的解决</w:t>
      </w:r>
    </w:p>
    <w:p w14:paraId="0956416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履行合同过程中产生的一切纠纷，由双方协商或由政府采购监督管理部门调解解决，协商或调解不成时乙方可以向甲方所在地的人民法院提起诉讼解决。（在诉讼期间，除有争议部分的事项外，合同其他部分仍应继续履行）。</w:t>
      </w:r>
    </w:p>
    <w:p w14:paraId="5BC365B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通知</w:t>
      </w:r>
    </w:p>
    <w:p w14:paraId="0EC4DFF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任何一方就本合同相关事宜以挂号信、特快专递方式、电子邮件发送通知的，通知在下列日期视为送达：</w:t>
      </w:r>
    </w:p>
    <w:p w14:paraId="78D762D2">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由挂号信邮递，发出通知一方持有的挂号信回执所示日；</w:t>
      </w:r>
    </w:p>
    <w:p w14:paraId="72BC3C21">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由特快专递发送，以收件人签收日为送达日，非因不可抗力事由收件人未签收的，以寄出日后第四个工作日为送达日；</w:t>
      </w:r>
    </w:p>
    <w:p w14:paraId="784C4207">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由电子邮件传送，显示发送成功的第一个工作日；</w:t>
      </w:r>
    </w:p>
    <w:p w14:paraId="5A8B6873">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任何一方的联络方法发生变更的，应在变更之日起三个工作日内书面通知其他方。在被通知方收到有关通知之前，被通知方根据变更前的联络方法所做出的联络和通讯应视为有效。</w:t>
      </w:r>
    </w:p>
    <w:p w14:paraId="4E44D0C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甲方指定联系地址：广东省四会市城中街道城北社区汶塘路1号</w:t>
      </w:r>
    </w:p>
    <w:p w14:paraId="77005D0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19346F4A">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39C4206F">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乙方指定联系地址：</w:t>
      </w:r>
    </w:p>
    <w:p w14:paraId="38D47038">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7D3449CB">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7750E71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税和关税</w:t>
      </w:r>
    </w:p>
    <w:p w14:paraId="699741D1">
      <w:pPr>
        <w:pStyle w:val="17"/>
        <w:numPr>
          <w:ilvl w:val="0"/>
          <w:numId w:val="13"/>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中国政府根据现行税法对甲方征收的与合同有关的一切税费均应由甲方负担。</w:t>
      </w:r>
    </w:p>
    <w:p w14:paraId="5B988441">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中国政府根据现行税法对乙方或其雇员征收的与本合同有关的一切税费均应由乙方负担。</w:t>
      </w:r>
    </w:p>
    <w:p w14:paraId="7AD31B00">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在中国境外发生的与本合同执行有关的一切税费均应由乙方负担。</w:t>
      </w:r>
    </w:p>
    <w:p w14:paraId="7A603FE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合同生效</w:t>
      </w:r>
    </w:p>
    <w:p w14:paraId="70D97880">
      <w:pPr>
        <w:spacing w:line="360" w:lineRule="auto"/>
        <w:ind w:firstLine="560" w:firstLineChars="200"/>
        <w:rPr>
          <w:rFonts w:hint="eastAsia" w:ascii="仿宋" w:hAnsi="仿宋" w:eastAsia="仿宋" w:cs="仿宋"/>
          <w:b/>
          <w:kern w:val="2"/>
          <w:sz w:val="28"/>
          <w:szCs w:val="28"/>
        </w:rPr>
      </w:pPr>
      <w:r>
        <w:rPr>
          <w:rFonts w:hint="eastAsia" w:ascii="仿宋" w:hAnsi="仿宋" w:eastAsia="仿宋" w:cs="仿宋"/>
          <w:kern w:val="2"/>
          <w:sz w:val="28"/>
          <w:szCs w:val="28"/>
        </w:rPr>
        <w:t>本合同经双方授权代表签字并加盖公章之日起生效，合同生效日期以最后一个签字日为准。</w:t>
      </w:r>
    </w:p>
    <w:p w14:paraId="7484245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w:t>
      </w:r>
    </w:p>
    <w:p w14:paraId="3F119E53">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本项目合同由下列文件组成，均为本合同不可分割的部分，下列文件的优先解释顺序如下：</w:t>
      </w:r>
    </w:p>
    <w:p w14:paraId="0C791FD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本合同执行期间甲、乙双方签署确认的文件（包括会议纪要、补充协议、往来信函及修正文件）；</w:t>
      </w:r>
    </w:p>
    <w:p w14:paraId="37CCD418">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w:t>
      </w:r>
    </w:p>
    <w:p w14:paraId="2A24C6D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成交通知书；</w:t>
      </w:r>
    </w:p>
    <w:p w14:paraId="6899680E">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竞价文件（含补遗书、竞价文件澄清、答疑会议纪要等）；</w:t>
      </w:r>
    </w:p>
    <w:p w14:paraId="7038F69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报价书及其附件（含报价文件澄清等）；</w:t>
      </w:r>
    </w:p>
    <w:p w14:paraId="0610F755">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标准、规范及有关技术文件；</w:t>
      </w:r>
    </w:p>
    <w:p w14:paraId="183AB96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组成合同的其他文件。</w:t>
      </w:r>
    </w:p>
    <w:p w14:paraId="275E5DAA">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产品样图图片资料一份。产品验收时，乙方在报价时提供的样品图片资料将作为验收标准之一。</w:t>
      </w:r>
    </w:p>
    <w:p w14:paraId="5853364A">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本项目合同一式</w:t>
      </w:r>
      <w:r>
        <w:rPr>
          <w:rFonts w:hint="eastAsia" w:ascii="仿宋" w:hAnsi="仿宋" w:eastAsia="仿宋" w:cs="仿宋"/>
          <w:kern w:val="2"/>
          <w:sz w:val="28"/>
          <w:szCs w:val="28"/>
          <w:u w:val="single"/>
        </w:rPr>
        <w:t xml:space="preserve"> 肆 </w:t>
      </w:r>
      <w:r>
        <w:rPr>
          <w:rFonts w:hint="eastAsia" w:ascii="仿宋" w:hAnsi="仿宋" w:eastAsia="仿宋" w:cs="仿宋"/>
          <w:kern w:val="2"/>
          <w:sz w:val="28"/>
          <w:szCs w:val="28"/>
        </w:rPr>
        <w:t>份，甲方执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份，乙方执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份，具有同等法律效力。</w:t>
      </w:r>
    </w:p>
    <w:p w14:paraId="7CC57D12">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本合同未尽事宜，由双方协商处理。</w:t>
      </w:r>
    </w:p>
    <w:p w14:paraId="5BE559C1">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除甲方事先书面同意外，乙方不得部分或全部转让其应履行的合同项下的义务。</w:t>
      </w:r>
    </w:p>
    <w:p w14:paraId="7AD76A87">
      <w:pPr>
        <w:snapToGrid w:val="0"/>
        <w:spacing w:line="440" w:lineRule="exact"/>
        <w:ind w:firstLine="560" w:firstLineChars="200"/>
        <w:rPr>
          <w:rFonts w:hint="eastAsia" w:ascii="仿宋" w:hAnsi="仿宋" w:eastAsia="仿宋" w:cs="仿宋"/>
          <w:kern w:val="2"/>
          <w:sz w:val="28"/>
          <w:szCs w:val="28"/>
        </w:rPr>
      </w:pPr>
    </w:p>
    <w:p w14:paraId="5915F691">
      <w:pPr>
        <w:pStyle w:val="10"/>
        <w:spacing w:line="440" w:lineRule="exact"/>
        <w:ind w:left="400" w:firstLine="480"/>
        <w:rPr>
          <w:rFonts w:hint="eastAsia" w:ascii="仿宋" w:hAnsi="仿宋" w:eastAsia="仿宋" w:cs="仿宋"/>
          <w:sz w:val="28"/>
          <w:szCs w:val="28"/>
        </w:rPr>
      </w:pPr>
    </w:p>
    <w:tbl>
      <w:tblPr>
        <w:tblStyle w:val="11"/>
        <w:tblW w:w="9779" w:type="dxa"/>
        <w:jc w:val="center"/>
        <w:tblLayout w:type="fixed"/>
        <w:tblCellMar>
          <w:top w:w="0" w:type="dxa"/>
          <w:left w:w="108" w:type="dxa"/>
          <w:bottom w:w="0" w:type="dxa"/>
          <w:right w:w="108" w:type="dxa"/>
        </w:tblCellMar>
      </w:tblPr>
      <w:tblGrid>
        <w:gridCol w:w="4833"/>
        <w:gridCol w:w="4946"/>
      </w:tblGrid>
      <w:tr w14:paraId="410D3AF6">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238D85C1">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甲方（盖章）：</w:t>
            </w:r>
          </w:p>
          <w:p w14:paraId="5F2EBA45">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广东省广裕集团肇庆祥达实业有限公司</w:t>
            </w:r>
          </w:p>
        </w:tc>
        <w:tc>
          <w:tcPr>
            <w:tcW w:w="4946" w:type="dxa"/>
            <w:tcBorders>
              <w:tl2br w:val="nil"/>
              <w:tr2bl w:val="nil"/>
            </w:tcBorders>
          </w:tcPr>
          <w:p w14:paraId="2F0DF4A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乙方（盖章）：</w:t>
            </w:r>
          </w:p>
          <w:p w14:paraId="1B8CC12D">
            <w:pPr>
              <w:spacing w:line="440" w:lineRule="exact"/>
              <w:ind w:firstLine="560" w:firstLineChars="200"/>
              <w:rPr>
                <w:rFonts w:hint="eastAsia" w:ascii="仿宋" w:hAnsi="仿宋" w:eastAsia="仿宋" w:cs="仿宋"/>
                <w:sz w:val="28"/>
                <w:szCs w:val="28"/>
              </w:rPr>
            </w:pPr>
          </w:p>
        </w:tc>
      </w:tr>
      <w:tr w14:paraId="46A4EE0D">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1FEF5717">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23D1066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四会市城中街道城北社区汶塘路1号</w:t>
            </w:r>
          </w:p>
        </w:tc>
        <w:tc>
          <w:tcPr>
            <w:tcW w:w="4946" w:type="dxa"/>
            <w:tcBorders>
              <w:tl2br w:val="nil"/>
              <w:tr2bl w:val="nil"/>
            </w:tcBorders>
          </w:tcPr>
          <w:p w14:paraId="73673206">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6D7C95F6">
            <w:pPr>
              <w:spacing w:line="440" w:lineRule="exact"/>
              <w:ind w:right="-166" w:rightChars="-83" w:firstLine="560" w:firstLineChars="200"/>
              <w:rPr>
                <w:rFonts w:hint="eastAsia" w:ascii="仿宋" w:hAnsi="仿宋" w:eastAsia="仿宋" w:cs="仿宋"/>
                <w:sz w:val="28"/>
                <w:szCs w:val="28"/>
              </w:rPr>
            </w:pPr>
          </w:p>
        </w:tc>
      </w:tr>
      <w:tr w14:paraId="3FC2DD4A">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57B990">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kern w:val="2"/>
                <w:sz w:val="28"/>
                <w:szCs w:val="28"/>
              </w:rPr>
              <w:t>法定代表人/负责人：</w:t>
            </w:r>
          </w:p>
        </w:tc>
        <w:tc>
          <w:tcPr>
            <w:tcW w:w="4946" w:type="dxa"/>
            <w:tcBorders>
              <w:tl2br w:val="nil"/>
              <w:tr2bl w:val="nil"/>
            </w:tcBorders>
          </w:tcPr>
          <w:p w14:paraId="048A3804">
            <w:pPr>
              <w:spacing w:line="440" w:lineRule="exact"/>
              <w:ind w:right="-166" w:rightChars="-83" w:firstLine="560" w:firstLineChars="200"/>
              <w:rPr>
                <w:rFonts w:hint="eastAsia" w:ascii="仿宋" w:hAnsi="仿宋" w:eastAsia="仿宋" w:cs="仿宋"/>
                <w:bCs/>
                <w:sz w:val="28"/>
                <w:szCs w:val="28"/>
              </w:rPr>
            </w:pPr>
            <w:r>
              <w:rPr>
                <w:rFonts w:hint="eastAsia" w:ascii="仿宋" w:hAnsi="仿宋" w:eastAsia="仿宋" w:cs="仿宋"/>
                <w:kern w:val="2"/>
                <w:sz w:val="28"/>
                <w:szCs w:val="28"/>
              </w:rPr>
              <w:t>法定代表人/负责人：</w:t>
            </w:r>
          </w:p>
        </w:tc>
      </w:tr>
      <w:tr w14:paraId="7980F7D3">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6E23CC0A">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c>
          <w:tcPr>
            <w:tcW w:w="4946" w:type="dxa"/>
            <w:tcBorders>
              <w:tl2br w:val="nil"/>
              <w:tr2bl w:val="nil"/>
            </w:tcBorders>
          </w:tcPr>
          <w:p w14:paraId="61121852">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r>
      <w:tr w14:paraId="5418F2EF">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25E55F9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4946" w:type="dxa"/>
            <w:tcBorders>
              <w:tl2br w:val="nil"/>
              <w:tr2bl w:val="nil"/>
            </w:tcBorders>
          </w:tcPr>
          <w:p w14:paraId="45CA88C8">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r>
      <w:tr w14:paraId="584F5916">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4171D1AB">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c>
          <w:tcPr>
            <w:tcW w:w="4946" w:type="dxa"/>
            <w:tcBorders>
              <w:tl2br w:val="nil"/>
              <w:tr2bl w:val="nil"/>
            </w:tcBorders>
          </w:tcPr>
          <w:p w14:paraId="180CFAD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r>
      <w:tr w14:paraId="309F6BAA">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5D0570E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
          <w:p w14:paraId="4955C9DD">
            <w:pPr>
              <w:spacing w:line="440" w:lineRule="exact"/>
              <w:ind w:right="-166" w:rightChars="-83" w:firstLine="560" w:firstLineChars="200"/>
              <w:rPr>
                <w:rFonts w:hint="eastAsia" w:ascii="仿宋" w:hAnsi="仿宋" w:eastAsia="仿宋" w:cs="仿宋"/>
                <w:sz w:val="28"/>
                <w:szCs w:val="28"/>
              </w:rPr>
            </w:pPr>
          </w:p>
        </w:tc>
        <w:tc>
          <w:tcPr>
            <w:tcW w:w="4946" w:type="dxa"/>
            <w:tcBorders>
              <w:tl2br w:val="nil"/>
              <w:tr2bl w:val="nil"/>
            </w:tcBorders>
          </w:tcPr>
          <w:p w14:paraId="69FA87BC">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开户行：</w:t>
            </w:r>
          </w:p>
          <w:p w14:paraId="480AA5E9">
            <w:pPr>
              <w:spacing w:line="440" w:lineRule="exact"/>
              <w:ind w:right="-166" w:rightChars="-83" w:firstLine="560" w:firstLineChars="200"/>
              <w:rPr>
                <w:rFonts w:hint="eastAsia" w:ascii="仿宋" w:hAnsi="仿宋" w:eastAsia="仿宋" w:cs="仿宋"/>
                <w:sz w:val="28"/>
                <w:szCs w:val="28"/>
              </w:rPr>
            </w:pPr>
          </w:p>
        </w:tc>
      </w:tr>
      <w:tr w14:paraId="0231972C">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E47DC3">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c>
          <w:tcPr>
            <w:tcW w:w="4946" w:type="dxa"/>
            <w:tcBorders>
              <w:tl2br w:val="nil"/>
              <w:tr2bl w:val="nil"/>
            </w:tcBorders>
          </w:tcPr>
          <w:p w14:paraId="0805BFB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r>
      <w:tr w14:paraId="345714C0">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14E0018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c>
          <w:tcPr>
            <w:tcW w:w="4946" w:type="dxa"/>
            <w:tcBorders>
              <w:tl2br w:val="nil"/>
              <w:tr2bl w:val="nil"/>
            </w:tcBorders>
          </w:tcPr>
          <w:p w14:paraId="36FF34F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r>
      <w:tr w14:paraId="6D6D8F71">
        <w:tblPrEx>
          <w:tblCellMar>
            <w:top w:w="0" w:type="dxa"/>
            <w:left w:w="108" w:type="dxa"/>
            <w:bottom w:w="0" w:type="dxa"/>
            <w:right w:w="108" w:type="dxa"/>
          </w:tblCellMar>
        </w:tblPrEx>
        <w:trPr>
          <w:trHeight w:val="391" w:hRule="atLeast"/>
          <w:jc w:val="center"/>
        </w:trPr>
        <w:tc>
          <w:tcPr>
            <w:tcW w:w="9779" w:type="dxa"/>
            <w:gridSpan w:val="2"/>
            <w:tcBorders>
              <w:tl2br w:val="nil"/>
              <w:tr2bl w:val="nil"/>
            </w:tcBorders>
          </w:tcPr>
          <w:p w14:paraId="01728048">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签约地点：广东省广裕集团肇庆祥达实业有限公司</w:t>
            </w:r>
          </w:p>
        </w:tc>
      </w:tr>
    </w:tbl>
    <w:p w14:paraId="44AA26C0">
      <w:pPr>
        <w:spacing w:line="440" w:lineRule="exact"/>
        <w:ind w:firstLine="560" w:firstLineChars="200"/>
        <w:rPr>
          <w:rFonts w:hint="eastAsia" w:ascii="仿宋" w:hAnsi="仿宋" w:eastAsia="仿宋" w:cs="仿宋"/>
          <w:sz w:val="28"/>
          <w:szCs w:val="28"/>
        </w:rPr>
      </w:pPr>
    </w:p>
    <w:p w14:paraId="27FC5D78">
      <w:pPr>
        <w:spacing w:line="440" w:lineRule="exact"/>
        <w:rPr>
          <w:rFonts w:hint="eastAsia" w:ascii="仿宋" w:hAnsi="仿宋" w:eastAsia="仿宋" w:cs="仿宋"/>
          <w:sz w:val="28"/>
          <w:szCs w:val="28"/>
        </w:rPr>
      </w:pPr>
    </w:p>
    <w:sectPr>
      <w:footerReference r:id="rId3" w:type="default"/>
      <w:pgSz w:w="11906" w:h="16838"/>
      <w:pgMar w:top="1304" w:right="1134" w:bottom="1304" w:left="1417"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995">
    <w:pPr>
      <w:pStyle w:val="7"/>
      <w:tabs>
        <w:tab w:val="left" w:pos="553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7107C"/>
    <w:multiLevelType w:val="singleLevel"/>
    <w:tmpl w:val="A2D7107C"/>
    <w:lvl w:ilvl="0" w:tentative="0">
      <w:start w:val="1"/>
      <w:numFmt w:val="chineseCounting"/>
      <w:suff w:val="nothing"/>
      <w:lvlText w:val="（%1）"/>
      <w:lvlJc w:val="left"/>
      <w:pPr>
        <w:ind w:left="0" w:firstLine="420"/>
      </w:pPr>
      <w:rPr>
        <w:rFonts w:hint="eastAsia"/>
      </w:rPr>
    </w:lvl>
  </w:abstractNum>
  <w:abstractNum w:abstractNumId="1">
    <w:nsid w:val="DA3AB04F"/>
    <w:multiLevelType w:val="singleLevel"/>
    <w:tmpl w:val="DA3AB04F"/>
    <w:lvl w:ilvl="0" w:tentative="0">
      <w:start w:val="1"/>
      <w:numFmt w:val="chineseCounting"/>
      <w:suff w:val="nothing"/>
      <w:lvlText w:val="%1、"/>
      <w:lvlJc w:val="left"/>
      <w:rPr>
        <w:rFonts w:hint="eastAsia"/>
      </w:rPr>
    </w:lvl>
  </w:abstractNum>
  <w:abstractNum w:abstractNumId="2">
    <w:nsid w:val="0755673A"/>
    <w:multiLevelType w:val="multilevel"/>
    <w:tmpl w:val="0755673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A803A7"/>
    <w:multiLevelType w:val="multilevel"/>
    <w:tmpl w:val="0AA803A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2B0261A"/>
    <w:multiLevelType w:val="multilevel"/>
    <w:tmpl w:val="12B0261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5150E3B"/>
    <w:multiLevelType w:val="multilevel"/>
    <w:tmpl w:val="15150E3B"/>
    <w:lvl w:ilvl="0" w:tentative="0">
      <w:start w:val="1"/>
      <w:numFmt w:val="chineseCountingThousand"/>
      <w:suff w:val="space"/>
      <w:lvlText w:val="(%1)"/>
      <w:lvlJc w:val="left"/>
      <w:pPr>
        <w:ind w:left="0" w:firstLine="0"/>
      </w:pPr>
      <w:rPr>
        <w:rFonts w:hint="eastAsia"/>
        <w:b w:val="0"/>
        <w:bCs/>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F154AA2"/>
    <w:multiLevelType w:val="multilevel"/>
    <w:tmpl w:val="3F154AA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F3476C3"/>
    <w:multiLevelType w:val="multilevel"/>
    <w:tmpl w:val="3F3476C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9272529"/>
    <w:multiLevelType w:val="multilevel"/>
    <w:tmpl w:val="4927252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3470F46"/>
    <w:multiLevelType w:val="multilevel"/>
    <w:tmpl w:val="53470F4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972DB6E"/>
    <w:multiLevelType w:val="singleLevel"/>
    <w:tmpl w:val="5972DB6E"/>
    <w:lvl w:ilvl="0" w:tentative="0">
      <w:start w:val="1"/>
      <w:numFmt w:val="chineseCounting"/>
      <w:suff w:val="nothing"/>
      <w:lvlText w:val="（%1）"/>
      <w:lvlJc w:val="left"/>
      <w:pPr>
        <w:ind w:left="0" w:firstLine="420"/>
      </w:pPr>
      <w:rPr>
        <w:rFonts w:hint="eastAsia"/>
      </w:rPr>
    </w:lvl>
  </w:abstractNum>
  <w:abstractNum w:abstractNumId="11">
    <w:nsid w:val="5BF17035"/>
    <w:multiLevelType w:val="multilevel"/>
    <w:tmpl w:val="5BF17035"/>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D913C9C"/>
    <w:multiLevelType w:val="multilevel"/>
    <w:tmpl w:val="5D913C9C"/>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9FA6113"/>
    <w:multiLevelType w:val="multilevel"/>
    <w:tmpl w:val="69FA611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42C02B8"/>
    <w:multiLevelType w:val="multilevel"/>
    <w:tmpl w:val="742C02B8"/>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5"/>
  </w:num>
  <w:num w:numId="3">
    <w:abstractNumId w:val="0"/>
  </w:num>
  <w:num w:numId="4">
    <w:abstractNumId w:val="8"/>
  </w:num>
  <w:num w:numId="5">
    <w:abstractNumId w:val="3"/>
  </w:num>
  <w:num w:numId="6">
    <w:abstractNumId w:val="10"/>
  </w:num>
  <w:num w:numId="7">
    <w:abstractNumId w:val="12"/>
  </w:num>
  <w:num w:numId="8">
    <w:abstractNumId w:val="14"/>
  </w:num>
  <w:num w:numId="9">
    <w:abstractNumId w:val="4"/>
  </w:num>
  <w:num w:numId="10">
    <w:abstractNumId w:val="11"/>
  </w:num>
  <w:num w:numId="11">
    <w:abstractNumId w:val="7"/>
  </w:num>
  <w:num w:numId="12">
    <w:abstractNumId w:val="6"/>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41"/>
    <w:rsid w:val="00000D2D"/>
    <w:rsid w:val="00012822"/>
    <w:rsid w:val="00032E9B"/>
    <w:rsid w:val="00035063"/>
    <w:rsid w:val="000C34F6"/>
    <w:rsid w:val="000D28BD"/>
    <w:rsid w:val="0018486A"/>
    <w:rsid w:val="001B7AA9"/>
    <w:rsid w:val="001C31FA"/>
    <w:rsid w:val="001E4925"/>
    <w:rsid w:val="00257298"/>
    <w:rsid w:val="002812FD"/>
    <w:rsid w:val="002B6EC1"/>
    <w:rsid w:val="002E681B"/>
    <w:rsid w:val="002F49B0"/>
    <w:rsid w:val="00314F9F"/>
    <w:rsid w:val="003169DC"/>
    <w:rsid w:val="00373040"/>
    <w:rsid w:val="003A11DB"/>
    <w:rsid w:val="003F48AA"/>
    <w:rsid w:val="00400261"/>
    <w:rsid w:val="0044699E"/>
    <w:rsid w:val="004B2004"/>
    <w:rsid w:val="004C20A4"/>
    <w:rsid w:val="004D0735"/>
    <w:rsid w:val="004D16B0"/>
    <w:rsid w:val="004D518C"/>
    <w:rsid w:val="00512198"/>
    <w:rsid w:val="00555020"/>
    <w:rsid w:val="005C49E2"/>
    <w:rsid w:val="005E03BD"/>
    <w:rsid w:val="005F2BBE"/>
    <w:rsid w:val="005F31D8"/>
    <w:rsid w:val="00604DDE"/>
    <w:rsid w:val="00650A23"/>
    <w:rsid w:val="006F77CC"/>
    <w:rsid w:val="00784BD1"/>
    <w:rsid w:val="0079529A"/>
    <w:rsid w:val="00831C0D"/>
    <w:rsid w:val="00836123"/>
    <w:rsid w:val="008400B8"/>
    <w:rsid w:val="008A306D"/>
    <w:rsid w:val="008C2E79"/>
    <w:rsid w:val="00990557"/>
    <w:rsid w:val="009B4270"/>
    <w:rsid w:val="009D37C7"/>
    <w:rsid w:val="009E0716"/>
    <w:rsid w:val="00A07A23"/>
    <w:rsid w:val="00A6758A"/>
    <w:rsid w:val="00A83C4D"/>
    <w:rsid w:val="00AA1761"/>
    <w:rsid w:val="00AA6955"/>
    <w:rsid w:val="00B43F5D"/>
    <w:rsid w:val="00B515F5"/>
    <w:rsid w:val="00B73721"/>
    <w:rsid w:val="00B847DD"/>
    <w:rsid w:val="00BD4141"/>
    <w:rsid w:val="00C8495F"/>
    <w:rsid w:val="00CD1868"/>
    <w:rsid w:val="00CD1BFD"/>
    <w:rsid w:val="00CD222A"/>
    <w:rsid w:val="00CF4D48"/>
    <w:rsid w:val="00CF5850"/>
    <w:rsid w:val="00D30843"/>
    <w:rsid w:val="00D83ED5"/>
    <w:rsid w:val="00D948DD"/>
    <w:rsid w:val="00DA7BA8"/>
    <w:rsid w:val="00DF627A"/>
    <w:rsid w:val="00E4433E"/>
    <w:rsid w:val="00EA6725"/>
    <w:rsid w:val="00EB5311"/>
    <w:rsid w:val="00F76BBC"/>
    <w:rsid w:val="00F96FCF"/>
    <w:rsid w:val="00FC4D16"/>
    <w:rsid w:val="00FF47F2"/>
    <w:rsid w:val="06492D56"/>
    <w:rsid w:val="0A550613"/>
    <w:rsid w:val="0DFC06D1"/>
    <w:rsid w:val="0FFB32F5"/>
    <w:rsid w:val="12115DDE"/>
    <w:rsid w:val="163B41AE"/>
    <w:rsid w:val="1A4904ED"/>
    <w:rsid w:val="2A295CA3"/>
    <w:rsid w:val="2B9D3DFB"/>
    <w:rsid w:val="2BE3787A"/>
    <w:rsid w:val="2BE54D9C"/>
    <w:rsid w:val="2D562517"/>
    <w:rsid w:val="35E714C7"/>
    <w:rsid w:val="3F5934D4"/>
    <w:rsid w:val="456135C1"/>
    <w:rsid w:val="557A6022"/>
    <w:rsid w:val="5D4D1F77"/>
    <w:rsid w:val="5E3831EB"/>
    <w:rsid w:val="5E934227"/>
    <w:rsid w:val="6A8A1966"/>
    <w:rsid w:val="71F5622C"/>
    <w:rsid w:val="73974393"/>
    <w:rsid w:val="74693204"/>
    <w:rsid w:val="769953CB"/>
    <w:rsid w:val="7FD9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annotation text"/>
    <w:basedOn w:val="1"/>
    <w:link w:val="15"/>
    <w:qFormat/>
    <w:uiPriority w:val="0"/>
    <w:pPr>
      <w:jc w:val="left"/>
    </w:pPr>
  </w:style>
  <w:style w:type="paragraph" w:styleId="4">
    <w:name w:val="Body Text"/>
    <w:basedOn w:val="1"/>
    <w:next w:val="1"/>
    <w:qFormat/>
    <w:uiPriority w:val="0"/>
    <w:rPr>
      <w:kern w:val="2"/>
      <w:sz w:val="24"/>
      <w:szCs w:val="21"/>
    </w:rPr>
  </w:style>
  <w:style w:type="paragraph" w:styleId="5">
    <w:name w:val="Body Text Indent"/>
    <w:basedOn w:val="1"/>
    <w:next w:val="6"/>
    <w:qFormat/>
    <w:uiPriority w:val="0"/>
    <w:pPr>
      <w:ind w:left="420"/>
    </w:pPr>
    <w:rPr>
      <w:kern w:val="2"/>
      <w:sz w:val="21"/>
      <w:szCs w:val="21"/>
    </w:rPr>
  </w:style>
  <w:style w:type="paragraph" w:styleId="6">
    <w:name w:val="envelope return"/>
    <w:basedOn w:val="1"/>
    <w:qFormat/>
    <w:uiPriority w:val="0"/>
    <w:pPr>
      <w:snapToGrid w:val="0"/>
    </w:pPr>
    <w:rPr>
      <w:rFonts w:ascii="Arial" w:hAnsi="Arial" w:cs="Arial"/>
      <w:kern w:val="2"/>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6"/>
    <w:qFormat/>
    <w:uiPriority w:val="0"/>
    <w:rPr>
      <w:b/>
      <w:bCs/>
    </w:rPr>
  </w:style>
  <w:style w:type="paragraph" w:styleId="10">
    <w:name w:val="Body Text First Indent 2"/>
    <w:basedOn w:val="5"/>
    <w:qFormat/>
    <w:uiPriority w:val="0"/>
    <w:pPr>
      <w:widowControl/>
      <w:spacing w:after="120"/>
      <w:ind w:left="200" w:leftChars="200" w:firstLine="420" w:firstLineChars="200"/>
      <w:jc w:val="left"/>
    </w:pPr>
  </w:style>
  <w:style w:type="character" w:styleId="13">
    <w:name w:val="annotation reference"/>
    <w:basedOn w:val="12"/>
    <w:qFormat/>
    <w:uiPriority w:val="0"/>
    <w:rPr>
      <w:sz w:val="21"/>
      <w:szCs w:val="21"/>
    </w:rPr>
  </w:style>
  <w:style w:type="paragraph" w:customStyle="1" w:styleId="14">
    <w:name w:val="修订1"/>
    <w:hidden/>
    <w:unhideWhenUsed/>
    <w:qFormat/>
    <w:uiPriority w:val="99"/>
    <w:rPr>
      <w:rFonts w:ascii="Times New Roman" w:hAnsi="Times New Roman" w:eastAsia="宋体" w:cs="Times New Roman"/>
      <w:lang w:val="en-US" w:eastAsia="zh-CN" w:bidi="ar-SA"/>
    </w:rPr>
  </w:style>
  <w:style w:type="character" w:customStyle="1" w:styleId="15">
    <w:name w:val="批注文字 字符"/>
    <w:basedOn w:val="12"/>
    <w:link w:val="3"/>
    <w:qFormat/>
    <w:uiPriority w:val="0"/>
  </w:style>
  <w:style w:type="character" w:customStyle="1" w:styleId="16">
    <w:name w:val="批注主题 字符"/>
    <w:basedOn w:val="15"/>
    <w:link w:val="9"/>
    <w:qFormat/>
    <w:uiPriority w:val="0"/>
    <w:rPr>
      <w:b/>
      <w:bC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4661</Words>
  <Characters>4680</Characters>
  <Lines>36</Lines>
  <Paragraphs>10</Paragraphs>
  <TotalTime>13</TotalTime>
  <ScaleCrop>false</ScaleCrop>
  <LinksUpToDate>false</LinksUpToDate>
  <CharactersWithSpaces>4982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2022-01-24T07:03:00Z</dcterms:created>
  <dc:creator>zhi lin</dc:creator>
  <cp:lastModifiedBy>云采链</cp:lastModifiedBy>
  <cp:lastPrinted>2024-05-10T06:46:00Z</cp:lastPrinted>
  <dcterms:modified xsi:type="dcterms:W3CDTF">2025-04-30T02:14:16Z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CBD86896E1564B70A6208F6018E915C2_13</vt:lpwstr>
  </property>
  <property fmtid="{D5CDD505-2E9C-101B-9397-08002B2CF9AE}" pid="4" name="KSOTemplateDocerSaveRecord">
    <vt:lpwstr>eyJoZGlkIjoiNjllMTQ1N2NiYWJhNmE3MmJmNjczYjE3MmE0Mzc5ZDEiLCJ1c2VySWQiOiIyNzgxOTkwNjUifQ==</vt:lpwstr>
  </property>
</Properties>
</file>