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3B199">
      <w:pPr>
        <w:snapToGrid w:val="0"/>
        <w:spacing w:before="156" w:beforeLines="50"/>
        <w:jc w:val="center"/>
        <w:rPr>
          <w:rFonts w:hint="eastAsia" w:ascii="宋体" w:hAnsi="宋体" w:cs="宋体"/>
          <w:b/>
          <w:sz w:val="84"/>
          <w:szCs w:val="84"/>
        </w:rPr>
      </w:pPr>
    </w:p>
    <w:p w14:paraId="4EF14799">
      <w:pPr>
        <w:snapToGrid w:val="0"/>
        <w:spacing w:before="156" w:beforeLines="50"/>
        <w:jc w:val="center"/>
        <w:rPr>
          <w:rFonts w:hint="eastAsia" w:ascii="宋体" w:hAnsi="宋体" w:cs="宋体"/>
          <w:b/>
          <w:sz w:val="84"/>
          <w:szCs w:val="84"/>
        </w:rPr>
      </w:pPr>
    </w:p>
    <w:p w14:paraId="19548CBB">
      <w:pPr>
        <w:snapToGrid w:val="0"/>
        <w:spacing w:before="156" w:beforeLines="50"/>
        <w:jc w:val="center"/>
        <w:rPr>
          <w:rFonts w:hint="eastAsia" w:ascii="宋体" w:hAnsi="宋体" w:cs="宋体"/>
          <w:b/>
          <w:sz w:val="84"/>
          <w:szCs w:val="84"/>
        </w:rPr>
      </w:pPr>
    </w:p>
    <w:p w14:paraId="5BA794BC">
      <w:pPr>
        <w:snapToGrid w:val="0"/>
        <w:spacing w:before="156" w:beforeLines="50"/>
        <w:jc w:val="center"/>
        <w:rPr>
          <w:rFonts w:hint="eastAsia" w:ascii="宋体" w:hAnsi="宋体" w:cs="宋体"/>
          <w:b/>
          <w:bCs/>
          <w:sz w:val="84"/>
          <w:szCs w:val="84"/>
        </w:rPr>
      </w:pPr>
      <w:r>
        <w:rPr>
          <w:rFonts w:hint="eastAsia" w:ascii="宋体" w:hAnsi="宋体" w:cs="宋体"/>
          <w:b/>
          <w:sz w:val="84"/>
          <w:szCs w:val="84"/>
        </w:rPr>
        <w:t>综合评审文件</w:t>
      </w:r>
    </w:p>
    <w:p w14:paraId="4701CFFB">
      <w:pPr>
        <w:spacing w:line="360" w:lineRule="auto"/>
        <w:jc w:val="center"/>
        <w:rPr>
          <w:rFonts w:hint="eastAsia" w:ascii="宋体" w:hAnsi="宋体" w:cs="宋体"/>
          <w:b/>
          <w:bCs/>
          <w:sz w:val="24"/>
          <w:szCs w:val="24"/>
        </w:rPr>
      </w:pPr>
    </w:p>
    <w:p w14:paraId="2B94A84D">
      <w:pPr>
        <w:spacing w:line="360" w:lineRule="auto"/>
        <w:rPr>
          <w:rFonts w:hint="eastAsia" w:ascii="宋体" w:hAnsi="宋体" w:cs="宋体"/>
          <w:sz w:val="30"/>
          <w:szCs w:val="30"/>
        </w:rPr>
      </w:pPr>
    </w:p>
    <w:p w14:paraId="01095CD5">
      <w:pPr>
        <w:spacing w:line="360" w:lineRule="auto"/>
        <w:jc w:val="left"/>
        <w:rPr>
          <w:rFonts w:hint="eastAsia" w:ascii="宋体" w:hAnsi="宋体" w:cs="宋体"/>
          <w:b/>
          <w:bCs/>
          <w:sz w:val="28"/>
          <w:szCs w:val="32"/>
        </w:rPr>
      </w:pPr>
    </w:p>
    <w:p w14:paraId="5F3AF619">
      <w:pPr>
        <w:spacing w:line="360" w:lineRule="auto"/>
        <w:jc w:val="left"/>
        <w:rPr>
          <w:rFonts w:hint="eastAsia" w:ascii="宋体" w:hAnsi="宋体" w:cs="宋体"/>
          <w:b/>
          <w:bCs/>
          <w:sz w:val="28"/>
          <w:szCs w:val="32"/>
        </w:rPr>
      </w:pPr>
    </w:p>
    <w:p w14:paraId="7400090D">
      <w:pPr>
        <w:spacing w:line="360" w:lineRule="auto"/>
        <w:jc w:val="left"/>
        <w:rPr>
          <w:rFonts w:hint="eastAsia" w:ascii="宋体" w:hAnsi="宋体" w:cs="宋体"/>
          <w:b/>
          <w:bCs/>
          <w:sz w:val="28"/>
          <w:szCs w:val="32"/>
        </w:rPr>
      </w:pPr>
    </w:p>
    <w:p w14:paraId="40683993">
      <w:pPr>
        <w:spacing w:line="360" w:lineRule="auto"/>
        <w:jc w:val="left"/>
        <w:rPr>
          <w:rFonts w:hint="eastAsia" w:ascii="宋体" w:hAnsi="宋体" w:cs="宋体"/>
          <w:b/>
          <w:bCs/>
          <w:sz w:val="28"/>
          <w:szCs w:val="32"/>
        </w:rPr>
      </w:pPr>
      <w:r>
        <w:rPr>
          <w:rFonts w:hint="eastAsia" w:ascii="宋体" w:hAnsi="宋体" w:cs="宋体"/>
          <w:b/>
          <w:bCs/>
          <w:sz w:val="28"/>
          <w:szCs w:val="32"/>
        </w:rPr>
        <w:t>采购方式：综合评分</w:t>
      </w:r>
    </w:p>
    <w:p w14:paraId="79758DFF">
      <w:pPr>
        <w:spacing w:line="360" w:lineRule="auto"/>
        <w:ind w:left="1405" w:hanging="1405" w:hangingChars="500"/>
        <w:jc w:val="left"/>
        <w:rPr>
          <w:rFonts w:hint="eastAsia" w:ascii="宋体" w:hAnsi="宋体" w:cs="宋体"/>
          <w:b/>
          <w:bCs/>
          <w:sz w:val="28"/>
          <w:szCs w:val="32"/>
        </w:rPr>
      </w:pPr>
      <w:r>
        <w:rPr>
          <w:rFonts w:hint="eastAsia" w:ascii="宋体" w:hAnsi="宋体" w:cs="宋体"/>
          <w:b/>
          <w:bCs/>
          <w:sz w:val="28"/>
          <w:szCs w:val="32"/>
        </w:rPr>
        <w:t>项目名称：2025-2026年度广东省肇庆监狱视频拍摄项目</w:t>
      </w:r>
    </w:p>
    <w:p w14:paraId="2DD5686C">
      <w:pPr>
        <w:autoSpaceDE w:val="0"/>
        <w:autoSpaceDN w:val="0"/>
        <w:adjustRightInd w:val="0"/>
        <w:snapToGrid w:val="0"/>
        <w:spacing w:before="156" w:beforeLines="50" w:after="156" w:afterLines="50" w:line="360" w:lineRule="auto"/>
        <w:jc w:val="left"/>
        <w:rPr>
          <w:rFonts w:hint="eastAsia" w:ascii="宋体" w:hAnsi="宋体" w:cs="宋体"/>
          <w:kern w:val="0"/>
          <w:sz w:val="30"/>
          <w:szCs w:val="30"/>
        </w:rPr>
      </w:pPr>
    </w:p>
    <w:p w14:paraId="6F13C994">
      <w:pPr>
        <w:autoSpaceDE w:val="0"/>
        <w:autoSpaceDN w:val="0"/>
        <w:adjustRightInd w:val="0"/>
        <w:snapToGrid w:val="0"/>
        <w:spacing w:line="360" w:lineRule="auto"/>
        <w:jc w:val="center"/>
        <w:rPr>
          <w:rFonts w:hint="eastAsia" w:ascii="宋体" w:hAnsi="宋体" w:cs="宋体"/>
          <w:b/>
          <w:sz w:val="28"/>
        </w:rPr>
      </w:pPr>
      <w:r>
        <w:rPr>
          <w:rFonts w:hint="eastAsia" w:ascii="宋体" w:hAnsi="宋体" w:cs="宋体"/>
          <w:b/>
          <w:sz w:val="28"/>
        </w:rPr>
        <w:t>广东省肇庆监狱</w:t>
      </w:r>
    </w:p>
    <w:p w14:paraId="65292481">
      <w:pPr>
        <w:autoSpaceDE w:val="0"/>
        <w:autoSpaceDN w:val="0"/>
        <w:adjustRightInd w:val="0"/>
        <w:snapToGrid w:val="0"/>
        <w:spacing w:line="360" w:lineRule="auto"/>
        <w:jc w:val="center"/>
        <w:rPr>
          <w:rFonts w:hint="eastAsia" w:ascii="宋体" w:hAnsi="宋体" w:cs="宋体"/>
          <w:b/>
          <w:sz w:val="28"/>
        </w:rPr>
      </w:pPr>
      <w:r>
        <w:rPr>
          <w:rFonts w:hint="eastAsia" w:ascii="宋体" w:hAnsi="宋体" w:cs="宋体"/>
          <w:b/>
          <w:sz w:val="28"/>
        </w:rPr>
        <w:t>采联国际招标采购集团有限公司</w:t>
      </w:r>
    </w:p>
    <w:p w14:paraId="766A5EDF">
      <w:pPr>
        <w:autoSpaceDE w:val="0"/>
        <w:autoSpaceDN w:val="0"/>
        <w:adjustRightInd w:val="0"/>
        <w:snapToGrid w:val="0"/>
        <w:spacing w:line="360" w:lineRule="auto"/>
        <w:jc w:val="center"/>
        <w:rPr>
          <w:rFonts w:hint="eastAsia" w:ascii="宋体" w:hAnsi="宋体" w:cs="宋体"/>
          <w:sz w:val="28"/>
        </w:rPr>
      </w:pPr>
      <w:r>
        <w:rPr>
          <w:rFonts w:hint="eastAsia" w:ascii="宋体" w:hAnsi="宋体" w:cs="宋体"/>
          <w:b/>
          <w:sz w:val="28"/>
        </w:rPr>
        <w:t>二〇二五年</w:t>
      </w:r>
      <w:r>
        <w:rPr>
          <w:rFonts w:hint="eastAsia" w:ascii="宋体" w:hAnsi="宋体" w:cs="宋体"/>
          <w:b/>
          <w:sz w:val="28"/>
          <w:lang w:val="en-US" w:eastAsia="zh-CN"/>
        </w:rPr>
        <w:t>三</w:t>
      </w:r>
      <w:r>
        <w:rPr>
          <w:rFonts w:hint="eastAsia" w:ascii="宋体" w:hAnsi="宋体" w:cs="宋体"/>
          <w:b/>
          <w:sz w:val="28"/>
        </w:rPr>
        <w:t>月</w:t>
      </w:r>
    </w:p>
    <w:p w14:paraId="77457906">
      <w:pPr>
        <w:autoSpaceDE w:val="0"/>
        <w:autoSpaceDN w:val="0"/>
        <w:adjustRightInd w:val="0"/>
        <w:snapToGrid w:val="0"/>
        <w:spacing w:line="360" w:lineRule="auto"/>
        <w:ind w:left="420" w:firstLine="420"/>
        <w:jc w:val="center"/>
        <w:rPr>
          <w:rFonts w:hint="eastAsia" w:ascii="宋体" w:hAnsi="宋体" w:cs="宋体"/>
          <w:b/>
          <w:bCs/>
          <w:sz w:val="28"/>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14:paraId="3F40D277">
      <w:pPr>
        <w:pStyle w:val="19"/>
        <w:spacing w:before="0" w:after="0"/>
        <w:rPr>
          <w:rFonts w:hint="eastAsia" w:ascii="宋体" w:hAnsi="宋体" w:cs="宋体"/>
        </w:rPr>
      </w:pPr>
      <w:r>
        <w:rPr>
          <w:rFonts w:hint="eastAsia" w:ascii="宋体" w:hAnsi="宋体" w:cs="宋体"/>
        </w:rPr>
        <w:t>第一章 线上评分须知</w:t>
      </w:r>
    </w:p>
    <w:p w14:paraId="34D6FFAA">
      <w:pPr>
        <w:pStyle w:val="50"/>
        <w:numPr>
          <w:ilvl w:val="0"/>
          <w:numId w:val="2"/>
        </w:numPr>
        <w:spacing w:line="360" w:lineRule="auto"/>
        <w:ind w:firstLineChars="0"/>
        <w:rPr>
          <w:rFonts w:hint="eastAsia" w:ascii="宋体" w:hAnsi="宋体" w:cs="宋体"/>
        </w:rPr>
      </w:pPr>
      <w:r>
        <w:rPr>
          <w:rFonts w:hint="eastAsia" w:ascii="宋体" w:hAnsi="宋体" w:cs="宋体"/>
          <w:szCs w:val="21"/>
        </w:rPr>
        <w:t>本项目通过云采链线上采购一体化平台发布综合评分，响应供应商必须登录平台进行注册，注册成功后方可参与项目。</w:t>
      </w:r>
    </w:p>
    <w:p w14:paraId="371AEDD5">
      <w:pPr>
        <w:pStyle w:val="50"/>
        <w:numPr>
          <w:ilvl w:val="0"/>
          <w:numId w:val="2"/>
        </w:numPr>
        <w:spacing w:line="360" w:lineRule="auto"/>
        <w:ind w:firstLineChars="0"/>
        <w:rPr>
          <w:rFonts w:hint="eastAsia" w:ascii="宋体" w:hAnsi="宋体" w:cs="宋体"/>
        </w:rPr>
      </w:pPr>
      <w:r>
        <w:rPr>
          <w:rFonts w:hint="eastAsia" w:ascii="宋体" w:hAnsi="宋体" w:cs="宋体"/>
        </w:rPr>
        <w:t>语言要求</w:t>
      </w:r>
    </w:p>
    <w:p w14:paraId="1F22CC63">
      <w:pPr>
        <w:spacing w:line="360" w:lineRule="auto"/>
        <w:ind w:left="420" w:leftChars="200"/>
        <w:rPr>
          <w:rFonts w:hint="eastAsia" w:ascii="宋体" w:hAnsi="宋体" w:cs="宋体"/>
        </w:rPr>
      </w:pPr>
      <w:r>
        <w:rPr>
          <w:rFonts w:hint="eastAsia" w:ascii="宋体" w:hAnsi="宋体" w:cs="宋体"/>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1507BACC">
      <w:pPr>
        <w:pStyle w:val="50"/>
        <w:numPr>
          <w:ilvl w:val="0"/>
          <w:numId w:val="2"/>
        </w:numPr>
        <w:spacing w:line="360" w:lineRule="auto"/>
        <w:ind w:firstLineChars="0"/>
        <w:rPr>
          <w:rFonts w:hint="eastAsia" w:ascii="宋体" w:hAnsi="宋体" w:cs="宋体"/>
          <w:b/>
          <w:bCs/>
        </w:rPr>
      </w:pPr>
      <w:r>
        <w:rPr>
          <w:rFonts w:hint="eastAsia" w:ascii="宋体" w:hAnsi="宋体" w:cs="宋体"/>
          <w:b/>
          <w:bCs/>
          <w:szCs w:val="21"/>
        </w:rPr>
        <w:t>在云采链平台参与项目响应后放弃成交资格超过三次（含三次）的供应商连同该供应商同一法人名下所有公司将被列入平台黑名单，永久不得参与平台的采购项目。</w:t>
      </w:r>
    </w:p>
    <w:p w14:paraId="6495ECDD">
      <w:pPr>
        <w:pStyle w:val="50"/>
        <w:numPr>
          <w:ilvl w:val="0"/>
          <w:numId w:val="2"/>
        </w:numPr>
        <w:spacing w:line="360" w:lineRule="auto"/>
        <w:ind w:firstLineChars="0"/>
        <w:rPr>
          <w:rFonts w:hint="eastAsia" w:ascii="宋体" w:hAnsi="宋体" w:cs="宋体"/>
        </w:rPr>
      </w:pPr>
      <w:r>
        <w:rPr>
          <w:rFonts w:hint="eastAsia" w:ascii="宋体" w:hAnsi="宋体" w:cs="宋体"/>
        </w:rPr>
        <w:t>综合评分须知</w:t>
      </w:r>
    </w:p>
    <w:p w14:paraId="66ACC26F">
      <w:pPr>
        <w:pStyle w:val="50"/>
        <w:numPr>
          <w:ilvl w:val="0"/>
          <w:numId w:val="3"/>
        </w:numPr>
        <w:spacing w:line="360" w:lineRule="auto"/>
        <w:ind w:firstLineChars="0"/>
        <w:rPr>
          <w:rFonts w:hint="eastAsia" w:ascii="宋体" w:hAnsi="宋体" w:cs="宋体"/>
          <w:b/>
        </w:rPr>
      </w:pPr>
      <w:r>
        <w:rPr>
          <w:rStyle w:val="25"/>
          <w:rFonts w:hint="eastAsia" w:ascii="宋体" w:hAnsi="宋体" w:cs="宋体"/>
        </w:rPr>
        <w:t>综合评分说明</w:t>
      </w:r>
    </w:p>
    <w:p w14:paraId="0CAC0899">
      <w:pPr>
        <w:pStyle w:val="50"/>
        <w:numPr>
          <w:ilvl w:val="0"/>
          <w:numId w:val="4"/>
        </w:numPr>
        <w:tabs>
          <w:tab w:val="left" w:pos="851"/>
        </w:tabs>
        <w:spacing w:line="360" w:lineRule="auto"/>
        <w:ind w:firstLineChars="0"/>
        <w:rPr>
          <w:rFonts w:hint="eastAsia" w:ascii="宋体" w:hAnsi="宋体" w:cs="宋体"/>
        </w:rPr>
      </w:pPr>
      <w:r>
        <w:rPr>
          <w:rFonts w:hint="eastAsia" w:ascii="宋体" w:hAnsi="宋体" w:cs="宋体"/>
          <w:szCs w:val="21"/>
        </w:rPr>
        <w:t>参与综合评分的供应商应承担所有与准备和参加项目有关的费用，不论综合评分的结果如何，采购人和代理机构均无义务和责任承担这些费用。</w:t>
      </w:r>
    </w:p>
    <w:p w14:paraId="3ED29B1E">
      <w:pPr>
        <w:pStyle w:val="50"/>
        <w:numPr>
          <w:ilvl w:val="0"/>
          <w:numId w:val="4"/>
        </w:numPr>
        <w:spacing w:line="360" w:lineRule="auto"/>
        <w:ind w:firstLineChars="0"/>
        <w:rPr>
          <w:rFonts w:hint="eastAsia" w:ascii="宋体" w:hAnsi="宋体" w:cs="宋体"/>
        </w:rPr>
      </w:pPr>
      <w:r>
        <w:rPr>
          <w:rFonts w:hint="eastAsia" w:ascii="宋体" w:hAnsi="宋体" w:cs="宋体"/>
          <w:szCs w:val="21"/>
        </w:rPr>
        <w:t>参与综合评分的</w:t>
      </w:r>
      <w:r>
        <w:rPr>
          <w:rFonts w:hint="eastAsia" w:ascii="宋体" w:hAnsi="宋体" w:cs="宋体"/>
          <w:bCs/>
          <w:szCs w:val="21"/>
        </w:rPr>
        <w:t>供应商必须按评审附件的格式填写，不得随意增加或删除表格内容。除单价、金额或项目要求填写的内容外，不得擅自改动附件内容，否则将有可能影响成交结果，不推荐为成交候选人。</w:t>
      </w:r>
    </w:p>
    <w:p w14:paraId="309596F4">
      <w:pPr>
        <w:pStyle w:val="50"/>
        <w:numPr>
          <w:ilvl w:val="0"/>
          <w:numId w:val="4"/>
        </w:numPr>
        <w:spacing w:line="360" w:lineRule="auto"/>
        <w:ind w:firstLineChars="0"/>
        <w:rPr>
          <w:rFonts w:hint="eastAsia" w:ascii="宋体" w:hAnsi="宋体" w:cs="宋体"/>
        </w:rPr>
      </w:pPr>
      <w:r>
        <w:rPr>
          <w:rFonts w:hint="eastAsia" w:ascii="宋体" w:hAnsi="宋体" w:cs="宋体"/>
          <w:szCs w:val="21"/>
        </w:rPr>
        <w:t>若成交供应商自身原因无法完成本项目，则采购人有权利保留追究责任。</w:t>
      </w:r>
    </w:p>
    <w:p w14:paraId="75CCEC4C">
      <w:pPr>
        <w:pStyle w:val="50"/>
        <w:numPr>
          <w:ilvl w:val="0"/>
          <w:numId w:val="4"/>
        </w:numPr>
        <w:spacing w:line="360" w:lineRule="auto"/>
        <w:ind w:firstLineChars="0"/>
        <w:rPr>
          <w:rFonts w:hint="eastAsia" w:ascii="宋体" w:hAnsi="宋体" w:cs="宋体"/>
        </w:rPr>
      </w:pPr>
      <w:r>
        <w:rPr>
          <w:rFonts w:hint="eastAsia" w:ascii="宋体" w:hAnsi="宋体" w:cs="宋体"/>
        </w:rPr>
        <w:t>成交供应商因自身原因被取消成交资格，采购人可重新启动采购或按</w:t>
      </w:r>
      <w:r>
        <w:rPr>
          <w:rFonts w:hint="eastAsia" w:ascii="宋体" w:hAnsi="宋体" w:cs="宋体"/>
          <w:szCs w:val="21"/>
        </w:rPr>
        <w:t>综合评分</w:t>
      </w:r>
      <w:r>
        <w:rPr>
          <w:rFonts w:hint="eastAsia" w:ascii="宋体" w:hAnsi="宋体" w:cs="宋体"/>
        </w:rPr>
        <w:t>公告规定顺延推选符合要求的供应商作为成交供应商。</w:t>
      </w:r>
    </w:p>
    <w:p w14:paraId="519221C2">
      <w:pPr>
        <w:pStyle w:val="50"/>
        <w:numPr>
          <w:ilvl w:val="0"/>
          <w:numId w:val="4"/>
        </w:numPr>
        <w:spacing w:line="360" w:lineRule="auto"/>
        <w:ind w:firstLineChars="0"/>
        <w:rPr>
          <w:rFonts w:hint="eastAsia" w:ascii="宋体" w:hAnsi="宋体" w:cs="宋体"/>
        </w:rPr>
      </w:pPr>
      <w:r>
        <w:rPr>
          <w:rFonts w:hint="eastAsia" w:ascii="宋体" w:hAnsi="宋体" w:cs="宋体"/>
        </w:rPr>
        <w:t>若本项目</w:t>
      </w:r>
      <w:r>
        <w:rPr>
          <w:rFonts w:hint="eastAsia" w:ascii="宋体" w:hAnsi="宋体" w:cs="宋体"/>
          <w:szCs w:val="21"/>
        </w:rPr>
        <w:t>综合评分</w:t>
      </w:r>
      <w:r>
        <w:rPr>
          <w:rFonts w:hint="eastAsia" w:ascii="宋体" w:hAnsi="宋体" w:cs="宋体"/>
        </w:rPr>
        <w:t>采购失败，采购人将重新采购，届时采购人有权根据项目具体情况，决定重新采购项目的采购方式。</w:t>
      </w:r>
    </w:p>
    <w:p w14:paraId="6E25FCF2">
      <w:pPr>
        <w:pStyle w:val="50"/>
        <w:numPr>
          <w:ilvl w:val="0"/>
          <w:numId w:val="4"/>
        </w:numPr>
        <w:spacing w:line="360" w:lineRule="auto"/>
        <w:ind w:firstLineChars="0"/>
        <w:rPr>
          <w:rFonts w:hint="eastAsia" w:ascii="宋体" w:hAnsi="宋体" w:cs="宋体"/>
        </w:rPr>
      </w:pPr>
      <w:r>
        <w:rPr>
          <w:rFonts w:hint="eastAsia" w:ascii="宋体" w:hAnsi="宋体" w:cs="宋体"/>
        </w:rPr>
        <w:t>成交供应商若无正当理由恶意放弃成交资格，采购人有权将拒绝其参加本项目重新组织的</w:t>
      </w:r>
      <w:r>
        <w:rPr>
          <w:rFonts w:hint="eastAsia" w:ascii="宋体" w:hAnsi="宋体" w:cs="宋体"/>
          <w:szCs w:val="21"/>
        </w:rPr>
        <w:t>综合评分</w:t>
      </w:r>
      <w:r>
        <w:rPr>
          <w:rFonts w:hint="eastAsia" w:ascii="宋体" w:hAnsi="宋体" w:cs="宋体"/>
        </w:rPr>
        <w:t>采购活动。</w:t>
      </w:r>
    </w:p>
    <w:p w14:paraId="4265B837">
      <w:pPr>
        <w:pStyle w:val="50"/>
        <w:numPr>
          <w:ilvl w:val="0"/>
          <w:numId w:val="4"/>
        </w:numPr>
        <w:spacing w:line="360" w:lineRule="auto"/>
        <w:ind w:firstLineChars="0"/>
        <w:rPr>
          <w:rFonts w:hint="eastAsia" w:ascii="宋体" w:hAnsi="宋体" w:cs="宋体"/>
        </w:rPr>
      </w:pPr>
      <w:r>
        <w:rPr>
          <w:rFonts w:hint="eastAsia" w:ascii="宋体" w:hAnsi="宋体" w:cs="宋体"/>
        </w:rPr>
        <w:t>如采购人或代理机构在审核或复核</w:t>
      </w:r>
      <w:r>
        <w:rPr>
          <w:rFonts w:hint="eastAsia" w:ascii="宋体" w:hAnsi="宋体" w:cs="宋体"/>
          <w:szCs w:val="21"/>
        </w:rPr>
        <w:t>参与综合评分的</w:t>
      </w:r>
      <w:r>
        <w:rPr>
          <w:rFonts w:hint="eastAsia" w:ascii="宋体" w:hAnsi="宋体" w:cs="宋体"/>
        </w:rPr>
        <w:t>供应商所提交的</w:t>
      </w:r>
      <w:r>
        <w:rPr>
          <w:rFonts w:hint="eastAsia" w:ascii="宋体" w:hAnsi="宋体" w:cs="宋体"/>
          <w:szCs w:val="21"/>
        </w:rPr>
        <w:t>综合评分</w:t>
      </w:r>
      <w:r>
        <w:rPr>
          <w:rFonts w:hint="eastAsia" w:ascii="宋体" w:hAnsi="宋体" w:cs="宋体"/>
        </w:rPr>
        <w:t>资料时，供应商须无条件配合；期间若发现存在弄虚作假或相关的失信记录或违反国家法律法规等相关的不良情形，采购人可取消其成交资格并保留追究责任的权力。</w:t>
      </w:r>
    </w:p>
    <w:p w14:paraId="5358E9D3">
      <w:pPr>
        <w:pStyle w:val="50"/>
        <w:numPr>
          <w:ilvl w:val="0"/>
          <w:numId w:val="4"/>
        </w:numPr>
        <w:spacing w:line="360" w:lineRule="auto"/>
        <w:ind w:firstLineChars="0"/>
        <w:rPr>
          <w:rFonts w:hint="eastAsia" w:ascii="宋体" w:hAnsi="宋体" w:cs="宋体"/>
        </w:rPr>
      </w:pPr>
      <w:r>
        <w:rPr>
          <w:rFonts w:hint="eastAsia" w:ascii="宋体" w:hAnsi="宋体" w:cs="宋体"/>
          <w:szCs w:val="21"/>
        </w:rPr>
        <w:t>参与综合评分的供应商向我司咨询的有关项目事项，一切以评审文件规定和综合评分公告规定以及本公司的书面答复为准，其他一切形式均为个人意见，不代表本公司的意见。</w:t>
      </w:r>
    </w:p>
    <w:p w14:paraId="150F274F">
      <w:pPr>
        <w:pStyle w:val="50"/>
        <w:numPr>
          <w:ilvl w:val="0"/>
          <w:numId w:val="4"/>
        </w:numPr>
        <w:spacing w:line="360" w:lineRule="auto"/>
        <w:ind w:firstLineChars="0"/>
        <w:rPr>
          <w:rFonts w:hint="eastAsia" w:ascii="宋体" w:hAnsi="宋体" w:cs="宋体"/>
        </w:rPr>
      </w:pPr>
      <w:r>
        <w:rPr>
          <w:rFonts w:hint="eastAsia" w:ascii="宋体" w:hAnsi="宋体" w:cs="宋体"/>
          <w:szCs w:val="21"/>
        </w:rPr>
        <w:t>参与本次综合评分的供应商应认真阅读、并充分理解评审文件的全部内容（包括所有的补充、修改内容重要事项、格式、条款、服务要求和技术规范、参数及要求等）。供应商没有按照评审文件要求提交全部资料，或者参与项目所上传的文件没有对评审文件在各方面都作出实质性响应是供应商的风险，有可能导致其参与评分项目被拒绝，或被认定为无效响应。</w:t>
      </w:r>
    </w:p>
    <w:p w14:paraId="0163CB82">
      <w:pPr>
        <w:pStyle w:val="50"/>
        <w:numPr>
          <w:ilvl w:val="0"/>
          <w:numId w:val="4"/>
        </w:numPr>
        <w:spacing w:line="360" w:lineRule="auto"/>
        <w:ind w:firstLineChars="0"/>
        <w:rPr>
          <w:rFonts w:hint="eastAsia" w:ascii="宋体" w:hAnsi="宋体" w:cs="宋体"/>
        </w:rPr>
      </w:pPr>
      <w:r>
        <w:rPr>
          <w:rFonts w:hint="eastAsia" w:ascii="宋体" w:hAnsi="宋体" w:cs="宋体"/>
          <w:kern w:val="0"/>
          <w:szCs w:val="21"/>
        </w:rPr>
        <w:t>采购人有权拒绝接受任何不合格的货物或服务，由此产生的费用及相关后果均由成交供应商自行承担。</w:t>
      </w:r>
    </w:p>
    <w:p w14:paraId="6C82EA7A">
      <w:pPr>
        <w:widowControl/>
        <w:numPr>
          <w:ilvl w:val="0"/>
          <w:numId w:val="4"/>
        </w:numPr>
        <w:spacing w:line="360" w:lineRule="auto"/>
        <w:jc w:val="left"/>
        <w:rPr>
          <w:rFonts w:hint="eastAsia" w:ascii="宋体" w:hAnsi="宋体" w:cs="宋体"/>
          <w:b/>
          <w:bCs/>
        </w:rPr>
      </w:pPr>
      <w:r>
        <w:rPr>
          <w:rFonts w:hint="eastAsia" w:ascii="宋体" w:hAnsi="宋体" w:cs="宋体"/>
          <w:b/>
          <w:bCs/>
        </w:rPr>
        <w:t>成交供应商应在项目结果发布十五个工作日内与采购单位签订书面合同并按合同约定完成成交项目；若采购单位无签订合同的要求，成交供应商应在项目结果发布十五个工作日内与采购单位约定项目执行事宜；否则将有可能被取消成交资格。</w:t>
      </w:r>
    </w:p>
    <w:p w14:paraId="756A499F">
      <w:pPr>
        <w:pStyle w:val="50"/>
        <w:numPr>
          <w:ilvl w:val="0"/>
          <w:numId w:val="4"/>
        </w:numPr>
        <w:spacing w:line="360" w:lineRule="auto"/>
        <w:ind w:firstLineChars="0"/>
        <w:rPr>
          <w:rFonts w:hint="eastAsia" w:ascii="宋体" w:hAnsi="宋体" w:cs="宋体"/>
          <w:b/>
        </w:rPr>
      </w:pPr>
      <w:r>
        <w:rPr>
          <w:rFonts w:hint="eastAsia" w:ascii="宋体" w:hAnsi="宋体" w:cs="宋体"/>
          <w:b/>
        </w:rPr>
        <w:t>若供应商提供的货物存在假冒伪劣等品质问题或提供的服务质量低下或存在拖到影响项目进程等问题，经采购人确认，按相应规定进行处罚，并保留究法律责任的权力；</w:t>
      </w:r>
    </w:p>
    <w:p w14:paraId="09975585">
      <w:pPr>
        <w:pStyle w:val="50"/>
        <w:numPr>
          <w:ilvl w:val="0"/>
          <w:numId w:val="4"/>
        </w:numPr>
        <w:spacing w:line="360" w:lineRule="auto"/>
        <w:ind w:firstLineChars="0"/>
        <w:rPr>
          <w:rFonts w:hint="eastAsia" w:ascii="宋体" w:hAnsi="宋体" w:cs="宋体"/>
        </w:rPr>
      </w:pPr>
      <w:r>
        <w:rPr>
          <w:rFonts w:hint="eastAsia" w:ascii="宋体" w:hAnsi="宋体" w:cs="宋体"/>
          <w:b/>
        </w:rPr>
        <w:t>参与项目的供应商应提供正确、畅通的联系方式，若</w:t>
      </w:r>
      <w:r>
        <w:rPr>
          <w:rFonts w:hint="eastAsia" w:ascii="宋体" w:hAnsi="宋体" w:cs="宋体"/>
          <w:b/>
          <w:bCs/>
        </w:rPr>
        <w:t>采购单位</w:t>
      </w:r>
      <w:r>
        <w:rPr>
          <w:rFonts w:hint="eastAsia" w:ascii="宋体" w:hAnsi="宋体" w:cs="宋体"/>
          <w:b/>
        </w:rPr>
        <w:t>代理机构通过供应商所填写的联系方式无法与供应商及时取得联系，相关不利后果由供应商承担，包括但不限于取消响应资格，且由此产生的费用及相关后果均由供应商自行承担。</w:t>
      </w:r>
    </w:p>
    <w:p w14:paraId="0DB8936E">
      <w:pPr>
        <w:pStyle w:val="50"/>
        <w:numPr>
          <w:ilvl w:val="0"/>
          <w:numId w:val="4"/>
        </w:numPr>
        <w:spacing w:line="360" w:lineRule="auto"/>
        <w:ind w:firstLineChars="0"/>
        <w:rPr>
          <w:rFonts w:hint="eastAsia" w:ascii="宋体" w:hAnsi="宋体" w:cs="宋体"/>
        </w:rPr>
      </w:pPr>
      <w:r>
        <w:rPr>
          <w:rFonts w:hint="eastAsia" w:ascii="宋体" w:hAnsi="宋体" w:cs="宋体"/>
        </w:rPr>
        <w:t>供应商认为评分结果损害其权益的，应按照云采链平台相关指引在规定的时间内向采购人或代理机构提交书面质疑，不提交的视为无异议，逾期提交将不予受理。</w:t>
      </w:r>
    </w:p>
    <w:p w14:paraId="7CFC9AB4">
      <w:pPr>
        <w:pStyle w:val="50"/>
        <w:numPr>
          <w:ilvl w:val="0"/>
          <w:numId w:val="4"/>
        </w:numPr>
        <w:spacing w:line="360" w:lineRule="auto"/>
        <w:ind w:firstLineChars="0"/>
        <w:rPr>
          <w:rFonts w:hint="eastAsia" w:ascii="宋体" w:hAnsi="宋体" w:cs="宋体"/>
        </w:rPr>
      </w:pPr>
      <w:r>
        <w:rPr>
          <w:rFonts w:hint="eastAsia" w:ascii="宋体" w:hAnsi="宋体" w:cs="宋体"/>
          <w:szCs w:val="21"/>
        </w:rPr>
        <w:t>本综合评分公告和评审文件的解释权归“</w:t>
      </w:r>
      <w:r>
        <w:rPr>
          <w:rFonts w:hint="eastAsia" w:ascii="宋体" w:hAnsi="宋体" w:cs="宋体"/>
        </w:rPr>
        <w:t>云采链线上采购一体化平台</w:t>
      </w:r>
      <w:r>
        <w:rPr>
          <w:rFonts w:hint="eastAsia" w:ascii="宋体" w:hAnsi="宋体" w:cs="宋体"/>
          <w:szCs w:val="21"/>
        </w:rPr>
        <w:t>”所有。</w:t>
      </w:r>
    </w:p>
    <w:p w14:paraId="01C7F0FE">
      <w:pPr>
        <w:pStyle w:val="50"/>
        <w:numPr>
          <w:ilvl w:val="0"/>
          <w:numId w:val="3"/>
        </w:numPr>
        <w:spacing w:line="360" w:lineRule="auto"/>
        <w:ind w:firstLineChars="0"/>
        <w:rPr>
          <w:rFonts w:hint="eastAsia" w:ascii="宋体" w:hAnsi="宋体" w:cs="宋体"/>
        </w:rPr>
      </w:pPr>
      <w:r>
        <w:rPr>
          <w:rFonts w:hint="eastAsia" w:ascii="宋体" w:hAnsi="宋体" w:cs="宋体"/>
          <w:b/>
        </w:rPr>
        <w:t>评审文件的澄清或修改</w:t>
      </w:r>
    </w:p>
    <w:p w14:paraId="6E74EEA7">
      <w:pPr>
        <w:pStyle w:val="50"/>
        <w:numPr>
          <w:ilvl w:val="0"/>
          <w:numId w:val="5"/>
        </w:numPr>
        <w:spacing w:line="360" w:lineRule="auto"/>
        <w:ind w:firstLineChars="0"/>
        <w:rPr>
          <w:rFonts w:hint="eastAsia" w:ascii="宋体" w:hAnsi="宋体" w:cs="宋体"/>
        </w:rPr>
      </w:pPr>
      <w:r>
        <w:rPr>
          <w:rFonts w:hint="eastAsia" w:ascii="宋体" w:hAnsi="宋体" w:cs="宋体"/>
        </w:rPr>
        <w:t>采购人或者采购代理机构可以对已发出的评审文件进行必要的澄清或者修改。澄清或者修改的内容将在云采链平台上发布澄清（更正/变更）公告。</w:t>
      </w:r>
    </w:p>
    <w:p w14:paraId="16F46739">
      <w:pPr>
        <w:pStyle w:val="50"/>
        <w:numPr>
          <w:ilvl w:val="0"/>
          <w:numId w:val="5"/>
        </w:numPr>
        <w:spacing w:line="360" w:lineRule="auto"/>
        <w:ind w:firstLineChars="0"/>
        <w:rPr>
          <w:rFonts w:hint="eastAsia" w:ascii="宋体" w:hAnsi="宋体" w:cs="宋体"/>
        </w:rPr>
      </w:pPr>
      <w:r>
        <w:rPr>
          <w:rFonts w:hint="eastAsia" w:ascii="宋体" w:hAnsi="宋体" w:cs="宋体"/>
        </w:rPr>
        <w:t>无论澄清或者修改的内容是否影响综合评分，平台将以短信形式通知所有的报名供应商；报名供应商应按要求履行相应的义务；如报名截止时间少于一个工作日的，采购人或者采购代理机构应当相应顺延报名的截止时间。</w:t>
      </w:r>
    </w:p>
    <w:p w14:paraId="3928A523">
      <w:pPr>
        <w:pStyle w:val="50"/>
        <w:numPr>
          <w:ilvl w:val="0"/>
          <w:numId w:val="5"/>
        </w:numPr>
        <w:spacing w:line="360" w:lineRule="auto"/>
        <w:ind w:firstLineChars="0"/>
        <w:rPr>
          <w:rFonts w:hint="eastAsia" w:ascii="宋体" w:hAnsi="宋体" w:cs="宋体"/>
        </w:rPr>
      </w:pPr>
      <w:r>
        <w:rPr>
          <w:rFonts w:hint="eastAsia" w:ascii="宋体" w:hAnsi="宋体" w:cs="宋体"/>
        </w:rPr>
        <w:t>采购人或者采购代理机构发出的澄清或修改（更正/变更）的内容为评审文件的组成部分，并对供应商具有约束力。</w:t>
      </w:r>
    </w:p>
    <w:p w14:paraId="675408BA">
      <w:pPr>
        <w:pStyle w:val="50"/>
        <w:numPr>
          <w:ilvl w:val="0"/>
          <w:numId w:val="3"/>
        </w:numPr>
        <w:spacing w:line="360" w:lineRule="auto"/>
        <w:ind w:firstLineChars="0"/>
        <w:outlineLvl w:val="1"/>
        <w:rPr>
          <w:rStyle w:val="25"/>
          <w:rFonts w:hint="eastAsia" w:ascii="宋体" w:hAnsi="宋体" w:cs="宋体"/>
          <w:bCs w:val="0"/>
        </w:rPr>
      </w:pPr>
      <w:r>
        <w:rPr>
          <w:rStyle w:val="25"/>
          <w:rFonts w:hint="eastAsia" w:ascii="宋体" w:hAnsi="宋体" w:cs="宋体"/>
          <w:bCs w:val="0"/>
        </w:rPr>
        <w:t>报名要求（</w:t>
      </w:r>
      <w:r>
        <w:rPr>
          <w:rFonts w:hint="eastAsia" w:ascii="宋体" w:hAnsi="宋体" w:cs="宋体"/>
          <w:szCs w:val="21"/>
        </w:rPr>
        <w:t>参与综合评分的</w:t>
      </w:r>
      <w:r>
        <w:rPr>
          <w:rStyle w:val="25"/>
          <w:rFonts w:hint="eastAsia" w:ascii="宋体" w:hAnsi="宋体" w:cs="宋体"/>
          <w:bCs w:val="0"/>
        </w:rPr>
        <w:t>供应商资质要求:</w:t>
      </w:r>
      <w:r>
        <w:rPr>
          <w:rStyle w:val="25"/>
          <w:rFonts w:hint="eastAsia" w:ascii="宋体" w:hAnsi="宋体" w:cs="宋体"/>
          <w:b w:val="0"/>
          <w:szCs w:val="21"/>
        </w:rPr>
        <w:t xml:space="preserve"> 报名时需要提供以下</w:t>
      </w:r>
      <w:r>
        <w:rPr>
          <w:rStyle w:val="25"/>
          <w:rFonts w:hint="eastAsia" w:ascii="宋体" w:hAnsi="宋体" w:cs="宋体"/>
          <w:szCs w:val="21"/>
          <w:u w:val="double"/>
        </w:rPr>
        <w:t>盖章</w:t>
      </w:r>
      <w:r>
        <w:rPr>
          <w:rStyle w:val="25"/>
          <w:rFonts w:hint="eastAsia" w:ascii="宋体" w:hAnsi="宋体" w:cs="宋体"/>
          <w:b w:val="0"/>
          <w:szCs w:val="21"/>
        </w:rPr>
        <w:t>资料，</w:t>
      </w:r>
      <w:r>
        <w:rPr>
          <w:rFonts w:hint="eastAsia" w:ascii="宋体" w:hAnsi="宋体" w:cs="宋体"/>
          <w:szCs w:val="21"/>
        </w:rPr>
        <w:t>并对上传的报名文件资料承担责任</w:t>
      </w:r>
      <w:r>
        <w:rPr>
          <w:rStyle w:val="25"/>
          <w:rFonts w:hint="eastAsia" w:ascii="宋体" w:hAnsi="宋体" w:cs="宋体"/>
          <w:bCs w:val="0"/>
        </w:rPr>
        <w:t>）</w:t>
      </w:r>
    </w:p>
    <w:p w14:paraId="1DDFBFAF">
      <w:pPr>
        <w:pStyle w:val="50"/>
        <w:numPr>
          <w:ilvl w:val="0"/>
          <w:numId w:val="6"/>
        </w:numPr>
        <w:spacing w:line="360" w:lineRule="auto"/>
        <w:ind w:firstLineChars="0"/>
        <w:rPr>
          <w:rFonts w:hint="eastAsia" w:ascii="宋体" w:hAnsi="宋体" w:cs="宋体"/>
        </w:rPr>
      </w:pPr>
      <w:r>
        <w:rPr>
          <w:rFonts w:hint="eastAsia" w:ascii="宋体" w:hAnsi="宋体" w:cs="宋体"/>
        </w:rPr>
        <w:t>提供在中华人民共和国境内注册的法人或其他组织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2BC95692">
      <w:pPr>
        <w:pStyle w:val="50"/>
        <w:numPr>
          <w:ilvl w:val="0"/>
          <w:numId w:val="6"/>
        </w:numPr>
        <w:spacing w:line="360" w:lineRule="auto"/>
        <w:ind w:firstLineChars="0"/>
        <w:rPr>
          <w:rFonts w:hint="eastAsia" w:ascii="宋体" w:hAnsi="宋体" w:cs="宋体"/>
        </w:rPr>
      </w:pPr>
      <w:r>
        <w:rPr>
          <w:rFonts w:hint="eastAsia" w:ascii="宋体" w:hAnsi="宋体" w:cs="宋体"/>
        </w:rPr>
        <w:t>具有良好的商业信誉和健全的财务会计制度；有依法缴纳税收和社会保障资金的良好记录；具有履行合同所必需的设备和专业技术能力；参加采购活动前3年内在经营活动中没有重大违法记录的书面声明；具备法律、行政法规规定的其他条件；法定代表人或单位负责人与所参投的本项目其他供应商的法定代表人或单位负责人不为同一人且与其他供应商之间不存在直接控股、管理关系；本项目不接受转包分包且不接受联合体参评（提供《供应商资格声明函》，格式见附件）。</w:t>
      </w:r>
    </w:p>
    <w:p w14:paraId="660AE924">
      <w:pPr>
        <w:pStyle w:val="50"/>
        <w:numPr>
          <w:ilvl w:val="0"/>
          <w:numId w:val="3"/>
        </w:numPr>
        <w:spacing w:line="360" w:lineRule="auto"/>
        <w:ind w:firstLineChars="0"/>
        <w:rPr>
          <w:rStyle w:val="25"/>
          <w:rFonts w:hint="eastAsia" w:ascii="宋体" w:hAnsi="宋体" w:cs="宋体"/>
          <w:bCs w:val="0"/>
        </w:rPr>
      </w:pPr>
      <w:r>
        <w:rPr>
          <w:rStyle w:val="25"/>
          <w:rFonts w:hint="eastAsia" w:ascii="宋体" w:hAnsi="宋体" w:cs="宋体"/>
          <w:bCs w:val="0"/>
        </w:rPr>
        <w:t>报价要求</w:t>
      </w:r>
      <w:r>
        <w:rPr>
          <w:rStyle w:val="25"/>
          <w:rFonts w:hint="eastAsia" w:ascii="宋体" w:hAnsi="宋体" w:cs="宋体"/>
          <w:szCs w:val="21"/>
        </w:rPr>
        <w:t>（</w:t>
      </w:r>
      <w:r>
        <w:rPr>
          <w:rStyle w:val="25"/>
          <w:rFonts w:hint="eastAsia" w:ascii="宋体" w:hAnsi="宋体" w:cs="宋体"/>
          <w:b w:val="0"/>
          <w:szCs w:val="21"/>
        </w:rPr>
        <w:t>报价时需要提供以下</w:t>
      </w:r>
      <w:r>
        <w:rPr>
          <w:rStyle w:val="25"/>
          <w:rFonts w:hint="eastAsia" w:ascii="宋体" w:hAnsi="宋体" w:cs="宋体"/>
          <w:szCs w:val="21"/>
          <w:u w:val="double"/>
        </w:rPr>
        <w:t>盖章</w:t>
      </w:r>
      <w:r>
        <w:rPr>
          <w:rStyle w:val="25"/>
          <w:rFonts w:hint="eastAsia" w:ascii="宋体" w:hAnsi="宋体" w:cs="宋体"/>
          <w:b w:val="0"/>
          <w:szCs w:val="21"/>
        </w:rPr>
        <w:t>资料，</w:t>
      </w:r>
      <w:r>
        <w:rPr>
          <w:rFonts w:hint="eastAsia" w:ascii="宋体" w:hAnsi="宋体" w:cs="宋体"/>
          <w:szCs w:val="21"/>
        </w:rPr>
        <w:t>并对上传的响应文件资料承担责任</w:t>
      </w:r>
      <w:r>
        <w:rPr>
          <w:rStyle w:val="25"/>
          <w:rFonts w:hint="eastAsia" w:ascii="宋体" w:hAnsi="宋体" w:cs="宋体"/>
          <w:szCs w:val="21"/>
        </w:rPr>
        <w:t>）</w:t>
      </w:r>
    </w:p>
    <w:p w14:paraId="4B9EFC91">
      <w:pPr>
        <w:pStyle w:val="50"/>
        <w:numPr>
          <w:ilvl w:val="0"/>
          <w:numId w:val="7"/>
        </w:numPr>
        <w:spacing w:line="360" w:lineRule="auto"/>
        <w:ind w:firstLineChars="0"/>
        <w:rPr>
          <w:rFonts w:hint="eastAsia" w:ascii="宋体" w:hAnsi="宋体" w:cs="宋体"/>
          <w:b/>
          <w:bCs/>
        </w:rPr>
      </w:pPr>
      <w:r>
        <w:rPr>
          <w:rFonts w:hint="eastAsia" w:ascii="宋体" w:hAnsi="宋体" w:cs="宋体"/>
        </w:rPr>
        <w:t>通过报名供应商应根据本公告要求，在规定的时间内对采购项目进行响应，同时按本公告要求完整、真实、准确地填写并上传相应报价附件</w:t>
      </w:r>
      <w:r>
        <w:rPr>
          <w:rFonts w:hint="eastAsia" w:ascii="宋体" w:hAnsi="宋体" w:cs="宋体"/>
          <w:b/>
          <w:bCs/>
        </w:rPr>
        <w:t>（上传报价表、响应文件和评分标准提及的相关证明材料等）。</w:t>
      </w:r>
    </w:p>
    <w:p w14:paraId="2D4C357F">
      <w:pPr>
        <w:pStyle w:val="50"/>
        <w:numPr>
          <w:ilvl w:val="0"/>
          <w:numId w:val="7"/>
        </w:numPr>
        <w:spacing w:line="360" w:lineRule="auto"/>
        <w:ind w:firstLineChars="0"/>
        <w:rPr>
          <w:rFonts w:hint="eastAsia" w:ascii="宋体" w:hAnsi="宋体" w:cs="宋体"/>
          <w:b/>
          <w:bCs/>
        </w:rPr>
      </w:pPr>
      <w:r>
        <w:rPr>
          <w:rFonts w:hint="eastAsia" w:ascii="宋体" w:hAnsi="宋体" w:cs="宋体"/>
          <w:b/>
          <w:bCs/>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5FAD156A">
      <w:pPr>
        <w:pStyle w:val="50"/>
        <w:numPr>
          <w:ilvl w:val="0"/>
          <w:numId w:val="7"/>
        </w:numPr>
        <w:spacing w:line="360" w:lineRule="auto"/>
        <w:ind w:firstLineChars="0"/>
        <w:rPr>
          <w:rFonts w:hint="eastAsia" w:ascii="宋体" w:hAnsi="宋体" w:cs="宋体"/>
          <w:b/>
          <w:bCs/>
        </w:rPr>
      </w:pPr>
      <w:r>
        <w:rPr>
          <w:rFonts w:hint="eastAsia" w:ascii="宋体" w:hAnsi="宋体" w:cs="宋体"/>
          <w:b/>
          <w:bCs/>
        </w:rPr>
        <w:t>供应商须在系统报价环节上传响应文件并报价，响应文件请按照本文件第三章响应文件模板进行编制后打印，每页加盖公章后扫描成一个PDF上传。</w:t>
      </w:r>
    </w:p>
    <w:p w14:paraId="0E1B59E7">
      <w:pPr>
        <w:pStyle w:val="50"/>
        <w:numPr>
          <w:ilvl w:val="0"/>
          <w:numId w:val="3"/>
        </w:numPr>
        <w:spacing w:line="360" w:lineRule="auto"/>
        <w:ind w:firstLineChars="0"/>
        <w:rPr>
          <w:rStyle w:val="25"/>
          <w:rFonts w:hint="eastAsia" w:ascii="宋体" w:hAnsi="宋体" w:cs="宋体"/>
          <w:bCs w:val="0"/>
        </w:rPr>
      </w:pPr>
      <w:r>
        <w:rPr>
          <w:rStyle w:val="25"/>
          <w:rFonts w:hint="eastAsia" w:ascii="宋体" w:hAnsi="宋体" w:cs="宋体"/>
          <w:bCs w:val="0"/>
        </w:rPr>
        <w:t>确定成交候选人</w:t>
      </w:r>
    </w:p>
    <w:p w14:paraId="4A54B6F4">
      <w:pPr>
        <w:pStyle w:val="50"/>
        <w:numPr>
          <w:ilvl w:val="0"/>
          <w:numId w:val="8"/>
        </w:numPr>
        <w:spacing w:line="360" w:lineRule="auto"/>
        <w:ind w:firstLineChars="0"/>
        <w:rPr>
          <w:rFonts w:hint="eastAsia" w:ascii="宋体" w:hAnsi="宋体" w:cs="宋体"/>
        </w:rPr>
      </w:pPr>
      <w:r>
        <w:rPr>
          <w:rFonts w:hint="eastAsia" w:ascii="宋体" w:hAnsi="宋体" w:cs="宋体"/>
        </w:rPr>
        <w:t>本项目以综合评分法确定成交供应商，参与评分的专家按照评分标准以及权重分配的规定就各个响应供应商的技术状况、商务状况及其对评审文件要求的响应情况进行评议和比较，评出其技术评分和商务评分、价格评分相加得出其综合得分，推荐综合得分排名第一的响应供应商为第一成交候选人，排名第二的响应供应商为第二成交候选人，以此类推。</w:t>
      </w:r>
    </w:p>
    <w:p w14:paraId="2EFB85C9">
      <w:pPr>
        <w:pStyle w:val="50"/>
        <w:numPr>
          <w:ilvl w:val="0"/>
          <w:numId w:val="3"/>
        </w:numPr>
        <w:spacing w:line="360" w:lineRule="auto"/>
        <w:ind w:firstLineChars="0"/>
        <w:rPr>
          <w:rFonts w:hint="eastAsia" w:ascii="宋体" w:hAnsi="宋体" w:cs="宋体"/>
          <w:b/>
          <w:szCs w:val="21"/>
        </w:rPr>
      </w:pPr>
      <w:r>
        <w:rPr>
          <w:rFonts w:hint="eastAsia" w:ascii="宋体" w:hAnsi="宋体" w:cs="宋体"/>
          <w:b/>
          <w:szCs w:val="21"/>
        </w:rPr>
        <w:t>无效响应</w:t>
      </w:r>
    </w:p>
    <w:p w14:paraId="02482D04">
      <w:pPr>
        <w:pStyle w:val="50"/>
        <w:numPr>
          <w:ilvl w:val="0"/>
          <w:numId w:val="9"/>
        </w:numPr>
        <w:spacing w:line="360" w:lineRule="auto"/>
        <w:ind w:firstLineChars="0"/>
        <w:rPr>
          <w:rFonts w:hint="eastAsia" w:ascii="宋体" w:hAnsi="宋体" w:cs="宋体"/>
        </w:rPr>
      </w:pPr>
      <w:r>
        <w:rPr>
          <w:rFonts w:hint="eastAsia" w:ascii="宋体" w:hAnsi="宋体" w:cs="宋体"/>
        </w:rPr>
        <w:t>响应供应商报价超过最高限价或低于最低限价或超过项目对应产品单项最高限价的视为无效响应。</w:t>
      </w:r>
    </w:p>
    <w:p w14:paraId="25F3A063">
      <w:pPr>
        <w:pStyle w:val="50"/>
        <w:numPr>
          <w:ilvl w:val="0"/>
          <w:numId w:val="9"/>
        </w:numPr>
        <w:spacing w:line="360" w:lineRule="auto"/>
        <w:ind w:firstLineChars="0"/>
        <w:rPr>
          <w:rFonts w:hint="eastAsia" w:ascii="宋体" w:hAnsi="宋体" w:cs="宋体"/>
        </w:rPr>
      </w:pPr>
      <w:r>
        <w:rPr>
          <w:rFonts w:hint="eastAsia" w:ascii="宋体" w:hAnsi="宋体" w:cs="宋体"/>
        </w:rPr>
        <w:t>参与综合评分的供应商须提供本项目要求的资质文件，如果不按公告规定或评审文件要求等相关规定提供符合要求的资质文件，将被视为无效响应。</w:t>
      </w:r>
    </w:p>
    <w:p w14:paraId="0E5CB6B5">
      <w:pPr>
        <w:pStyle w:val="50"/>
        <w:numPr>
          <w:ilvl w:val="0"/>
          <w:numId w:val="9"/>
        </w:numPr>
        <w:spacing w:line="360" w:lineRule="auto"/>
        <w:ind w:firstLineChars="0"/>
        <w:rPr>
          <w:rFonts w:hint="eastAsia" w:ascii="宋体" w:hAnsi="宋体" w:cs="宋体"/>
        </w:rPr>
      </w:pPr>
      <w:r>
        <w:rPr>
          <w:rFonts w:hint="eastAsia" w:ascii="宋体" w:hAnsi="宋体" w:cs="宋体"/>
        </w:rPr>
        <w:t>参与综合评分的供应商须对本项目采购内容进行整体响应，任何只对其中一部分内容进行的响应都被视为无效响应。</w:t>
      </w:r>
    </w:p>
    <w:p w14:paraId="15DA05D6">
      <w:pPr>
        <w:pStyle w:val="50"/>
        <w:numPr>
          <w:ilvl w:val="0"/>
          <w:numId w:val="9"/>
        </w:numPr>
        <w:spacing w:line="360" w:lineRule="auto"/>
        <w:ind w:firstLineChars="0"/>
        <w:rPr>
          <w:rFonts w:hint="eastAsia" w:ascii="宋体" w:hAnsi="宋体" w:cs="宋体"/>
        </w:rPr>
      </w:pPr>
      <w:r>
        <w:rPr>
          <w:rFonts w:hint="eastAsia" w:ascii="宋体" w:hAnsi="宋体" w:cs="宋体"/>
        </w:rPr>
        <w:t>所有参与评分提供的响应文件，供应商落款的文件必须加盖供应商公章，否则视为无效响应。</w:t>
      </w:r>
    </w:p>
    <w:p w14:paraId="681EB28A">
      <w:pPr>
        <w:pStyle w:val="50"/>
        <w:numPr>
          <w:ilvl w:val="0"/>
          <w:numId w:val="9"/>
        </w:numPr>
        <w:spacing w:line="360" w:lineRule="auto"/>
        <w:ind w:firstLineChars="0"/>
        <w:rPr>
          <w:rFonts w:hint="eastAsia" w:ascii="宋体" w:hAnsi="宋体" w:cs="宋体"/>
        </w:rPr>
      </w:pPr>
      <w:r>
        <w:rPr>
          <w:rFonts w:hint="eastAsia" w:ascii="宋体" w:hAnsi="宋体" w:cs="宋体"/>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7CB44321">
      <w:pPr>
        <w:pStyle w:val="50"/>
        <w:numPr>
          <w:ilvl w:val="0"/>
          <w:numId w:val="9"/>
        </w:numPr>
        <w:spacing w:line="360" w:lineRule="auto"/>
        <w:ind w:firstLineChars="0"/>
        <w:rPr>
          <w:rFonts w:hint="eastAsia" w:ascii="宋体" w:hAnsi="宋体" w:cs="宋体"/>
        </w:rPr>
      </w:pPr>
      <w:r>
        <w:rPr>
          <w:rFonts w:hint="eastAsia" w:ascii="宋体" w:hAnsi="宋体" w:cs="宋体"/>
        </w:rPr>
        <w:t>按有关法律、法规、规章属于响应无效的。</w:t>
      </w:r>
    </w:p>
    <w:p w14:paraId="2A803184">
      <w:pPr>
        <w:pStyle w:val="50"/>
        <w:numPr>
          <w:ilvl w:val="0"/>
          <w:numId w:val="9"/>
        </w:numPr>
        <w:spacing w:line="360" w:lineRule="auto"/>
        <w:ind w:firstLineChars="0"/>
        <w:rPr>
          <w:rFonts w:hint="eastAsia" w:ascii="宋体" w:hAnsi="宋体" w:cs="宋体"/>
        </w:rPr>
      </w:pPr>
      <w:r>
        <w:rPr>
          <w:rFonts w:hint="eastAsia" w:ascii="宋体" w:hAnsi="宋体" w:cs="宋体"/>
        </w:rPr>
        <w:t>有下列情形之一的，视为串通参与项目，其响应无效：</w:t>
      </w:r>
    </w:p>
    <w:p w14:paraId="12F8576B">
      <w:pPr>
        <w:pStyle w:val="50"/>
        <w:widowControl/>
        <w:numPr>
          <w:ilvl w:val="2"/>
          <w:numId w:val="10"/>
        </w:numPr>
        <w:spacing w:line="360" w:lineRule="auto"/>
        <w:ind w:firstLineChars="0"/>
        <w:jc w:val="left"/>
        <w:rPr>
          <w:rFonts w:hint="eastAsia" w:ascii="宋体" w:hAnsi="宋体" w:cs="宋体"/>
          <w:szCs w:val="21"/>
        </w:rPr>
      </w:pPr>
      <w:r>
        <w:rPr>
          <w:rFonts w:hint="eastAsia" w:ascii="宋体" w:hAnsi="宋体" w:cs="宋体"/>
          <w:szCs w:val="21"/>
        </w:rPr>
        <w:t>存在单位负责人为同一人或存在控股、管理关系的不同单位参与同一综合评分项目；</w:t>
      </w:r>
    </w:p>
    <w:p w14:paraId="5C3E5BC4">
      <w:pPr>
        <w:pStyle w:val="50"/>
        <w:widowControl/>
        <w:numPr>
          <w:ilvl w:val="2"/>
          <w:numId w:val="10"/>
        </w:numPr>
        <w:spacing w:line="360" w:lineRule="auto"/>
        <w:ind w:firstLineChars="0"/>
        <w:jc w:val="left"/>
        <w:rPr>
          <w:rFonts w:hint="eastAsia" w:ascii="宋体" w:hAnsi="宋体" w:cs="宋体"/>
          <w:szCs w:val="21"/>
        </w:rPr>
      </w:pPr>
      <w:r>
        <w:rPr>
          <w:rFonts w:hint="eastAsia" w:ascii="宋体" w:hAnsi="宋体" w:cs="宋体"/>
          <w:szCs w:val="21"/>
        </w:rPr>
        <w:t>不同供应商的响应文件由同一单位或者个人编制；</w:t>
      </w:r>
    </w:p>
    <w:p w14:paraId="5F535B5F">
      <w:pPr>
        <w:pStyle w:val="50"/>
        <w:widowControl/>
        <w:numPr>
          <w:ilvl w:val="2"/>
          <w:numId w:val="10"/>
        </w:numPr>
        <w:spacing w:line="360" w:lineRule="auto"/>
        <w:ind w:firstLineChars="0"/>
        <w:jc w:val="left"/>
        <w:rPr>
          <w:rFonts w:hint="eastAsia" w:ascii="宋体" w:hAnsi="宋体" w:cs="宋体"/>
          <w:szCs w:val="21"/>
        </w:rPr>
      </w:pPr>
      <w:r>
        <w:rPr>
          <w:rFonts w:hint="eastAsia" w:ascii="宋体" w:hAnsi="宋体" w:cs="宋体"/>
          <w:szCs w:val="21"/>
        </w:rPr>
        <w:t>不同供应商委托同一单位或者个人办理综合评分事宜；</w:t>
      </w:r>
    </w:p>
    <w:p w14:paraId="1BE53E4E">
      <w:pPr>
        <w:pStyle w:val="50"/>
        <w:widowControl/>
        <w:numPr>
          <w:ilvl w:val="2"/>
          <w:numId w:val="10"/>
        </w:numPr>
        <w:spacing w:line="360" w:lineRule="auto"/>
        <w:ind w:firstLineChars="0"/>
        <w:jc w:val="left"/>
        <w:rPr>
          <w:rFonts w:hint="eastAsia" w:ascii="宋体" w:hAnsi="宋体" w:cs="宋体"/>
          <w:szCs w:val="21"/>
        </w:rPr>
      </w:pPr>
      <w:r>
        <w:rPr>
          <w:rFonts w:hint="eastAsia" w:ascii="宋体" w:hAnsi="宋体" w:cs="宋体"/>
          <w:szCs w:val="21"/>
        </w:rPr>
        <w:t>不同供应商使用同一IP地址参与综合评分；</w:t>
      </w:r>
    </w:p>
    <w:p w14:paraId="4493F44D">
      <w:pPr>
        <w:pStyle w:val="50"/>
        <w:widowControl/>
        <w:numPr>
          <w:ilvl w:val="2"/>
          <w:numId w:val="10"/>
        </w:numPr>
        <w:spacing w:line="360" w:lineRule="auto"/>
        <w:ind w:firstLineChars="0"/>
        <w:jc w:val="left"/>
        <w:rPr>
          <w:rFonts w:hint="eastAsia" w:ascii="宋体" w:hAnsi="宋体" w:cs="宋体"/>
          <w:szCs w:val="21"/>
        </w:rPr>
      </w:pPr>
      <w:r>
        <w:rPr>
          <w:rFonts w:hint="eastAsia" w:ascii="宋体" w:hAnsi="宋体" w:cs="宋体"/>
          <w:szCs w:val="21"/>
        </w:rPr>
        <w:t>不同供应商的响应文件载明的项目管理成员或者联系人员为同一人；</w:t>
      </w:r>
    </w:p>
    <w:p w14:paraId="7B101020">
      <w:pPr>
        <w:pStyle w:val="50"/>
        <w:widowControl/>
        <w:numPr>
          <w:ilvl w:val="2"/>
          <w:numId w:val="10"/>
        </w:numPr>
        <w:spacing w:line="360" w:lineRule="auto"/>
        <w:ind w:firstLineChars="0"/>
        <w:jc w:val="left"/>
        <w:rPr>
          <w:rFonts w:hint="eastAsia" w:ascii="宋体" w:hAnsi="宋体" w:cs="宋体"/>
          <w:szCs w:val="21"/>
        </w:rPr>
      </w:pPr>
      <w:r>
        <w:rPr>
          <w:rFonts w:hint="eastAsia" w:ascii="宋体" w:hAnsi="宋体" w:cs="宋体"/>
          <w:szCs w:val="21"/>
        </w:rPr>
        <w:t>不同不同供应商的响应文件异常一致(格式相同字体一样，表格颜色相同等)或者报价呈规律性差异；</w:t>
      </w:r>
    </w:p>
    <w:p w14:paraId="324799E1">
      <w:pPr>
        <w:pStyle w:val="50"/>
        <w:widowControl/>
        <w:numPr>
          <w:ilvl w:val="2"/>
          <w:numId w:val="10"/>
        </w:numPr>
        <w:spacing w:line="360" w:lineRule="auto"/>
        <w:ind w:firstLineChars="0"/>
        <w:jc w:val="left"/>
        <w:rPr>
          <w:rFonts w:hint="eastAsia" w:ascii="宋体" w:hAnsi="宋体" w:cs="宋体"/>
          <w:szCs w:val="21"/>
        </w:rPr>
      </w:pPr>
      <w:r>
        <w:rPr>
          <w:rFonts w:hint="eastAsia" w:ascii="宋体" w:hAnsi="宋体" w:cs="宋体"/>
          <w:szCs w:val="21"/>
        </w:rPr>
        <w:t>不同供应商的响应文件相互混淆；</w:t>
      </w:r>
      <w:bookmarkStart w:id="1" w:name="_GoBack"/>
      <w:bookmarkEnd w:id="1"/>
    </w:p>
    <w:p w14:paraId="7FE7291F">
      <w:pPr>
        <w:pStyle w:val="50"/>
        <w:widowControl/>
        <w:numPr>
          <w:ilvl w:val="2"/>
          <w:numId w:val="10"/>
        </w:numPr>
        <w:spacing w:line="360" w:lineRule="auto"/>
        <w:ind w:firstLineChars="0"/>
        <w:jc w:val="left"/>
        <w:rPr>
          <w:rFonts w:hint="eastAsia" w:ascii="宋体" w:hAnsi="宋体" w:cs="宋体"/>
          <w:szCs w:val="21"/>
        </w:rPr>
      </w:pPr>
      <w:r>
        <w:rPr>
          <w:rFonts w:hint="eastAsia" w:ascii="宋体" w:hAnsi="宋体" w:cs="宋体"/>
          <w:szCs w:val="21"/>
        </w:rPr>
        <w:t>不同供应商的平台保障金从同一单位或者个人的账户转出。</w:t>
      </w:r>
    </w:p>
    <w:p w14:paraId="6221890A">
      <w:pPr>
        <w:pStyle w:val="50"/>
        <w:numPr>
          <w:ilvl w:val="0"/>
          <w:numId w:val="3"/>
        </w:numPr>
        <w:spacing w:line="360" w:lineRule="auto"/>
        <w:ind w:firstLineChars="0"/>
        <w:rPr>
          <w:rFonts w:hint="eastAsia" w:ascii="宋体" w:hAnsi="宋体" w:cs="宋体"/>
          <w:szCs w:val="21"/>
        </w:rPr>
      </w:pPr>
      <w:r>
        <w:rPr>
          <w:rFonts w:hint="eastAsia" w:ascii="宋体" w:hAnsi="宋体" w:cs="宋体"/>
          <w:b/>
          <w:szCs w:val="21"/>
        </w:rPr>
        <w:t>综合评分失败情形</w:t>
      </w:r>
    </w:p>
    <w:p w14:paraId="3B932B5C">
      <w:pPr>
        <w:pStyle w:val="50"/>
        <w:numPr>
          <w:ilvl w:val="0"/>
          <w:numId w:val="11"/>
        </w:numPr>
        <w:spacing w:line="360" w:lineRule="auto"/>
        <w:ind w:firstLineChars="0"/>
        <w:rPr>
          <w:rFonts w:hint="eastAsia" w:ascii="宋体" w:hAnsi="宋体" w:cs="宋体"/>
        </w:rPr>
      </w:pPr>
      <w:r>
        <w:rPr>
          <w:rFonts w:hint="eastAsia" w:ascii="宋体" w:hAnsi="宋体" w:cs="宋体"/>
        </w:rPr>
        <w:t>出现下列情况的，本项目综合评分活动失败：</w:t>
      </w:r>
    </w:p>
    <w:p w14:paraId="17F34363">
      <w:pPr>
        <w:pStyle w:val="50"/>
        <w:numPr>
          <w:ilvl w:val="0"/>
          <w:numId w:val="12"/>
        </w:numPr>
        <w:spacing w:line="360" w:lineRule="auto"/>
        <w:ind w:left="1050" w:firstLineChars="0"/>
        <w:rPr>
          <w:rFonts w:hint="eastAsia" w:ascii="宋体" w:hAnsi="宋体" w:cs="宋体"/>
          <w:color w:val="000000"/>
        </w:rPr>
      </w:pPr>
      <w:r>
        <w:rPr>
          <w:rFonts w:hint="eastAsia" w:ascii="宋体" w:hAnsi="宋体" w:cs="宋体"/>
          <w:color w:val="000000"/>
        </w:rPr>
        <w:t>有效报名供应商不足3家；</w:t>
      </w:r>
    </w:p>
    <w:p w14:paraId="6A6CF412">
      <w:pPr>
        <w:pStyle w:val="50"/>
        <w:numPr>
          <w:ilvl w:val="0"/>
          <w:numId w:val="12"/>
        </w:numPr>
        <w:spacing w:line="360" w:lineRule="auto"/>
        <w:ind w:left="1050" w:firstLineChars="0"/>
        <w:rPr>
          <w:rFonts w:hint="eastAsia" w:ascii="宋体" w:hAnsi="宋体" w:cs="宋体"/>
          <w:color w:val="000000"/>
          <w:szCs w:val="21"/>
        </w:rPr>
      </w:pPr>
      <w:r>
        <w:rPr>
          <w:rFonts w:hint="eastAsia" w:ascii="宋体" w:hAnsi="宋体" w:cs="宋体"/>
          <w:color w:val="000000"/>
        </w:rPr>
        <w:t>有效参与评分的供应商不足3家。</w:t>
      </w:r>
    </w:p>
    <w:p w14:paraId="70DC3ED6">
      <w:pPr>
        <w:pStyle w:val="50"/>
        <w:numPr>
          <w:ilvl w:val="0"/>
          <w:numId w:val="11"/>
        </w:numPr>
        <w:spacing w:line="360" w:lineRule="auto"/>
        <w:ind w:firstLineChars="0"/>
        <w:rPr>
          <w:rFonts w:hint="eastAsia" w:ascii="宋体" w:hAnsi="宋体" w:cs="宋体"/>
        </w:rPr>
      </w:pPr>
      <w:r>
        <w:rPr>
          <w:rFonts w:hint="eastAsia" w:ascii="宋体" w:hAnsi="宋体" w:cs="宋体"/>
        </w:rPr>
        <w:t>出现影响采购公正的违法、违规行为的；</w:t>
      </w:r>
    </w:p>
    <w:p w14:paraId="4C6391F3">
      <w:pPr>
        <w:pStyle w:val="50"/>
        <w:numPr>
          <w:ilvl w:val="0"/>
          <w:numId w:val="11"/>
        </w:numPr>
        <w:spacing w:line="360" w:lineRule="auto"/>
        <w:ind w:firstLineChars="0"/>
        <w:rPr>
          <w:rFonts w:hint="eastAsia" w:ascii="宋体" w:hAnsi="宋体" w:cs="宋体"/>
        </w:rPr>
      </w:pPr>
      <w:r>
        <w:rPr>
          <w:rFonts w:hint="eastAsia" w:ascii="宋体" w:hAnsi="宋体" w:cs="宋体"/>
        </w:rPr>
        <w:t>因重大变故，采购任务取消的；</w:t>
      </w:r>
    </w:p>
    <w:p w14:paraId="22E2FB02">
      <w:pPr>
        <w:pStyle w:val="50"/>
        <w:numPr>
          <w:ilvl w:val="0"/>
          <w:numId w:val="3"/>
        </w:numPr>
        <w:spacing w:line="360" w:lineRule="auto"/>
        <w:ind w:firstLineChars="0"/>
        <w:rPr>
          <w:rFonts w:hint="eastAsia" w:ascii="宋体" w:hAnsi="宋体" w:cs="宋体"/>
          <w:b/>
          <w:szCs w:val="21"/>
        </w:rPr>
      </w:pPr>
      <w:r>
        <w:rPr>
          <w:rFonts w:hint="eastAsia" w:ascii="宋体" w:hAnsi="宋体" w:cs="宋体"/>
          <w:b/>
          <w:szCs w:val="21"/>
        </w:rPr>
        <w:t>平台使用费</w:t>
      </w:r>
    </w:p>
    <w:p w14:paraId="78C44C7F">
      <w:pPr>
        <w:pStyle w:val="79"/>
        <w:spacing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1.成交供应商须向平台服务商云采链线上采购一体化平台缴纳平台使用费，金额为成交金额的1.2%（四舍五入取整数）。</w:t>
      </w:r>
    </w:p>
    <w:p w14:paraId="1DB79D00">
      <w:pPr>
        <w:pStyle w:val="79"/>
        <w:spacing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2.成交供应商无正当理由放弃成交资格的必须按竞价公告等相关规定缴纳相应的平台使用费。</w:t>
      </w:r>
    </w:p>
    <w:p w14:paraId="280EBC07">
      <w:pPr>
        <w:pStyle w:val="79"/>
        <w:spacing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3.如确实因不可抗力放弃成交资格的，应在不可抗力发生后三个工作日内予以通知采购代理机构并提供相关的证明；如逾期，采购代理机构不予退还平台使用费。</w:t>
      </w:r>
    </w:p>
    <w:p w14:paraId="585026C4">
      <w:pPr>
        <w:pStyle w:val="79"/>
        <w:numPr>
          <w:ilvl w:val="0"/>
          <w:numId w:val="2"/>
        </w:numPr>
        <w:spacing w:line="360" w:lineRule="auto"/>
        <w:ind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联系方式</w:t>
      </w:r>
    </w:p>
    <w:p w14:paraId="15EC1F52">
      <w:pPr>
        <w:pStyle w:val="79"/>
        <w:spacing w:line="360" w:lineRule="auto"/>
        <w:ind w:left="420" w:firstLine="0" w:firstLineChars="0"/>
        <w:rPr>
          <w:rFonts w:hint="eastAsia" w:asciiTheme="minorEastAsia" w:hAnsiTheme="minorEastAsia" w:cstheme="minorEastAsia"/>
          <w:b/>
          <w:color w:val="000000" w:themeColor="text1"/>
          <w:szCs w:val="21"/>
          <w14:textFill>
            <w14:solidFill>
              <w14:schemeClr w14:val="tx1"/>
            </w14:solidFill>
          </w14:textFill>
        </w:rPr>
      </w:pPr>
      <w:r>
        <w:rPr>
          <w:rFonts w:asciiTheme="minorEastAsia" w:hAnsiTheme="minorEastAsia"/>
          <w:szCs w:val="21"/>
        </w:rPr>
        <w:t>1</w:t>
      </w:r>
      <w:r>
        <w:rPr>
          <w:rFonts w:hint="eastAsia" w:asciiTheme="minorEastAsia" w:hAnsiTheme="minorEastAsia"/>
          <w:szCs w:val="21"/>
        </w:rPr>
        <w:t>.</w:t>
      </w:r>
      <w:r>
        <w:rPr>
          <w:rFonts w:asciiTheme="minorEastAsia" w:hAnsiTheme="minorEastAsia"/>
          <w:szCs w:val="21"/>
        </w:rPr>
        <w:t>采购人联系人及联系</w:t>
      </w:r>
      <w:r>
        <w:rPr>
          <w:rFonts w:hint="eastAsia" w:asciiTheme="minorEastAsia" w:hAnsiTheme="minorEastAsia"/>
          <w:szCs w:val="21"/>
        </w:rPr>
        <w:t>方式</w:t>
      </w:r>
      <w:r>
        <w:rPr>
          <w:rFonts w:asciiTheme="minorEastAsia" w:hAnsiTheme="minorEastAsia"/>
          <w:szCs w:val="21"/>
        </w:rPr>
        <w:t>：</w:t>
      </w:r>
      <w:r>
        <w:rPr>
          <w:rFonts w:asciiTheme="minorEastAsia" w:hAnsiTheme="minorEastAsia"/>
          <w:szCs w:val="21"/>
        </w:rPr>
        <w:br w:type="textWrapping"/>
      </w:r>
      <w:r>
        <w:rPr>
          <w:rFonts w:hint="eastAsia" w:asciiTheme="minorEastAsia" w:hAnsiTheme="minorEastAsia"/>
          <w:szCs w:val="21"/>
        </w:rPr>
        <w:t>广东省肇庆监狱业务咨询部门电话 0758-3173863</w:t>
      </w:r>
      <w:r>
        <w:rPr>
          <w:rFonts w:asciiTheme="minorEastAsia" w:hAnsiTheme="minorEastAsia"/>
          <w:szCs w:val="21"/>
        </w:rPr>
        <w:t>。</w:t>
      </w:r>
      <w:r>
        <w:rPr>
          <w:rFonts w:asciiTheme="minorEastAsia" w:hAnsiTheme="minorEastAsia"/>
          <w:szCs w:val="21"/>
        </w:rPr>
        <w:br w:type="textWrapping"/>
      </w:r>
      <w:r>
        <w:rPr>
          <w:rFonts w:asciiTheme="minorEastAsia" w:hAnsiTheme="minorEastAsia"/>
          <w:szCs w:val="21"/>
        </w:rPr>
        <w:t>2</w:t>
      </w:r>
      <w:r>
        <w:rPr>
          <w:rFonts w:hint="eastAsia" w:asciiTheme="minorEastAsia" w:hAnsiTheme="minorEastAsia"/>
          <w:szCs w:val="21"/>
        </w:rPr>
        <w:t>.</w:t>
      </w:r>
      <w:r>
        <w:rPr>
          <w:rFonts w:asciiTheme="minorEastAsia" w:hAnsiTheme="minorEastAsia"/>
          <w:szCs w:val="21"/>
        </w:rPr>
        <w:t>纪检监督部门：</w:t>
      </w:r>
      <w:r>
        <w:rPr>
          <w:rFonts w:asciiTheme="minorEastAsia" w:hAnsiTheme="minorEastAsia"/>
          <w:szCs w:val="21"/>
        </w:rPr>
        <w:br w:type="textWrapping"/>
      </w:r>
      <w:r>
        <w:rPr>
          <w:rFonts w:hint="eastAsia" w:asciiTheme="minorEastAsia" w:hAnsiTheme="minorEastAsia"/>
          <w:szCs w:val="21"/>
        </w:rPr>
        <w:t>广东省肇庆监狱纪检监督部门电话0758—3173809</w:t>
      </w:r>
      <w:r>
        <w:rPr>
          <w:rFonts w:asciiTheme="minorEastAsia" w:hAnsiTheme="minorEastAsia"/>
          <w:szCs w:val="21"/>
        </w:rPr>
        <w:t>。</w:t>
      </w:r>
    </w:p>
    <w:p w14:paraId="1E7A58C5">
      <w:pPr>
        <w:pStyle w:val="79"/>
        <w:widowControl/>
        <w:spacing w:line="360" w:lineRule="auto"/>
        <w:ind w:left="420" w:firstLine="0" w:firstLineChars="0"/>
        <w:jc w:val="lef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3.扫码关注微信公众号“云采链互联服务平台”，即可在线咨询相关事项。</w:t>
      </w:r>
    </w:p>
    <w:p w14:paraId="56AC3816">
      <w:pPr>
        <w:pStyle w:val="50"/>
        <w:widowControl/>
        <w:spacing w:line="360" w:lineRule="auto"/>
        <w:ind w:left="420" w:firstLine="0" w:firstLineChars="0"/>
        <w:jc w:val="center"/>
        <w:rPr>
          <w:rFonts w:hint="eastAsia" w:ascii="宋体" w:hAnsi="宋体" w:cs="宋体"/>
          <w:b/>
        </w:rPr>
      </w:pPr>
      <w:r>
        <w:rPr>
          <w:rFonts w:hint="eastAsia" w:ascii="宋体" w:hAnsi="宋体" w:cs="宋体"/>
        </w:rPr>
        <w:drawing>
          <wp:inline distT="0" distB="0" distL="114300" distR="114300">
            <wp:extent cx="1390650" cy="1390650"/>
            <wp:effectExtent l="0" t="0" r="11430" b="11430"/>
            <wp:docPr id="1"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Users\ADMINI~1\AppData\Local\Temp\360zip$Temp\360$2\智采公众号8cm.jpg"/>
                    <pic:cNvPicPr>
                      <a:picLocks noChangeAspect="1"/>
                    </pic:cNvPicPr>
                  </pic:nvPicPr>
                  <pic:blipFill>
                    <a:blip r:embed="rId11" cstate="print"/>
                    <a:stretch>
                      <a:fillRect/>
                    </a:stretch>
                  </pic:blipFill>
                  <pic:spPr>
                    <a:xfrm>
                      <a:off x="0" y="0"/>
                      <a:ext cx="1390650" cy="1390650"/>
                    </a:xfrm>
                    <a:prstGeom prst="rect">
                      <a:avLst/>
                    </a:prstGeom>
                    <a:noFill/>
                    <a:ln>
                      <a:noFill/>
                    </a:ln>
                  </pic:spPr>
                </pic:pic>
              </a:graphicData>
            </a:graphic>
          </wp:inline>
        </w:drawing>
      </w:r>
    </w:p>
    <w:p w14:paraId="27F07883">
      <w:pPr>
        <w:rPr>
          <w:rFonts w:hint="eastAsia" w:ascii="宋体" w:hAnsi="宋体" w:cs="宋体"/>
        </w:rPr>
      </w:pPr>
      <w:r>
        <w:rPr>
          <w:rFonts w:hint="eastAsia" w:ascii="宋体" w:hAnsi="宋体" w:cs="宋体"/>
        </w:rPr>
        <w:br w:type="page"/>
      </w:r>
    </w:p>
    <w:p w14:paraId="4F4C0F3B">
      <w:pPr>
        <w:pStyle w:val="19"/>
        <w:spacing w:before="0" w:after="0"/>
        <w:rPr>
          <w:rFonts w:hint="eastAsia" w:ascii="宋体" w:hAnsi="宋体" w:cs="宋体"/>
        </w:rPr>
      </w:pPr>
      <w:r>
        <w:rPr>
          <w:rFonts w:hint="eastAsia" w:ascii="宋体" w:hAnsi="宋体" w:cs="宋体"/>
          <w:kern w:val="0"/>
          <w:lang w:val="zh-CN"/>
        </w:rPr>
        <w:t>第二章</w:t>
      </w:r>
      <w:r>
        <w:rPr>
          <w:rFonts w:hint="eastAsia" w:ascii="宋体" w:hAnsi="宋体" w:cs="宋体"/>
          <w:kern w:val="0"/>
        </w:rPr>
        <w:t xml:space="preserve"> </w:t>
      </w:r>
      <w:r>
        <w:rPr>
          <w:rFonts w:hint="eastAsia" w:ascii="宋体" w:hAnsi="宋体" w:cs="宋体"/>
          <w:kern w:val="0"/>
          <w:lang w:val="zh-CN"/>
        </w:rPr>
        <w:t>用户需求书</w:t>
      </w:r>
    </w:p>
    <w:p w14:paraId="33F13BE0">
      <w:pPr>
        <w:spacing w:before="156" w:beforeLines="50" w:line="360" w:lineRule="auto"/>
        <w:ind w:left="517" w:hanging="517"/>
        <w:rPr>
          <w:rFonts w:hint="eastAsia" w:ascii="宋体" w:hAnsi="宋体" w:cs="宋体"/>
          <w:b/>
          <w:bCs/>
          <w:szCs w:val="21"/>
        </w:rPr>
      </w:pPr>
      <w:r>
        <w:rPr>
          <w:rFonts w:hint="eastAsia" w:ascii="宋体" w:hAnsi="宋体" w:cs="宋体"/>
          <w:b/>
          <w:bCs/>
          <w:szCs w:val="21"/>
        </w:rPr>
        <w:t>说明：</w:t>
      </w:r>
    </w:p>
    <w:p w14:paraId="4892DA5D">
      <w:pPr>
        <w:tabs>
          <w:tab w:val="left" w:pos="567"/>
        </w:tabs>
        <w:snapToGrid w:val="0"/>
        <w:spacing w:line="360" w:lineRule="auto"/>
        <w:rPr>
          <w:rFonts w:hint="eastAsia" w:ascii="宋体" w:hAnsi="宋体" w:cs="宋体"/>
          <w:b/>
          <w:bCs/>
          <w:szCs w:val="21"/>
        </w:rPr>
      </w:pPr>
      <w:r>
        <w:rPr>
          <w:rFonts w:hint="eastAsia" w:ascii="宋体" w:hAnsi="宋体" w:cs="宋体"/>
          <w:bCs/>
          <w:szCs w:val="21"/>
        </w:rPr>
        <w:t>1、响应供应商须对本项目的采购内容进行整体响应，任何只对本项目采购标的其中一部分内容、数量进行的响应都被视为无效响应。</w:t>
      </w:r>
    </w:p>
    <w:p w14:paraId="44D00165">
      <w:pPr>
        <w:pStyle w:val="50"/>
        <w:numPr>
          <w:ilvl w:val="0"/>
          <w:numId w:val="13"/>
        </w:numPr>
        <w:spacing w:line="360" w:lineRule="auto"/>
        <w:ind w:left="0" w:hanging="448" w:firstLineChars="0"/>
        <w:outlineLvl w:val="1"/>
        <w:rPr>
          <w:rFonts w:hint="eastAsia" w:ascii="宋体" w:hAnsi="宋体" w:cs="宋体"/>
          <w:b/>
          <w:szCs w:val="21"/>
        </w:rPr>
      </w:pPr>
      <w:r>
        <w:rPr>
          <w:rFonts w:hint="eastAsia" w:ascii="宋体" w:hAnsi="宋体" w:cs="宋体"/>
          <w:b/>
          <w:szCs w:val="21"/>
        </w:rPr>
        <w:t>项目一览表</w:t>
      </w:r>
    </w:p>
    <w:tbl>
      <w:tblPr>
        <w:tblStyle w:val="2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99"/>
        <w:gridCol w:w="1380"/>
        <w:gridCol w:w="2644"/>
        <w:gridCol w:w="1702"/>
      </w:tblGrid>
      <w:tr w14:paraId="18C33B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1641" w:type="pct"/>
            <w:shd w:val="clear" w:color="auto" w:fill="EEECE1"/>
            <w:vAlign w:val="center"/>
          </w:tcPr>
          <w:p w14:paraId="7AD250D6">
            <w:pPr>
              <w:spacing w:line="360" w:lineRule="auto"/>
              <w:jc w:val="center"/>
              <w:rPr>
                <w:rFonts w:hint="eastAsia" w:ascii="宋体" w:hAnsi="宋体" w:cs="宋体"/>
                <w:b/>
                <w:szCs w:val="21"/>
              </w:rPr>
            </w:pPr>
            <w:r>
              <w:rPr>
                <w:rFonts w:hint="eastAsia" w:ascii="宋体" w:hAnsi="宋体" w:cs="宋体"/>
                <w:b/>
                <w:szCs w:val="21"/>
              </w:rPr>
              <w:t>项目名称</w:t>
            </w:r>
          </w:p>
        </w:tc>
        <w:tc>
          <w:tcPr>
            <w:tcW w:w="809" w:type="pct"/>
            <w:shd w:val="clear" w:color="auto" w:fill="EEECE1"/>
            <w:vAlign w:val="center"/>
          </w:tcPr>
          <w:p w14:paraId="71741714">
            <w:pPr>
              <w:spacing w:line="360" w:lineRule="auto"/>
              <w:jc w:val="center"/>
              <w:rPr>
                <w:rFonts w:hint="eastAsia" w:ascii="宋体" w:hAnsi="宋体" w:cs="宋体"/>
                <w:b/>
                <w:szCs w:val="21"/>
              </w:rPr>
            </w:pPr>
            <w:r>
              <w:rPr>
                <w:rFonts w:hint="eastAsia" w:ascii="宋体" w:hAnsi="宋体" w:cs="宋体"/>
                <w:b/>
                <w:szCs w:val="21"/>
              </w:rPr>
              <w:t>数量</w:t>
            </w:r>
          </w:p>
        </w:tc>
        <w:tc>
          <w:tcPr>
            <w:tcW w:w="1550" w:type="pct"/>
            <w:shd w:val="clear" w:color="auto" w:fill="EEECE1"/>
            <w:vAlign w:val="center"/>
          </w:tcPr>
          <w:p w14:paraId="0DA6457E">
            <w:pPr>
              <w:spacing w:line="360" w:lineRule="auto"/>
              <w:jc w:val="center"/>
              <w:rPr>
                <w:rFonts w:hint="eastAsia" w:ascii="宋体" w:hAnsi="宋体" w:cs="宋体"/>
                <w:b/>
                <w:szCs w:val="21"/>
              </w:rPr>
            </w:pPr>
            <w:r>
              <w:rPr>
                <w:rFonts w:hint="eastAsia" w:ascii="宋体" w:hAnsi="宋体" w:cs="宋体"/>
                <w:b/>
                <w:szCs w:val="21"/>
              </w:rPr>
              <w:t>服务期</w:t>
            </w:r>
          </w:p>
        </w:tc>
        <w:tc>
          <w:tcPr>
            <w:tcW w:w="998" w:type="pct"/>
            <w:shd w:val="clear" w:color="auto" w:fill="EEECE1"/>
            <w:vAlign w:val="center"/>
          </w:tcPr>
          <w:p w14:paraId="3EC4A38D">
            <w:pPr>
              <w:spacing w:line="360" w:lineRule="auto"/>
              <w:jc w:val="center"/>
              <w:rPr>
                <w:rFonts w:hint="eastAsia" w:ascii="宋体" w:hAnsi="宋体" w:cs="宋体"/>
                <w:b/>
                <w:szCs w:val="21"/>
              </w:rPr>
            </w:pPr>
            <w:r>
              <w:rPr>
                <w:rFonts w:hint="eastAsia" w:ascii="宋体" w:hAnsi="宋体" w:cs="宋体"/>
                <w:b/>
                <w:szCs w:val="21"/>
              </w:rPr>
              <w:t>最高预算金额（含税）</w:t>
            </w:r>
          </w:p>
        </w:tc>
      </w:tr>
      <w:tr w14:paraId="24703F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1641" w:type="pct"/>
            <w:vAlign w:val="center"/>
          </w:tcPr>
          <w:p w14:paraId="14D17110">
            <w:pPr>
              <w:spacing w:line="360" w:lineRule="auto"/>
              <w:jc w:val="center"/>
              <w:rPr>
                <w:rFonts w:hint="eastAsia" w:ascii="宋体" w:hAnsi="宋体" w:cs="宋体"/>
                <w:szCs w:val="21"/>
              </w:rPr>
            </w:pPr>
            <w:r>
              <w:rPr>
                <w:rFonts w:hint="eastAsia" w:ascii="宋体" w:hAnsi="宋体" w:cs="宋体"/>
                <w:szCs w:val="21"/>
              </w:rPr>
              <w:t>2025-2026年度广东省肇庆监狱视频拍摄项目</w:t>
            </w:r>
          </w:p>
        </w:tc>
        <w:tc>
          <w:tcPr>
            <w:tcW w:w="809" w:type="pct"/>
            <w:vAlign w:val="center"/>
          </w:tcPr>
          <w:p w14:paraId="41EB338D">
            <w:pPr>
              <w:spacing w:line="360" w:lineRule="auto"/>
              <w:jc w:val="center"/>
              <w:rPr>
                <w:rFonts w:hint="eastAsia" w:ascii="宋体" w:hAnsi="宋体" w:cs="宋体"/>
                <w:szCs w:val="21"/>
              </w:rPr>
            </w:pPr>
            <w:r>
              <w:rPr>
                <w:rFonts w:hint="eastAsia" w:ascii="宋体" w:hAnsi="宋体" w:cs="宋体"/>
                <w:szCs w:val="21"/>
              </w:rPr>
              <w:t>1项</w:t>
            </w:r>
          </w:p>
        </w:tc>
        <w:tc>
          <w:tcPr>
            <w:tcW w:w="1550" w:type="pct"/>
            <w:vAlign w:val="center"/>
          </w:tcPr>
          <w:p w14:paraId="77257FA9">
            <w:pPr>
              <w:spacing w:line="360" w:lineRule="auto"/>
              <w:jc w:val="center"/>
              <w:rPr>
                <w:rFonts w:hint="eastAsia" w:ascii="宋体" w:hAnsi="宋体" w:cs="宋体"/>
                <w:szCs w:val="21"/>
              </w:rPr>
            </w:pPr>
            <w:r>
              <w:rPr>
                <w:rFonts w:hint="eastAsia" w:ascii="宋体" w:hAnsi="宋体" w:cs="宋体"/>
                <w:szCs w:val="21"/>
              </w:rPr>
              <w:t>自合同签订之日起满一年或服务金额达到174000元</w:t>
            </w:r>
          </w:p>
        </w:tc>
        <w:tc>
          <w:tcPr>
            <w:tcW w:w="998" w:type="pct"/>
            <w:vAlign w:val="center"/>
          </w:tcPr>
          <w:p w14:paraId="749F759F">
            <w:pPr>
              <w:spacing w:line="360" w:lineRule="auto"/>
              <w:jc w:val="center"/>
              <w:rPr>
                <w:rFonts w:hint="eastAsia" w:ascii="宋体" w:hAnsi="宋体" w:cs="宋体"/>
                <w:szCs w:val="21"/>
              </w:rPr>
            </w:pPr>
            <w:r>
              <w:rPr>
                <w:rFonts w:hint="eastAsia" w:ascii="宋体" w:hAnsi="宋体" w:cs="宋体"/>
                <w:szCs w:val="21"/>
              </w:rPr>
              <w:t>人民币</w:t>
            </w:r>
            <w:r>
              <w:rPr>
                <w:rFonts w:hint="eastAsia" w:ascii="宋体" w:hAnsi="宋体"/>
                <w:bCs/>
                <w:szCs w:val="21"/>
              </w:rPr>
              <w:t>174000</w:t>
            </w:r>
            <w:r>
              <w:rPr>
                <w:rFonts w:hint="eastAsia" w:ascii="宋体" w:hAnsi="宋体" w:cs="宋体"/>
                <w:szCs w:val="21"/>
              </w:rPr>
              <w:t>元</w:t>
            </w:r>
          </w:p>
        </w:tc>
      </w:tr>
    </w:tbl>
    <w:p w14:paraId="0130FF3F">
      <w:pPr>
        <w:pStyle w:val="50"/>
        <w:numPr>
          <w:ilvl w:val="0"/>
          <w:numId w:val="13"/>
        </w:numPr>
        <w:spacing w:line="360" w:lineRule="auto"/>
        <w:ind w:left="0" w:hanging="448" w:firstLineChars="0"/>
        <w:outlineLvl w:val="1"/>
        <w:rPr>
          <w:rFonts w:hint="eastAsia" w:ascii="宋体" w:hAnsi="宋体" w:cs="宋体"/>
          <w:b/>
          <w:szCs w:val="21"/>
        </w:rPr>
      </w:pPr>
      <w:r>
        <w:rPr>
          <w:rFonts w:hint="eastAsia" w:ascii="宋体" w:hAnsi="宋体" w:cs="宋体"/>
          <w:b/>
          <w:bCs/>
          <w:szCs w:val="21"/>
        </w:rPr>
        <w:t>项目概况</w:t>
      </w:r>
    </w:p>
    <w:p w14:paraId="4FBCB59B">
      <w:pPr>
        <w:pStyle w:val="79"/>
        <w:adjustRightInd w:val="0"/>
        <w:snapToGrid w:val="0"/>
        <w:spacing w:line="360" w:lineRule="auto"/>
        <w:ind w:firstLine="0" w:firstLineChars="0"/>
        <w:rPr>
          <w:rFonts w:hint="eastAsia" w:ascii="宋体" w:hAnsi="宋体" w:cs="宋体"/>
          <w:b/>
          <w:bCs/>
          <w:szCs w:val="21"/>
        </w:rPr>
      </w:pPr>
      <w:r>
        <w:rPr>
          <w:rFonts w:hint="eastAsia" w:ascii="宋体" w:hAnsi="宋体" w:cs="宋体"/>
          <w:b/>
          <w:bCs/>
          <w:szCs w:val="21"/>
        </w:rPr>
        <w:t>（一）项目总体目标</w:t>
      </w:r>
    </w:p>
    <w:p w14:paraId="158FCB1C">
      <w:pPr>
        <w:adjustRightInd w:val="0"/>
        <w:snapToGrid w:val="0"/>
        <w:spacing w:line="360" w:lineRule="auto"/>
        <w:rPr>
          <w:rFonts w:hint="eastAsia" w:ascii="宋体" w:hAnsi="宋体" w:cs="宋体"/>
          <w:bCs/>
          <w:szCs w:val="21"/>
        </w:rPr>
      </w:pPr>
      <w:r>
        <w:rPr>
          <w:rFonts w:hint="eastAsia" w:ascii="宋体" w:hAnsi="宋体" w:cs="宋体"/>
          <w:bCs/>
          <w:szCs w:val="21"/>
        </w:rPr>
        <w:t>为进一步提升监狱视频宣传效率，生动形象地讲好监狱故事，服务监狱发展，更好彰显肇监良好形象。</w:t>
      </w:r>
    </w:p>
    <w:p w14:paraId="486FC145">
      <w:pPr>
        <w:pStyle w:val="79"/>
        <w:adjustRightInd w:val="0"/>
        <w:snapToGrid w:val="0"/>
        <w:spacing w:line="360" w:lineRule="auto"/>
        <w:ind w:firstLine="0" w:firstLineChars="0"/>
        <w:rPr>
          <w:rFonts w:hint="eastAsia" w:ascii="宋体" w:hAnsi="宋体" w:cs="宋体"/>
          <w:b/>
          <w:bCs/>
          <w:szCs w:val="21"/>
        </w:rPr>
      </w:pPr>
      <w:r>
        <w:rPr>
          <w:rFonts w:hint="eastAsia" w:ascii="宋体" w:hAnsi="宋体" w:cs="宋体"/>
          <w:b/>
          <w:bCs/>
          <w:szCs w:val="21"/>
        </w:rPr>
        <w:t>（二）服务地点</w:t>
      </w:r>
    </w:p>
    <w:p w14:paraId="02565494">
      <w:pPr>
        <w:adjustRightInd w:val="0"/>
        <w:snapToGrid w:val="0"/>
        <w:spacing w:line="360" w:lineRule="auto"/>
        <w:rPr>
          <w:rFonts w:hint="eastAsia" w:ascii="宋体" w:hAnsi="宋体" w:cs="宋体"/>
          <w:bCs/>
          <w:szCs w:val="21"/>
        </w:rPr>
      </w:pPr>
      <w:r>
        <w:rPr>
          <w:rFonts w:hint="eastAsia" w:ascii="宋体" w:hAnsi="宋体" w:cs="宋体"/>
          <w:bCs/>
          <w:szCs w:val="21"/>
        </w:rPr>
        <w:t>采购单位指定服务地点。</w:t>
      </w:r>
    </w:p>
    <w:p w14:paraId="44F76371">
      <w:pPr>
        <w:pStyle w:val="50"/>
        <w:numPr>
          <w:ilvl w:val="0"/>
          <w:numId w:val="13"/>
        </w:numPr>
        <w:spacing w:line="360" w:lineRule="auto"/>
        <w:ind w:left="0" w:hanging="448" w:firstLineChars="0"/>
        <w:outlineLvl w:val="1"/>
        <w:rPr>
          <w:rFonts w:hint="eastAsia" w:ascii="宋体" w:hAnsi="宋体" w:cs="宋体"/>
          <w:b/>
          <w:bCs/>
          <w:szCs w:val="21"/>
        </w:rPr>
      </w:pPr>
      <w:r>
        <w:rPr>
          <w:rFonts w:hint="eastAsia" w:ascii="宋体" w:hAnsi="宋体" w:cs="宋体"/>
          <w:b/>
          <w:bCs/>
          <w:szCs w:val="21"/>
        </w:rPr>
        <w:t xml:space="preserve">项目预算 </w:t>
      </w:r>
    </w:p>
    <w:p w14:paraId="61AED04D">
      <w:pPr>
        <w:adjustRightInd w:val="0"/>
        <w:snapToGrid w:val="0"/>
        <w:spacing w:line="360" w:lineRule="auto"/>
        <w:rPr>
          <w:rFonts w:hint="eastAsia" w:ascii="宋体" w:hAnsi="宋体" w:cs="宋体"/>
          <w:bCs/>
          <w:szCs w:val="21"/>
        </w:rPr>
      </w:pPr>
      <w:r>
        <w:rPr>
          <w:rFonts w:hint="eastAsia" w:ascii="宋体" w:hAnsi="宋体" w:cs="宋体"/>
          <w:bCs/>
          <w:szCs w:val="21"/>
        </w:rPr>
        <w:t>本项目总预算约为174000元，最终费用以提供实际服务量计算。</w:t>
      </w:r>
    </w:p>
    <w:p w14:paraId="0A79FA2F">
      <w:pPr>
        <w:pStyle w:val="50"/>
        <w:numPr>
          <w:ilvl w:val="0"/>
          <w:numId w:val="13"/>
        </w:numPr>
        <w:spacing w:line="360" w:lineRule="auto"/>
        <w:ind w:left="0" w:hanging="448" w:firstLineChars="0"/>
        <w:outlineLvl w:val="1"/>
        <w:rPr>
          <w:rFonts w:hint="eastAsia" w:ascii="宋体" w:hAnsi="宋体" w:cs="宋体"/>
          <w:b/>
          <w:bCs/>
          <w:szCs w:val="21"/>
        </w:rPr>
      </w:pPr>
      <w:r>
        <w:rPr>
          <w:rFonts w:hint="eastAsia" w:ascii="宋体" w:hAnsi="宋体" w:cs="宋体"/>
          <w:b/>
          <w:bCs/>
          <w:szCs w:val="21"/>
        </w:rPr>
        <w:t>服务期限</w:t>
      </w:r>
    </w:p>
    <w:p w14:paraId="047F993F">
      <w:pPr>
        <w:adjustRightInd w:val="0"/>
        <w:snapToGrid w:val="0"/>
        <w:spacing w:line="360" w:lineRule="auto"/>
        <w:rPr>
          <w:rFonts w:hint="eastAsia" w:ascii="宋体" w:hAnsi="宋体" w:cs="宋体"/>
          <w:bCs/>
          <w:szCs w:val="21"/>
        </w:rPr>
      </w:pPr>
      <w:r>
        <w:rPr>
          <w:rFonts w:hint="eastAsia" w:ascii="宋体" w:hAnsi="宋体" w:cs="宋体"/>
          <w:bCs/>
          <w:szCs w:val="21"/>
        </w:rPr>
        <w:t>自合同签订之日起满一年或服务金额达到174000元。</w:t>
      </w:r>
    </w:p>
    <w:p w14:paraId="2E26B3E5">
      <w:pPr>
        <w:pStyle w:val="50"/>
        <w:numPr>
          <w:ilvl w:val="0"/>
          <w:numId w:val="13"/>
        </w:numPr>
        <w:spacing w:line="360" w:lineRule="auto"/>
        <w:ind w:left="0" w:hanging="448" w:firstLineChars="0"/>
        <w:outlineLvl w:val="1"/>
        <w:rPr>
          <w:rFonts w:hint="eastAsia" w:ascii="宋体" w:hAnsi="宋体" w:cs="宋体"/>
          <w:b/>
          <w:bCs/>
          <w:szCs w:val="21"/>
        </w:rPr>
      </w:pPr>
      <w:r>
        <w:rPr>
          <w:rFonts w:hint="eastAsia" w:ascii="宋体" w:hAnsi="宋体" w:cs="宋体"/>
          <w:b/>
          <w:bCs/>
          <w:szCs w:val="21"/>
        </w:rPr>
        <w:t>服务内容清单</w:t>
      </w:r>
    </w:p>
    <w:tbl>
      <w:tblPr>
        <w:tblStyle w:val="22"/>
        <w:tblW w:w="4999" w:type="pct"/>
        <w:tblInd w:w="0" w:type="dxa"/>
        <w:tblLayout w:type="autofit"/>
        <w:tblCellMar>
          <w:top w:w="0" w:type="dxa"/>
          <w:left w:w="108" w:type="dxa"/>
          <w:bottom w:w="0" w:type="dxa"/>
          <w:right w:w="108" w:type="dxa"/>
        </w:tblCellMar>
      </w:tblPr>
      <w:tblGrid>
        <w:gridCol w:w="1264"/>
        <w:gridCol w:w="7262"/>
      </w:tblGrid>
      <w:tr w14:paraId="30A3A39E">
        <w:tblPrEx>
          <w:tblCellMar>
            <w:top w:w="0" w:type="dxa"/>
            <w:left w:w="108" w:type="dxa"/>
            <w:bottom w:w="0" w:type="dxa"/>
            <w:right w:w="108" w:type="dxa"/>
          </w:tblCellMar>
        </w:tblPrEx>
        <w:trPr>
          <w:trHeight w:val="285" w:hRule="atLeast"/>
          <w:tblHeader/>
        </w:trPr>
        <w:tc>
          <w:tcPr>
            <w:tcW w:w="741" w:type="pct"/>
            <w:tcBorders>
              <w:top w:val="single" w:color="000000" w:sz="4" w:space="0"/>
              <w:left w:val="single" w:color="000000" w:sz="4" w:space="0"/>
              <w:bottom w:val="single" w:color="000000" w:sz="4" w:space="0"/>
              <w:right w:val="single" w:color="000000" w:sz="4" w:space="0"/>
            </w:tcBorders>
            <w:vAlign w:val="center"/>
          </w:tcPr>
          <w:p w14:paraId="1DD01FE6">
            <w:pPr>
              <w:spacing w:line="360" w:lineRule="auto"/>
              <w:jc w:val="center"/>
              <w:rPr>
                <w:rFonts w:hint="eastAsia" w:ascii="宋体" w:hAnsi="宋体" w:cs="宋体"/>
                <w:szCs w:val="21"/>
              </w:rPr>
            </w:pPr>
            <w:r>
              <w:rPr>
                <w:rFonts w:hint="eastAsia" w:ascii="宋体" w:hAnsi="宋体" w:cs="宋体"/>
                <w:szCs w:val="21"/>
              </w:rPr>
              <w:t>服务名称</w:t>
            </w:r>
          </w:p>
        </w:tc>
        <w:tc>
          <w:tcPr>
            <w:tcW w:w="4258" w:type="pct"/>
            <w:tcBorders>
              <w:top w:val="single" w:color="000000" w:sz="4" w:space="0"/>
              <w:left w:val="single" w:color="000000" w:sz="4" w:space="0"/>
              <w:bottom w:val="single" w:color="000000" w:sz="4" w:space="0"/>
              <w:right w:val="single" w:color="000000" w:sz="4" w:space="0"/>
            </w:tcBorders>
            <w:vAlign w:val="center"/>
          </w:tcPr>
          <w:p w14:paraId="54648DE0">
            <w:pPr>
              <w:spacing w:line="360" w:lineRule="auto"/>
              <w:jc w:val="center"/>
              <w:rPr>
                <w:rFonts w:hint="eastAsia" w:ascii="宋体" w:hAnsi="宋体" w:cs="宋体"/>
                <w:szCs w:val="21"/>
              </w:rPr>
            </w:pPr>
            <w:r>
              <w:rPr>
                <w:rFonts w:hint="eastAsia" w:ascii="宋体" w:hAnsi="宋体" w:cs="宋体"/>
                <w:szCs w:val="21"/>
              </w:rPr>
              <w:t>服务内容</w:t>
            </w:r>
          </w:p>
        </w:tc>
      </w:tr>
      <w:tr w14:paraId="180794D6">
        <w:tblPrEx>
          <w:tblCellMar>
            <w:top w:w="0" w:type="dxa"/>
            <w:left w:w="108" w:type="dxa"/>
            <w:bottom w:w="0" w:type="dxa"/>
            <w:right w:w="108" w:type="dxa"/>
          </w:tblCellMar>
        </w:tblPrEx>
        <w:trPr>
          <w:trHeight w:val="2590" w:hRule="atLeast"/>
        </w:trPr>
        <w:tc>
          <w:tcPr>
            <w:tcW w:w="741" w:type="pct"/>
            <w:tcBorders>
              <w:top w:val="single" w:color="auto" w:sz="4" w:space="0"/>
              <w:left w:val="single" w:color="auto" w:sz="4" w:space="0"/>
              <w:right w:val="single" w:color="000000" w:sz="4" w:space="0"/>
            </w:tcBorders>
            <w:vAlign w:val="center"/>
          </w:tcPr>
          <w:p w14:paraId="10C8A4B1">
            <w:pPr>
              <w:spacing w:line="360" w:lineRule="auto"/>
              <w:jc w:val="center"/>
              <w:rPr>
                <w:rFonts w:hint="eastAsia" w:ascii="宋体" w:hAnsi="宋体" w:cs="宋体"/>
                <w:szCs w:val="21"/>
              </w:rPr>
            </w:pPr>
            <w:r>
              <w:rPr>
                <w:rFonts w:hint="eastAsia" w:ascii="宋体" w:hAnsi="宋体" w:cs="宋体"/>
                <w:szCs w:val="21"/>
              </w:rPr>
              <w:t>视频拍摄服务</w:t>
            </w:r>
          </w:p>
        </w:tc>
        <w:tc>
          <w:tcPr>
            <w:tcW w:w="4258" w:type="pct"/>
            <w:tcBorders>
              <w:top w:val="single" w:color="auto" w:sz="4" w:space="0"/>
              <w:left w:val="single" w:color="000000" w:sz="4" w:space="0"/>
              <w:bottom w:val="single" w:color="auto" w:sz="4" w:space="0"/>
              <w:right w:val="single" w:color="000000" w:sz="4" w:space="0"/>
            </w:tcBorders>
            <w:vAlign w:val="center"/>
          </w:tcPr>
          <w:p w14:paraId="7C62C7EE">
            <w:pPr>
              <w:spacing w:line="360" w:lineRule="auto"/>
              <w:jc w:val="left"/>
            </w:pPr>
            <w:r>
              <w:rPr>
                <w:rFonts w:hint="eastAsia"/>
              </w:rPr>
              <w:t>1）服务内容：宣传视频制作</w:t>
            </w:r>
          </w:p>
          <w:p w14:paraId="749CE70D">
            <w:pPr>
              <w:spacing w:line="360" w:lineRule="auto"/>
              <w:jc w:val="left"/>
            </w:pPr>
            <w:r>
              <w:rPr>
                <w:rFonts w:hint="eastAsia"/>
              </w:rPr>
              <w:t>根据本单位宣传工作需要，围绕主题日活动、重要政务活动、重点工作进行视频策划、拍摄及制作相关视频，视频类型包括但不限于宣传片、汇报片、微电影、短视频等形式，成片数量及单片时长根据实际需要确定；承担本单位日常重要政务活动、各项重点工作拍摄制作等视频拍摄保障服务；建立年度视频资料素材档案库，对2025年视频素材进行整理、汇编、归档，保证素材完整性，并建立检索。</w:t>
            </w:r>
          </w:p>
          <w:p w14:paraId="4258C5A6">
            <w:pPr>
              <w:spacing w:line="360" w:lineRule="auto"/>
              <w:jc w:val="left"/>
            </w:pPr>
            <w:r>
              <w:rPr>
                <w:rFonts w:hint="eastAsia"/>
              </w:rPr>
              <w:t>2）服务要求：</w:t>
            </w:r>
          </w:p>
          <w:p w14:paraId="62A348BF">
            <w:pPr>
              <w:spacing w:line="360" w:lineRule="auto"/>
              <w:jc w:val="left"/>
            </w:pPr>
            <w:r>
              <w:rPr>
                <w:rFonts w:hint="eastAsia"/>
              </w:rPr>
              <w:t>负责视频脚本的编制、视频的策划、拍摄、剪辑、后期制作，按项目进度要求完成项目工作。根据具体拍摄内容要求,原则上不应出现与拍摄无关的拍摄人员被摄录进拍摄视频中，机位设置应满足完整记录全部活动的要求；录像设备:摄像机要求不低于专业级数字设备，标清和高清设备不得混用，使用超高清（4K）数字设备；录音设备:使用若干个专业级话筒，保证采访出镜人员的录音质量；特殊情况时需安排专业人员携带专业设备到本单位指定地点办公。视频拍摄类型及最高限价见下表。</w:t>
            </w:r>
          </w:p>
          <w:p w14:paraId="2D2AA041">
            <w:pPr>
              <w:spacing w:line="360" w:lineRule="auto"/>
              <w:jc w:val="left"/>
            </w:pPr>
            <w:r>
              <w:rPr>
                <w:rFonts w:hint="eastAsia"/>
              </w:rPr>
              <w:t>3）质量保障要求：</w:t>
            </w:r>
          </w:p>
          <w:p w14:paraId="5752A16C">
            <w:pPr>
              <w:spacing w:line="360" w:lineRule="auto"/>
              <w:jc w:val="left"/>
            </w:pPr>
            <w:r>
              <w:rPr>
                <w:rFonts w:hint="eastAsia"/>
              </w:rPr>
              <w:t>接到拍摄任务安排后，服务方需制定详细合理且切实可行的拍摄流程和执行方案及拍摄所用设备清单，确保在拍摄过程中工作人员遵守监狱规章制度并且执行力强，确保在服务过程中拍摄内容不出现遗漏，确保拍摄素材的美观性、专业性和完整性，确保拍摄角度丰富，分镜头充足，拍摄时间可控等；在拍摄完成后需做好后期素材保管的保存方案，如按时间和内容对拍摄素材进行备份，按拍摄项目对制作项目进行备份，指派专人对后期素材进行管理等。</w:t>
            </w:r>
          </w:p>
        </w:tc>
      </w:tr>
    </w:tbl>
    <w:p w14:paraId="75E59F18">
      <w:pPr>
        <w:pStyle w:val="79"/>
        <w:adjustRightInd w:val="0"/>
        <w:snapToGrid w:val="0"/>
        <w:spacing w:line="360" w:lineRule="auto"/>
        <w:ind w:left="630" w:leftChars="300" w:firstLine="422"/>
        <w:rPr>
          <w:rFonts w:hint="eastAsia" w:ascii="宋体" w:hAnsi="宋体" w:cs="宋体"/>
          <w:b/>
          <w:bCs/>
          <w:szCs w:val="21"/>
        </w:rPr>
      </w:pP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2"/>
        <w:gridCol w:w="4266"/>
      </w:tblGrid>
      <w:tr w14:paraId="1E746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2"/>
          </w:tcPr>
          <w:p w14:paraId="05155542">
            <w:pPr>
              <w:pStyle w:val="79"/>
              <w:adjustRightInd w:val="0"/>
              <w:snapToGrid w:val="0"/>
              <w:spacing w:line="360" w:lineRule="auto"/>
              <w:ind w:firstLine="422"/>
              <w:rPr>
                <w:rFonts w:hint="eastAsia" w:ascii="宋体" w:hAnsi="宋体" w:cs="宋体"/>
                <w:b/>
                <w:bCs/>
                <w:szCs w:val="21"/>
              </w:rPr>
            </w:pPr>
            <w:r>
              <w:rPr>
                <w:rFonts w:hint="eastAsia" w:ascii="宋体" w:hAnsi="宋体" w:cs="宋体"/>
                <w:b/>
                <w:bCs/>
                <w:szCs w:val="21"/>
              </w:rPr>
              <w:t>视频拍摄服务类型及最高限价</w:t>
            </w:r>
          </w:p>
        </w:tc>
      </w:tr>
      <w:tr w14:paraId="2AEE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tcPr>
          <w:p w14:paraId="7315E4A4">
            <w:pPr>
              <w:pStyle w:val="79"/>
              <w:adjustRightInd w:val="0"/>
              <w:snapToGrid w:val="0"/>
              <w:spacing w:line="360" w:lineRule="auto"/>
              <w:ind w:firstLine="422"/>
              <w:rPr>
                <w:rFonts w:hint="eastAsia" w:ascii="宋体" w:hAnsi="宋体" w:cs="宋体"/>
                <w:b/>
                <w:bCs/>
                <w:szCs w:val="21"/>
              </w:rPr>
            </w:pPr>
            <w:r>
              <w:rPr>
                <w:rFonts w:hint="eastAsia" w:ascii="宋体" w:hAnsi="宋体" w:cs="宋体"/>
                <w:b/>
                <w:bCs/>
                <w:szCs w:val="21"/>
              </w:rPr>
              <w:t>视频类型</w:t>
            </w:r>
          </w:p>
        </w:tc>
        <w:tc>
          <w:tcPr>
            <w:tcW w:w="2500" w:type="pct"/>
          </w:tcPr>
          <w:p w14:paraId="29F158F2">
            <w:pPr>
              <w:pStyle w:val="79"/>
              <w:adjustRightInd w:val="0"/>
              <w:snapToGrid w:val="0"/>
              <w:spacing w:line="360" w:lineRule="auto"/>
              <w:ind w:firstLine="422"/>
              <w:rPr>
                <w:rFonts w:hint="eastAsia" w:ascii="宋体" w:hAnsi="宋体" w:cs="宋体"/>
                <w:b/>
                <w:bCs/>
                <w:szCs w:val="21"/>
              </w:rPr>
            </w:pPr>
            <w:r>
              <w:rPr>
                <w:rFonts w:hint="eastAsia" w:ascii="宋体" w:hAnsi="宋体" w:cs="宋体"/>
                <w:b/>
                <w:bCs/>
                <w:szCs w:val="21"/>
              </w:rPr>
              <w:t>最高限价</w:t>
            </w:r>
          </w:p>
        </w:tc>
      </w:tr>
      <w:tr w14:paraId="7F11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tcPr>
          <w:p w14:paraId="09C2AA6E">
            <w:pPr>
              <w:pStyle w:val="79"/>
              <w:adjustRightInd w:val="0"/>
              <w:snapToGrid w:val="0"/>
              <w:spacing w:line="360" w:lineRule="auto"/>
              <w:rPr>
                <w:rFonts w:hint="eastAsia" w:ascii="宋体" w:hAnsi="宋体" w:cs="宋体"/>
                <w:szCs w:val="21"/>
              </w:rPr>
            </w:pPr>
            <w:r>
              <w:rPr>
                <w:rFonts w:hint="eastAsia" w:ascii="宋体" w:hAnsi="宋体" w:cs="宋体"/>
                <w:szCs w:val="21"/>
              </w:rPr>
              <w:t>整体剪辑</w:t>
            </w:r>
          </w:p>
        </w:tc>
        <w:tc>
          <w:tcPr>
            <w:tcW w:w="2500" w:type="pct"/>
          </w:tcPr>
          <w:p w14:paraId="0C10E441">
            <w:pPr>
              <w:pStyle w:val="79"/>
              <w:adjustRightInd w:val="0"/>
              <w:snapToGrid w:val="0"/>
              <w:spacing w:line="360" w:lineRule="auto"/>
              <w:rPr>
                <w:rFonts w:hint="eastAsia" w:ascii="宋体" w:hAnsi="宋体" w:cs="宋体"/>
                <w:szCs w:val="21"/>
              </w:rPr>
            </w:pPr>
            <w:r>
              <w:rPr>
                <w:rFonts w:hint="eastAsia" w:ascii="宋体" w:hAnsi="宋体" w:cs="宋体"/>
                <w:szCs w:val="21"/>
              </w:rPr>
              <w:t>2600元/分钟</w:t>
            </w:r>
          </w:p>
        </w:tc>
      </w:tr>
      <w:tr w14:paraId="22BC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tcBorders>
              <w:bottom w:val="single" w:color="auto" w:sz="4" w:space="0"/>
            </w:tcBorders>
          </w:tcPr>
          <w:p w14:paraId="5389010E">
            <w:pPr>
              <w:pStyle w:val="79"/>
              <w:adjustRightInd w:val="0"/>
              <w:snapToGrid w:val="0"/>
              <w:spacing w:line="360" w:lineRule="auto"/>
              <w:rPr>
                <w:rFonts w:hint="eastAsia" w:ascii="宋体" w:hAnsi="宋体" w:cs="宋体"/>
                <w:szCs w:val="21"/>
              </w:rPr>
            </w:pPr>
            <w:r>
              <w:rPr>
                <w:rFonts w:hint="eastAsia" w:ascii="宋体" w:hAnsi="宋体" w:cs="宋体"/>
                <w:szCs w:val="21"/>
              </w:rPr>
              <w:t>视频拍摄（含航拍）</w:t>
            </w:r>
          </w:p>
        </w:tc>
        <w:tc>
          <w:tcPr>
            <w:tcW w:w="2500" w:type="pct"/>
            <w:tcBorders>
              <w:bottom w:val="single" w:color="auto" w:sz="4" w:space="0"/>
            </w:tcBorders>
          </w:tcPr>
          <w:p w14:paraId="49FA4F2D">
            <w:pPr>
              <w:pStyle w:val="79"/>
              <w:adjustRightInd w:val="0"/>
              <w:snapToGrid w:val="0"/>
              <w:spacing w:line="360" w:lineRule="auto"/>
              <w:rPr>
                <w:rFonts w:hint="eastAsia" w:ascii="宋体" w:hAnsi="宋体" w:cs="宋体"/>
                <w:szCs w:val="21"/>
              </w:rPr>
            </w:pPr>
            <w:r>
              <w:rPr>
                <w:rFonts w:hint="eastAsia" w:ascii="宋体" w:hAnsi="宋体" w:cs="宋体"/>
                <w:szCs w:val="21"/>
              </w:rPr>
              <w:t>1300元/机位/天</w:t>
            </w:r>
          </w:p>
        </w:tc>
      </w:tr>
      <w:tr w14:paraId="25AF8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9" w:type="pct"/>
            <w:tcBorders>
              <w:top w:val="single" w:color="auto" w:sz="4" w:space="0"/>
              <w:left w:val="single" w:color="auto" w:sz="4" w:space="0"/>
              <w:bottom w:val="single" w:color="auto" w:sz="4" w:space="0"/>
            </w:tcBorders>
          </w:tcPr>
          <w:p w14:paraId="2C72240D">
            <w:pPr>
              <w:pStyle w:val="79"/>
              <w:adjustRightInd w:val="0"/>
              <w:snapToGrid w:val="0"/>
              <w:spacing w:line="360" w:lineRule="auto"/>
              <w:rPr>
                <w:rFonts w:hint="eastAsia" w:ascii="宋体" w:hAnsi="宋体" w:cs="宋体"/>
                <w:szCs w:val="21"/>
              </w:rPr>
            </w:pPr>
            <w:r>
              <w:rPr>
                <w:rFonts w:hint="eastAsia" w:ascii="宋体" w:hAnsi="宋体" w:cs="宋体"/>
                <w:szCs w:val="21"/>
              </w:rPr>
              <w:t>技术指导（含视频拍摄及剪辑）</w:t>
            </w:r>
          </w:p>
        </w:tc>
        <w:tc>
          <w:tcPr>
            <w:tcW w:w="2500" w:type="pct"/>
            <w:tcBorders>
              <w:top w:val="single" w:color="auto" w:sz="4" w:space="0"/>
              <w:bottom w:val="single" w:color="auto" w:sz="4" w:space="0"/>
              <w:right w:val="single" w:color="auto" w:sz="4" w:space="0"/>
            </w:tcBorders>
          </w:tcPr>
          <w:p w14:paraId="31DDD134">
            <w:pPr>
              <w:pStyle w:val="79"/>
              <w:adjustRightInd w:val="0"/>
              <w:snapToGrid w:val="0"/>
              <w:spacing w:line="360" w:lineRule="auto"/>
              <w:rPr>
                <w:rFonts w:hint="eastAsia" w:ascii="宋体" w:hAnsi="宋体" w:cs="宋体"/>
                <w:szCs w:val="21"/>
              </w:rPr>
            </w:pPr>
            <w:r>
              <w:rPr>
                <w:rFonts w:hint="eastAsia" w:ascii="宋体" w:hAnsi="宋体" w:cs="宋体"/>
                <w:szCs w:val="21"/>
              </w:rPr>
              <w:t>900元/天</w:t>
            </w:r>
          </w:p>
        </w:tc>
      </w:tr>
    </w:tbl>
    <w:p w14:paraId="58E16259">
      <w:pPr>
        <w:pStyle w:val="79"/>
        <w:adjustRightInd w:val="0"/>
        <w:snapToGrid w:val="0"/>
        <w:spacing w:line="360" w:lineRule="auto"/>
        <w:ind w:firstLine="0" w:firstLineChars="0"/>
        <w:rPr>
          <w:rFonts w:hint="eastAsia" w:ascii="宋体" w:hAnsi="宋体" w:cs="宋体"/>
          <w:szCs w:val="21"/>
        </w:rPr>
      </w:pPr>
    </w:p>
    <w:p w14:paraId="5986E4D8">
      <w:pPr>
        <w:pStyle w:val="50"/>
        <w:numPr>
          <w:ilvl w:val="0"/>
          <w:numId w:val="13"/>
        </w:numPr>
        <w:spacing w:line="360" w:lineRule="auto"/>
        <w:ind w:left="0" w:hanging="448" w:firstLineChars="0"/>
        <w:outlineLvl w:val="1"/>
        <w:rPr>
          <w:rFonts w:hint="eastAsia" w:ascii="宋体" w:hAnsi="宋体" w:cs="宋体"/>
          <w:b/>
          <w:bCs/>
          <w:szCs w:val="21"/>
        </w:rPr>
      </w:pPr>
      <w:r>
        <w:rPr>
          <w:rFonts w:hint="eastAsia" w:ascii="宋体" w:hAnsi="宋体" w:cs="宋体"/>
          <w:b/>
          <w:bCs/>
          <w:szCs w:val="21"/>
        </w:rPr>
        <w:t>总体要求</w:t>
      </w:r>
    </w:p>
    <w:p w14:paraId="27061D9E">
      <w:pPr>
        <w:pStyle w:val="50"/>
        <w:spacing w:line="360" w:lineRule="auto"/>
        <w:ind w:firstLine="0" w:firstLineChars="0"/>
        <w:outlineLvl w:val="1"/>
        <w:rPr>
          <w:rFonts w:hint="eastAsia" w:ascii="宋体" w:hAnsi="宋体" w:cs="宋体"/>
          <w:b/>
          <w:bCs/>
          <w:szCs w:val="21"/>
        </w:rPr>
      </w:pPr>
      <w:r>
        <w:rPr>
          <w:rFonts w:hint="eastAsia" w:ascii="宋体" w:hAnsi="宋体" w:cs="宋体"/>
          <w:szCs w:val="21"/>
        </w:rPr>
        <w:t>（一）成交供应商应指派固定的团队为本项目提供专业服务，服务团队成员不得少于3人，团队成员应具备拍摄政务宣传视频的经验；项目负责人应具有政务宣传视频拍摄制作项目管理经验。如果为达到项目质量、技术需要，可外聘技术专家，但需保证外聘专家为后续项目成员。</w:t>
      </w:r>
    </w:p>
    <w:p w14:paraId="30AB067F">
      <w:pPr>
        <w:spacing w:line="360" w:lineRule="auto"/>
        <w:ind w:firstLine="420" w:firstLineChars="200"/>
        <w:jc w:val="left"/>
        <w:rPr>
          <w:rFonts w:hint="eastAsia" w:ascii="宋体" w:hAnsi="宋体" w:cs="宋体"/>
          <w:szCs w:val="21"/>
        </w:rPr>
      </w:pPr>
      <w:r>
        <w:rPr>
          <w:rFonts w:hint="eastAsia" w:ascii="宋体" w:hAnsi="宋体" w:cs="宋体"/>
          <w:szCs w:val="21"/>
        </w:rPr>
        <w:t>（1）要求就本项目组建高效稳定的专业团队并具有新媒体宣传视频制作相关经验2年以上。包括但不限于编剧、导演、摄影摄像、剪辑师、美工、灯光师、运营等。要求分工明确，责任到人，团队人员应有独到的策划意识，能够满足采购人的需求，具有设计、地面标准化拍摄、航空拍摄、编导策划、后期剪辑包装等专业能力。</w:t>
      </w:r>
    </w:p>
    <w:p w14:paraId="2C2516A5">
      <w:pPr>
        <w:spacing w:line="360" w:lineRule="auto"/>
        <w:ind w:firstLine="420" w:firstLineChars="200"/>
        <w:jc w:val="left"/>
        <w:rPr>
          <w:rFonts w:hint="eastAsia" w:ascii="宋体" w:hAnsi="宋体" w:cs="宋体"/>
          <w:szCs w:val="21"/>
        </w:rPr>
      </w:pPr>
      <w:r>
        <w:rPr>
          <w:rFonts w:hint="eastAsia" w:ascii="宋体" w:hAnsi="宋体" w:cs="宋体"/>
          <w:szCs w:val="21"/>
        </w:rPr>
        <w:t>（2）成交供应商须与采购人及相关部门密切协调和合作，制定计划和组织实施，对有关部门提出的修改意见要及时予以修改、调整，以保证按时高效完成工作，并接受有关部门的监督、检查。</w:t>
      </w:r>
    </w:p>
    <w:p w14:paraId="25E28FFC">
      <w:pPr>
        <w:spacing w:line="360" w:lineRule="auto"/>
        <w:ind w:firstLine="420" w:firstLineChars="200"/>
        <w:jc w:val="left"/>
        <w:rPr>
          <w:rFonts w:hint="eastAsia" w:ascii="宋体" w:hAnsi="宋体" w:cs="宋体"/>
          <w:szCs w:val="21"/>
        </w:rPr>
      </w:pPr>
      <w:r>
        <w:rPr>
          <w:rFonts w:hint="eastAsia" w:ascii="宋体" w:hAnsi="宋体" w:cs="宋体"/>
          <w:szCs w:val="21"/>
        </w:rPr>
        <w:t>（3）项目负责人（1人）要求：具有新媒体宣传视频制作3年或以上相关经验，参与制作的视频作品在县市级或以上媒体播出的。</w:t>
      </w:r>
    </w:p>
    <w:p w14:paraId="7FBA7A6E">
      <w:pPr>
        <w:spacing w:line="360" w:lineRule="auto"/>
        <w:ind w:firstLine="420" w:firstLineChars="200"/>
        <w:jc w:val="left"/>
        <w:rPr>
          <w:rFonts w:hint="eastAsia" w:ascii="宋体" w:hAnsi="宋体" w:cs="宋体"/>
          <w:szCs w:val="21"/>
        </w:rPr>
      </w:pPr>
      <w:r>
        <w:rPr>
          <w:rFonts w:hint="eastAsia" w:ascii="宋体" w:hAnsi="宋体" w:cs="宋体"/>
          <w:szCs w:val="21"/>
        </w:rPr>
        <w:t>由项目负责人签名、供应商盖章的书面承诺书（承诺本人作为该项目的技术负责人，亲自全程跟进本项目的编导、拍摄等主要技术工作，否则视为供应商违约，需承担本合同金额30%的违约金）</w:t>
      </w:r>
    </w:p>
    <w:p w14:paraId="2FF7BD88">
      <w:pPr>
        <w:pStyle w:val="79"/>
        <w:adjustRightInd w:val="0"/>
        <w:snapToGrid w:val="0"/>
        <w:spacing w:line="360" w:lineRule="auto"/>
        <w:jc w:val="left"/>
        <w:rPr>
          <w:rFonts w:hint="eastAsia" w:ascii="宋体" w:hAnsi="宋体" w:cs="宋体"/>
          <w:szCs w:val="21"/>
        </w:rPr>
      </w:pPr>
      <w:r>
        <w:rPr>
          <w:rFonts w:hint="eastAsia" w:ascii="宋体" w:hAnsi="宋体" w:cs="宋体"/>
          <w:szCs w:val="21"/>
        </w:rPr>
        <w:t>（二）成交供应商须书面承诺，如在项目实际执行过程中发生制片人或导演不能文件要求胜任相关工作的，采购人有权要求更换制片人或导演，成交供应商必须在两周内调整为符合综合评审文件要求且能胜任相关工作的制片人或导演并到位开展工作，否则采购人有权终止合同。</w:t>
      </w:r>
    </w:p>
    <w:p w14:paraId="4E2ECFB7">
      <w:pPr>
        <w:pStyle w:val="79"/>
        <w:adjustRightInd w:val="0"/>
        <w:snapToGrid w:val="0"/>
        <w:spacing w:line="360" w:lineRule="auto"/>
        <w:jc w:val="left"/>
        <w:rPr>
          <w:rFonts w:hint="eastAsia" w:ascii="宋体" w:hAnsi="宋体" w:cs="宋体"/>
          <w:szCs w:val="21"/>
        </w:rPr>
      </w:pPr>
      <w:r>
        <w:rPr>
          <w:rFonts w:hint="eastAsia" w:ascii="宋体" w:hAnsi="宋体" w:cs="宋体"/>
          <w:szCs w:val="21"/>
        </w:rPr>
        <w:t>（三）成交供应商承诺制片人或导演和实施拍摄的主要人员未经采购人同意不得调整；成交供应商如中途更换制片人或导演和主要拍摄团队人员，应说明理由并征得采购人同意，调入人员的资历和从业经验不低于调出人员，否则视为违约行为，采购人有权终止合同。</w:t>
      </w:r>
    </w:p>
    <w:p w14:paraId="74E379FE">
      <w:pPr>
        <w:pStyle w:val="79"/>
        <w:adjustRightInd w:val="0"/>
        <w:snapToGrid w:val="0"/>
        <w:spacing w:line="360" w:lineRule="auto"/>
        <w:jc w:val="left"/>
        <w:rPr>
          <w:rFonts w:hint="eastAsia" w:ascii="宋体" w:hAnsi="宋体" w:cs="宋体"/>
          <w:szCs w:val="21"/>
        </w:rPr>
      </w:pPr>
      <w:r>
        <w:rPr>
          <w:rFonts w:hint="eastAsia" w:ascii="宋体" w:hAnsi="宋体" w:cs="宋体"/>
          <w:szCs w:val="21"/>
        </w:rPr>
        <w:t>（四）成交供应商接到采购人的拍摄视频任务后，24小时内必须响应，3天内完成项目现场调研、踏勘、拍摄大纲、拍摄脚本编制、审核、定稿，落实各项准备工作，7天内完成宣传视频的拍摄、剪辑、后期制作及审核；完成宣传片的策划、文案编制及取景拍摄等。</w:t>
      </w:r>
    </w:p>
    <w:p w14:paraId="55CBEF4C">
      <w:pPr>
        <w:pStyle w:val="79"/>
        <w:adjustRightInd w:val="0"/>
        <w:snapToGrid w:val="0"/>
        <w:spacing w:line="360" w:lineRule="auto"/>
        <w:jc w:val="left"/>
        <w:rPr>
          <w:rFonts w:hint="eastAsia" w:ascii="宋体" w:hAnsi="宋体" w:cs="宋体"/>
          <w:szCs w:val="21"/>
        </w:rPr>
      </w:pPr>
      <w:r>
        <w:rPr>
          <w:rFonts w:hint="eastAsia" w:ascii="宋体" w:hAnsi="宋体" w:cs="宋体"/>
          <w:szCs w:val="21"/>
        </w:rPr>
        <w:t>（五）为使项目按质、按量、按时及有序实施，成交供应商应建立完善、稳定的项目团队、内部组织管理方式及协调机制、技术支持团队，支撑保障要求及其他相关要求。在机制保障方面，成立实施小组和项目专家组的双轨制的组织模式。在项目日常管理和条件保障等各方面创造良好的服务环境，确保项目的顺利实施。</w:t>
      </w:r>
    </w:p>
    <w:p w14:paraId="0BA8115A">
      <w:pPr>
        <w:pStyle w:val="79"/>
        <w:adjustRightInd w:val="0"/>
        <w:snapToGrid w:val="0"/>
        <w:spacing w:line="360" w:lineRule="auto"/>
        <w:jc w:val="left"/>
        <w:rPr>
          <w:rFonts w:hint="eastAsia" w:ascii="宋体" w:hAnsi="宋体" w:cs="宋体"/>
          <w:szCs w:val="21"/>
        </w:rPr>
      </w:pPr>
      <w:r>
        <w:rPr>
          <w:rFonts w:hint="eastAsia" w:ascii="宋体" w:hAnsi="宋体" w:cs="宋体"/>
          <w:szCs w:val="21"/>
        </w:rPr>
        <w:t>（六）成交供应商应按照采购人要求，开展宣传视频拍摄大纲及脚本的编制，视频拍摄、制作完成后，成交供应商还应就视频的技术内容、呈现、包装、音效等全方位征求采购人意见，并提交采购人审核，如审核提出视频内容不完整、错误、取景不合适等情况，应按照采购人的要求，立即组织补拍或重拍。</w:t>
      </w:r>
    </w:p>
    <w:p w14:paraId="49AE5BE6">
      <w:pPr>
        <w:pStyle w:val="50"/>
        <w:numPr>
          <w:ilvl w:val="0"/>
          <w:numId w:val="13"/>
        </w:numPr>
        <w:spacing w:line="360" w:lineRule="auto"/>
        <w:ind w:left="0" w:hanging="448" w:firstLineChars="0"/>
        <w:outlineLvl w:val="1"/>
        <w:rPr>
          <w:rFonts w:hint="eastAsia" w:ascii="宋体" w:hAnsi="宋体" w:cs="宋体"/>
          <w:b/>
          <w:bCs/>
          <w:szCs w:val="21"/>
        </w:rPr>
      </w:pPr>
      <w:r>
        <w:rPr>
          <w:rFonts w:hint="eastAsia" w:ascii="宋体" w:hAnsi="宋体" w:cs="宋体"/>
          <w:b/>
          <w:bCs/>
          <w:szCs w:val="21"/>
        </w:rPr>
        <w:t>视频技术要求</w:t>
      </w:r>
    </w:p>
    <w:p w14:paraId="410854DB">
      <w:pPr>
        <w:pStyle w:val="79"/>
        <w:adjustRightInd w:val="0"/>
        <w:snapToGrid w:val="0"/>
        <w:spacing w:line="360" w:lineRule="auto"/>
        <w:jc w:val="left"/>
        <w:rPr>
          <w:rFonts w:hint="eastAsia" w:ascii="宋体" w:hAnsi="宋体" w:cs="宋体"/>
          <w:szCs w:val="21"/>
        </w:rPr>
      </w:pPr>
      <w:r>
        <w:rPr>
          <w:rFonts w:hint="eastAsia" w:ascii="宋体" w:hAnsi="宋体" w:cs="宋体"/>
          <w:szCs w:val="21"/>
        </w:rPr>
        <w:t>（一）画面质量要求</w:t>
      </w:r>
    </w:p>
    <w:p w14:paraId="77AC2847">
      <w:pPr>
        <w:pStyle w:val="79"/>
        <w:adjustRightInd w:val="0"/>
        <w:snapToGrid w:val="0"/>
        <w:spacing w:line="360" w:lineRule="auto"/>
        <w:jc w:val="left"/>
        <w:rPr>
          <w:rFonts w:hint="eastAsia" w:ascii="宋体" w:hAnsi="宋体" w:cs="宋体"/>
          <w:szCs w:val="21"/>
        </w:rPr>
      </w:pPr>
      <w:r>
        <w:rPr>
          <w:rFonts w:hint="eastAsia" w:ascii="宋体" w:hAnsi="宋体" w:cs="宋体"/>
          <w:szCs w:val="21"/>
        </w:rPr>
        <w:t>（1）全片图像同步性能稳定，无失步现象，图像无抖跳跃，色彩无突变，编辑点处图像稳定，声画同步。色调:白平衡正确，无明显偏色，色彩对比度一致，多机拍摄镜头衔接处无明显色差。拍摄时需配备高保真无线麦克风及支持Log格式的摄像器材，至少2机位同步摄录，并使用Log格式记录原始视频素材。视频分辨率不低于4k*60Hz、10bit色彩深度，音频采样率不低于96kHz。</w:t>
      </w:r>
    </w:p>
    <w:p w14:paraId="22921A04">
      <w:pPr>
        <w:pStyle w:val="79"/>
        <w:adjustRightInd w:val="0"/>
        <w:snapToGrid w:val="0"/>
        <w:spacing w:line="360" w:lineRule="auto"/>
        <w:jc w:val="left"/>
        <w:rPr>
          <w:rFonts w:hint="eastAsia" w:ascii="宋体" w:hAnsi="宋体" w:cs="宋体"/>
          <w:szCs w:val="21"/>
        </w:rPr>
      </w:pPr>
      <w:r>
        <w:rPr>
          <w:rFonts w:hint="eastAsia" w:ascii="宋体" w:hAnsi="宋体" w:cs="宋体"/>
          <w:szCs w:val="21"/>
        </w:rPr>
        <w:t>（2）提交的宣传视频文件格式为mp4，视频分辨率为4k*60Hz、10bit色彩深度、h.264编码、码流30~60Mbps，音频48Hz、aac编码、码流320Kbps。并提交4k、1080p、720p、360p四种适合移动设备和网络传输规格的版本。</w:t>
      </w:r>
    </w:p>
    <w:p w14:paraId="59FCC66C">
      <w:pPr>
        <w:pStyle w:val="79"/>
        <w:adjustRightInd w:val="0"/>
        <w:snapToGrid w:val="0"/>
        <w:spacing w:line="360" w:lineRule="auto"/>
        <w:jc w:val="left"/>
        <w:rPr>
          <w:rFonts w:hint="eastAsia" w:ascii="宋体" w:hAnsi="宋体" w:cs="宋体"/>
          <w:szCs w:val="21"/>
        </w:rPr>
      </w:pPr>
      <w:r>
        <w:rPr>
          <w:rFonts w:hint="eastAsia" w:ascii="宋体" w:hAnsi="宋体" w:cs="宋体"/>
          <w:szCs w:val="21"/>
        </w:rPr>
        <w:t>（3）视频效果：视频画面干净、剪辑流畅、过度自然；专业术语及内容表述准确、语言通俗易懂；视频内容完整、操作细节拍摄清晰、到位；视频节奏明快、有故事性、整体调性较轻松但又不失严谨，并能通过视频体现出监狱人民警察良好的精神风貌、技术水平。</w:t>
      </w:r>
    </w:p>
    <w:p w14:paraId="5154F533">
      <w:pPr>
        <w:pStyle w:val="79"/>
        <w:adjustRightInd w:val="0"/>
        <w:snapToGrid w:val="0"/>
        <w:spacing w:line="360" w:lineRule="auto"/>
        <w:jc w:val="left"/>
        <w:rPr>
          <w:rFonts w:hint="eastAsia" w:ascii="宋体" w:hAnsi="宋体" w:cs="宋体"/>
          <w:szCs w:val="21"/>
        </w:rPr>
      </w:pPr>
      <w:r>
        <w:rPr>
          <w:rFonts w:hint="eastAsia" w:ascii="宋体" w:hAnsi="宋体" w:cs="宋体"/>
          <w:szCs w:val="21"/>
        </w:rPr>
        <w:t>（二）音频及字幕要求：视频音频输出清晰，配音需真人配音，情感表达符合视频画面和主题，咬字清晰，语调优美；视频需显示字幕，字幕内容主要为演员台词，字幕清晰、准确。</w:t>
      </w:r>
    </w:p>
    <w:p w14:paraId="434F88CF">
      <w:pPr>
        <w:pStyle w:val="79"/>
        <w:adjustRightInd w:val="0"/>
        <w:snapToGrid w:val="0"/>
        <w:spacing w:line="360" w:lineRule="auto"/>
        <w:jc w:val="left"/>
        <w:rPr>
          <w:rFonts w:hint="eastAsia" w:ascii="宋体" w:hAnsi="宋体" w:cs="宋体"/>
          <w:szCs w:val="21"/>
        </w:rPr>
      </w:pPr>
      <w:r>
        <w:rPr>
          <w:rFonts w:hint="eastAsia" w:ascii="宋体" w:hAnsi="宋体" w:cs="宋体"/>
          <w:szCs w:val="21"/>
        </w:rPr>
        <w:t>（三）视频样片脚本质量要求：根据监狱工作实际编制视频样片脚本。要求内容专业、完整、表述正确，能清晰体现演员台词和场景、镜头切换，演员台词分配合理、表述准确，可直接拿来用于拍摄。</w:t>
      </w:r>
    </w:p>
    <w:p w14:paraId="5D403A86">
      <w:pPr>
        <w:pStyle w:val="79"/>
        <w:adjustRightInd w:val="0"/>
        <w:snapToGrid w:val="0"/>
        <w:spacing w:line="360" w:lineRule="auto"/>
        <w:jc w:val="left"/>
        <w:rPr>
          <w:rFonts w:hint="eastAsia" w:ascii="宋体" w:hAnsi="宋体" w:cs="宋体"/>
          <w:szCs w:val="21"/>
        </w:rPr>
      </w:pPr>
      <w:r>
        <w:rPr>
          <w:rFonts w:hint="eastAsia" w:ascii="宋体" w:hAnsi="宋体" w:cs="宋体"/>
          <w:szCs w:val="21"/>
        </w:rPr>
        <w:t>（四）设备要求</w:t>
      </w:r>
    </w:p>
    <w:p w14:paraId="041211E8">
      <w:pPr>
        <w:pStyle w:val="79"/>
        <w:adjustRightInd w:val="0"/>
        <w:snapToGrid w:val="0"/>
        <w:spacing w:line="360" w:lineRule="auto"/>
        <w:jc w:val="left"/>
        <w:rPr>
          <w:rFonts w:hint="eastAsia" w:ascii="宋体" w:hAnsi="宋体" w:cs="宋体"/>
          <w:szCs w:val="21"/>
        </w:rPr>
      </w:pPr>
      <w:r>
        <w:rPr>
          <w:rFonts w:hint="eastAsia" w:ascii="宋体" w:hAnsi="宋体" w:cs="宋体"/>
          <w:szCs w:val="21"/>
        </w:rPr>
        <w:t>供应商应具有：4K摄影机、4K 电影摄影机、全焦电影镜头组、航拍设备、灯光设备、录音设备、</w:t>
      </w:r>
      <w:r>
        <w:rPr>
          <w:rFonts w:hint="eastAsia"/>
        </w:rPr>
        <w:t>云台、</w:t>
      </w:r>
      <w:r>
        <w:rPr>
          <w:rFonts w:hint="eastAsia" w:ascii="宋体" w:hAnsi="宋体" w:cs="宋体"/>
          <w:szCs w:val="21"/>
        </w:rPr>
        <w:t>脚架、轨道、摇臂、稳定器、</w:t>
      </w:r>
      <w:r>
        <w:t>4K视频后期处理电脑设备</w:t>
      </w:r>
      <w:r>
        <w:rPr>
          <w:rFonts w:hint="eastAsia"/>
        </w:rPr>
        <w:t>、</w:t>
      </w:r>
      <w:r>
        <w:t>大容量数据存储服务器、硬盘、阵列（可满足数据总存储量不少于</w:t>
      </w:r>
      <w:r>
        <w:rPr>
          <w:rFonts w:hint="eastAsia"/>
        </w:rPr>
        <w:t>4</w:t>
      </w:r>
      <w:r>
        <w:t>0T）</w:t>
      </w:r>
      <w:r>
        <w:rPr>
          <w:rFonts w:hint="eastAsia" w:ascii="宋体" w:hAnsi="宋体" w:cs="宋体"/>
          <w:szCs w:val="21"/>
        </w:rPr>
        <w:t>等专业辅助设备。</w:t>
      </w:r>
    </w:p>
    <w:p w14:paraId="4445A1FC">
      <w:pPr>
        <w:pStyle w:val="79"/>
        <w:adjustRightInd w:val="0"/>
        <w:snapToGrid w:val="0"/>
        <w:spacing w:line="360" w:lineRule="auto"/>
        <w:jc w:val="left"/>
        <w:rPr>
          <w:rFonts w:hint="eastAsia" w:ascii="宋体" w:hAnsi="宋体" w:cs="宋体"/>
          <w:szCs w:val="21"/>
        </w:rPr>
      </w:pPr>
      <w:r>
        <w:rPr>
          <w:rFonts w:hint="eastAsia" w:ascii="宋体" w:hAnsi="宋体" w:cs="宋体"/>
          <w:szCs w:val="21"/>
        </w:rPr>
        <w:t>（五）后期服务要求</w:t>
      </w:r>
    </w:p>
    <w:p w14:paraId="3E641CEF">
      <w:pPr>
        <w:pStyle w:val="79"/>
        <w:adjustRightInd w:val="0"/>
        <w:snapToGrid w:val="0"/>
        <w:spacing w:line="360" w:lineRule="auto"/>
        <w:jc w:val="left"/>
        <w:rPr>
          <w:rFonts w:hint="eastAsia" w:ascii="宋体" w:hAnsi="宋体" w:cs="宋体"/>
          <w:szCs w:val="21"/>
        </w:rPr>
      </w:pPr>
      <w:r>
        <w:rPr>
          <w:rFonts w:hint="eastAsia" w:ascii="宋体" w:hAnsi="宋体" w:cs="宋体"/>
          <w:szCs w:val="21"/>
        </w:rPr>
        <w:t>（1）成交供应商需提供交付后再修改服务。</w:t>
      </w:r>
    </w:p>
    <w:p w14:paraId="21B6D53E">
      <w:pPr>
        <w:pStyle w:val="79"/>
        <w:adjustRightInd w:val="0"/>
        <w:snapToGrid w:val="0"/>
        <w:spacing w:line="360" w:lineRule="auto"/>
        <w:jc w:val="left"/>
        <w:rPr>
          <w:rFonts w:hint="eastAsia" w:ascii="宋体" w:hAnsi="宋体" w:cs="宋体"/>
          <w:szCs w:val="21"/>
        </w:rPr>
      </w:pPr>
      <w:r>
        <w:rPr>
          <w:rFonts w:hint="eastAsia" w:ascii="宋体" w:hAnsi="宋体" w:cs="宋体"/>
          <w:szCs w:val="21"/>
        </w:rPr>
        <w:t>（2）后期制作设备：使用相应的非线性编辑系统。</w:t>
      </w:r>
    </w:p>
    <w:p w14:paraId="7E1F6BE2">
      <w:pPr>
        <w:pStyle w:val="79"/>
        <w:adjustRightInd w:val="0"/>
        <w:snapToGrid w:val="0"/>
        <w:spacing w:line="360" w:lineRule="auto"/>
        <w:jc w:val="left"/>
        <w:rPr>
          <w:rFonts w:hint="eastAsia" w:ascii="宋体" w:hAnsi="宋体" w:cs="宋体"/>
          <w:szCs w:val="21"/>
        </w:rPr>
      </w:pPr>
      <w:r>
        <w:rPr>
          <w:rFonts w:hint="eastAsia" w:ascii="宋体" w:hAnsi="宋体" w:cs="宋体"/>
          <w:szCs w:val="21"/>
        </w:rPr>
        <w:t>（六）制作技术要求</w:t>
      </w:r>
    </w:p>
    <w:p w14:paraId="167ABE6E">
      <w:pPr>
        <w:pStyle w:val="79"/>
        <w:adjustRightInd w:val="0"/>
        <w:snapToGrid w:val="0"/>
        <w:spacing w:line="360" w:lineRule="auto"/>
        <w:jc w:val="left"/>
        <w:rPr>
          <w:rFonts w:hint="eastAsia" w:ascii="宋体" w:hAnsi="宋体" w:cs="宋体"/>
          <w:szCs w:val="21"/>
        </w:rPr>
      </w:pPr>
      <w:r>
        <w:rPr>
          <w:rFonts w:hint="eastAsia" w:ascii="宋体" w:hAnsi="宋体" w:cs="宋体"/>
          <w:szCs w:val="21"/>
        </w:rPr>
        <w:t>(1)审美风格：整体上力求大气、所用音乐和特效要求与内容主题吻合，视频制作应结构新颖、呈现手法独特。运用实拍+后期特效的方式，整部影片要求有高超的审美趣味，又有时尚科技感呈现。</w:t>
      </w:r>
    </w:p>
    <w:p w14:paraId="7DE84937">
      <w:pPr>
        <w:pStyle w:val="79"/>
        <w:adjustRightInd w:val="0"/>
        <w:snapToGrid w:val="0"/>
        <w:spacing w:line="360" w:lineRule="auto"/>
        <w:jc w:val="left"/>
        <w:rPr>
          <w:rFonts w:hint="eastAsia" w:ascii="宋体" w:hAnsi="宋体" w:cs="宋体"/>
          <w:szCs w:val="21"/>
        </w:rPr>
      </w:pPr>
      <w:r>
        <w:rPr>
          <w:rFonts w:hint="eastAsia" w:ascii="宋体" w:hAnsi="宋体" w:cs="宋体"/>
          <w:szCs w:val="21"/>
        </w:rPr>
        <w:t>(2)后期制作：中文字幕；广播级解说；配音配乐；AE特效包装。</w:t>
      </w:r>
    </w:p>
    <w:p w14:paraId="534DB937">
      <w:pPr>
        <w:pStyle w:val="79"/>
        <w:adjustRightInd w:val="0"/>
        <w:snapToGrid w:val="0"/>
        <w:spacing w:line="360" w:lineRule="auto"/>
        <w:jc w:val="left"/>
        <w:rPr>
          <w:rFonts w:hint="eastAsia" w:ascii="宋体" w:hAnsi="宋体" w:cs="宋体"/>
          <w:szCs w:val="21"/>
        </w:rPr>
      </w:pPr>
      <w:r>
        <w:rPr>
          <w:rFonts w:hint="eastAsia" w:ascii="宋体" w:hAnsi="宋体" w:cs="宋体"/>
          <w:szCs w:val="21"/>
        </w:rPr>
        <w:t>(3)画面要求：4k,30帧。</w:t>
      </w:r>
    </w:p>
    <w:p w14:paraId="67C76518">
      <w:pPr>
        <w:pStyle w:val="79"/>
        <w:adjustRightInd w:val="0"/>
        <w:snapToGrid w:val="0"/>
        <w:spacing w:line="360" w:lineRule="auto"/>
        <w:jc w:val="left"/>
        <w:rPr>
          <w:rFonts w:hint="eastAsia" w:ascii="宋体" w:hAnsi="宋体" w:cs="宋体"/>
          <w:szCs w:val="21"/>
        </w:rPr>
      </w:pPr>
      <w:r>
        <w:rPr>
          <w:rFonts w:hint="eastAsia" w:ascii="宋体" w:hAnsi="宋体" w:cs="宋体"/>
          <w:szCs w:val="21"/>
        </w:rPr>
        <w:t>(4)项目专业服务团队要求：团队主要人员（编导、摄像师、制作人员等）应当具备拍摄同类宣传项目视频的经验，能够胜任本合同规定的服务工作。</w:t>
      </w:r>
    </w:p>
    <w:p w14:paraId="677E3C0F">
      <w:pPr>
        <w:pStyle w:val="50"/>
        <w:numPr>
          <w:ilvl w:val="0"/>
          <w:numId w:val="13"/>
        </w:numPr>
        <w:spacing w:line="360" w:lineRule="auto"/>
        <w:ind w:left="0" w:hanging="448" w:firstLineChars="0"/>
        <w:outlineLvl w:val="1"/>
        <w:rPr>
          <w:rFonts w:hint="eastAsia" w:ascii="宋体" w:hAnsi="宋体" w:cs="宋体"/>
          <w:b/>
          <w:bCs/>
          <w:szCs w:val="21"/>
        </w:rPr>
      </w:pPr>
      <w:r>
        <w:rPr>
          <w:rFonts w:hint="eastAsia" w:ascii="宋体" w:hAnsi="宋体" w:cs="宋体"/>
          <w:b/>
          <w:bCs/>
          <w:szCs w:val="21"/>
        </w:rPr>
        <w:t>文档及成果提交要求</w:t>
      </w:r>
    </w:p>
    <w:p w14:paraId="70D2EC54">
      <w:pPr>
        <w:pStyle w:val="79"/>
        <w:adjustRightInd w:val="0"/>
        <w:snapToGrid w:val="0"/>
        <w:spacing w:line="360" w:lineRule="auto"/>
        <w:jc w:val="left"/>
        <w:rPr>
          <w:rFonts w:hint="eastAsia" w:ascii="宋体" w:hAnsi="宋体" w:cs="宋体"/>
          <w:szCs w:val="21"/>
        </w:rPr>
      </w:pPr>
      <w:r>
        <w:rPr>
          <w:rFonts w:hint="eastAsia" w:ascii="宋体" w:hAnsi="宋体" w:cs="宋体"/>
          <w:szCs w:val="21"/>
        </w:rPr>
        <w:t xml:space="preserve">（一）成交供应商应在每个拍摄项目完成时，将所有与视频拍摄项目相关的技术资料，主要包括：技术文本、拍摄大纲、脚本等汇集成册交付给采购人，所有文件要求用中文书写。 </w:t>
      </w:r>
    </w:p>
    <w:p w14:paraId="66C14D65">
      <w:pPr>
        <w:pStyle w:val="79"/>
        <w:adjustRightInd w:val="0"/>
        <w:snapToGrid w:val="0"/>
        <w:spacing w:line="360" w:lineRule="auto"/>
        <w:jc w:val="left"/>
        <w:rPr>
          <w:rFonts w:hint="eastAsia" w:ascii="宋体" w:hAnsi="宋体" w:cs="宋体"/>
          <w:szCs w:val="21"/>
        </w:rPr>
      </w:pPr>
      <w:r>
        <w:rPr>
          <w:rFonts w:hint="eastAsia" w:ascii="宋体" w:hAnsi="宋体" w:cs="宋体"/>
          <w:szCs w:val="21"/>
        </w:rPr>
        <w:t>（二）成交供应商应在每个拍摄项目完成时，提交项目涉及的原始音视频素材，视频后期处理过程文件及最终成品视频文件。其中素材和过程文件以硬盘存储，后期过程文件应包括从素材到成品的音视频处理、剪辑工程文件，以备采购人今后修改使用；成品视频以移动硬盘存储，所有视频的格式均需存储4个版本。</w:t>
      </w:r>
    </w:p>
    <w:p w14:paraId="20C317B3">
      <w:pPr>
        <w:pStyle w:val="50"/>
        <w:numPr>
          <w:ilvl w:val="0"/>
          <w:numId w:val="13"/>
        </w:numPr>
        <w:spacing w:line="360" w:lineRule="auto"/>
        <w:ind w:left="0" w:hanging="448" w:firstLineChars="0"/>
        <w:outlineLvl w:val="1"/>
        <w:rPr>
          <w:rFonts w:hint="eastAsia" w:ascii="宋体" w:hAnsi="宋体" w:cs="宋体"/>
          <w:b/>
          <w:bCs/>
          <w:szCs w:val="21"/>
        </w:rPr>
      </w:pPr>
      <w:r>
        <w:rPr>
          <w:rFonts w:hint="eastAsia" w:ascii="宋体" w:hAnsi="宋体" w:cs="宋体"/>
          <w:b/>
          <w:bCs/>
          <w:szCs w:val="21"/>
        </w:rPr>
        <w:t>其他要求</w:t>
      </w:r>
    </w:p>
    <w:p w14:paraId="7770F91A">
      <w:pPr>
        <w:pStyle w:val="79"/>
        <w:adjustRightInd w:val="0"/>
        <w:snapToGrid w:val="0"/>
        <w:spacing w:line="360" w:lineRule="auto"/>
        <w:jc w:val="left"/>
        <w:rPr>
          <w:rFonts w:hint="eastAsia" w:ascii="宋体" w:hAnsi="宋体" w:cs="宋体"/>
          <w:szCs w:val="21"/>
        </w:rPr>
      </w:pPr>
      <w:r>
        <w:rPr>
          <w:rFonts w:hint="eastAsia" w:ascii="宋体" w:hAnsi="宋体" w:cs="宋体"/>
          <w:szCs w:val="21"/>
        </w:rPr>
        <w:t>（一）费用要求</w:t>
      </w:r>
    </w:p>
    <w:p w14:paraId="44115ACC">
      <w:pPr>
        <w:pStyle w:val="79"/>
        <w:adjustRightInd w:val="0"/>
        <w:snapToGrid w:val="0"/>
        <w:spacing w:line="360" w:lineRule="auto"/>
        <w:jc w:val="left"/>
        <w:rPr>
          <w:rFonts w:hint="eastAsia" w:ascii="宋体" w:hAnsi="宋体" w:cs="宋体"/>
          <w:szCs w:val="21"/>
        </w:rPr>
      </w:pPr>
      <w:r>
        <w:rPr>
          <w:rFonts w:hint="eastAsia" w:ascii="宋体" w:hAnsi="宋体" w:cs="宋体"/>
          <w:szCs w:val="21"/>
        </w:rPr>
        <w:t>项目实施过程中的所有费用（含人员工资、食宿费、交通费、专家劳务费、道具费、场地费、拍摄及后期费等相关费用）计入总价。</w:t>
      </w:r>
    </w:p>
    <w:p w14:paraId="68D523CA">
      <w:pPr>
        <w:pStyle w:val="79"/>
        <w:adjustRightInd w:val="0"/>
        <w:snapToGrid w:val="0"/>
        <w:spacing w:line="360" w:lineRule="auto"/>
        <w:jc w:val="left"/>
        <w:rPr>
          <w:rFonts w:hint="eastAsia" w:ascii="宋体" w:hAnsi="宋体" w:cs="宋体"/>
          <w:szCs w:val="21"/>
        </w:rPr>
      </w:pPr>
      <w:r>
        <w:rPr>
          <w:rFonts w:hint="eastAsia" w:ascii="宋体" w:hAnsi="宋体" w:cs="宋体"/>
          <w:szCs w:val="21"/>
        </w:rPr>
        <w:t>（二）服务响应要求</w:t>
      </w:r>
    </w:p>
    <w:p w14:paraId="53CAFADC">
      <w:pPr>
        <w:pStyle w:val="79"/>
        <w:adjustRightInd w:val="0"/>
        <w:snapToGrid w:val="0"/>
        <w:spacing w:line="360" w:lineRule="auto"/>
        <w:jc w:val="left"/>
        <w:rPr>
          <w:rFonts w:hint="eastAsia" w:ascii="宋体" w:hAnsi="宋体" w:cs="宋体"/>
          <w:szCs w:val="21"/>
        </w:rPr>
      </w:pPr>
      <w:r>
        <w:rPr>
          <w:rFonts w:hint="eastAsia" w:ascii="宋体" w:hAnsi="宋体" w:cs="宋体"/>
          <w:szCs w:val="21"/>
        </w:rPr>
        <w:t>成交供应商需确保项目服务期间对工作组、专家组、演员团队及视频项目各相关方的及时响应，不得无故取消或更改原计划的拍摄安排，拍摄前一周须与演员及拍摄场所充分沟通拍摄计划安排，在不影响其正常工作的情况开展拍摄。</w:t>
      </w:r>
    </w:p>
    <w:p w14:paraId="2D06BB24">
      <w:pPr>
        <w:pStyle w:val="79"/>
        <w:adjustRightInd w:val="0"/>
        <w:snapToGrid w:val="0"/>
        <w:spacing w:line="360" w:lineRule="auto"/>
        <w:jc w:val="left"/>
        <w:rPr>
          <w:rFonts w:hint="eastAsia" w:ascii="宋体" w:hAnsi="宋体" w:cs="宋体"/>
          <w:szCs w:val="21"/>
        </w:rPr>
      </w:pPr>
      <w:r>
        <w:rPr>
          <w:rFonts w:hint="eastAsia" w:ascii="宋体" w:hAnsi="宋体" w:cs="宋体"/>
          <w:szCs w:val="21"/>
        </w:rPr>
        <w:t>（三）售后服务要求</w:t>
      </w:r>
    </w:p>
    <w:p w14:paraId="76461929">
      <w:pPr>
        <w:pStyle w:val="79"/>
        <w:adjustRightInd w:val="0"/>
        <w:snapToGrid w:val="0"/>
        <w:spacing w:line="360" w:lineRule="auto"/>
        <w:jc w:val="left"/>
        <w:rPr>
          <w:rFonts w:hint="eastAsia" w:ascii="宋体" w:hAnsi="宋体" w:cs="宋体"/>
          <w:szCs w:val="21"/>
        </w:rPr>
      </w:pPr>
      <w:r>
        <w:rPr>
          <w:rFonts w:hint="eastAsia" w:ascii="宋体" w:hAnsi="宋体" w:cs="宋体"/>
          <w:szCs w:val="21"/>
        </w:rPr>
        <w:t>项目验收完成后，成交供应商需提供1年的售后服务，服务内容包括对视频内容、音频、字幕、包装等的修改、调整；对视频及原始素材的补充、解释；对项目推广后续工作的技术支持等。售后服务开始时间以项目验收通过时间开始计算。</w:t>
      </w:r>
    </w:p>
    <w:p w14:paraId="7A4025DD">
      <w:pPr>
        <w:pStyle w:val="79"/>
        <w:adjustRightInd w:val="0"/>
        <w:snapToGrid w:val="0"/>
        <w:spacing w:line="360" w:lineRule="auto"/>
        <w:jc w:val="left"/>
        <w:rPr>
          <w:rFonts w:hint="eastAsia" w:ascii="宋体" w:hAnsi="宋体" w:cs="宋体"/>
          <w:szCs w:val="21"/>
        </w:rPr>
      </w:pPr>
      <w:r>
        <w:rPr>
          <w:rFonts w:hint="eastAsia" w:ascii="宋体" w:hAnsi="宋体" w:cs="宋体"/>
          <w:szCs w:val="21"/>
        </w:rPr>
        <w:t>（四）安全及保密要求</w:t>
      </w:r>
    </w:p>
    <w:p w14:paraId="09F985C0">
      <w:pPr>
        <w:pStyle w:val="79"/>
        <w:adjustRightInd w:val="0"/>
        <w:snapToGrid w:val="0"/>
        <w:spacing w:line="360" w:lineRule="auto"/>
        <w:jc w:val="left"/>
        <w:rPr>
          <w:rFonts w:hint="eastAsia" w:ascii="宋体" w:hAnsi="宋体" w:cs="宋体"/>
          <w:szCs w:val="21"/>
        </w:rPr>
      </w:pPr>
      <w:r>
        <w:rPr>
          <w:rFonts w:hint="eastAsia" w:ascii="宋体" w:hAnsi="宋体" w:cs="宋体"/>
          <w:szCs w:val="21"/>
        </w:rPr>
        <w:t>1.成交供应商需进入采购人或采购人指定的区域开展拍摄的，应严格遵守采购人的管理要求，未经允许不得随意触碰场所的装备设备；不得拍摄宣传视频外的其他场所、物品和人物；不得在拍摄地点内吸烟、饮食、大声喧哗；不得携带无关人员进入拍摄地点；不得在采购人指定的区域外随意走动。如有违反，经劝阻不改正的，采购人有权暂停或终止拍摄，由此造成的后果由成交供应商承担。</w:t>
      </w:r>
    </w:p>
    <w:p w14:paraId="448CD0F8">
      <w:pPr>
        <w:pStyle w:val="79"/>
        <w:adjustRightInd w:val="0"/>
        <w:snapToGrid w:val="0"/>
        <w:spacing w:line="360" w:lineRule="auto"/>
        <w:jc w:val="left"/>
        <w:rPr>
          <w:rFonts w:hint="eastAsia" w:ascii="宋体" w:hAnsi="宋体" w:cs="宋体"/>
          <w:szCs w:val="21"/>
        </w:rPr>
      </w:pPr>
      <w:r>
        <w:rPr>
          <w:rFonts w:hint="eastAsia" w:ascii="宋体" w:hAnsi="宋体" w:cs="宋体"/>
          <w:szCs w:val="21"/>
        </w:rPr>
        <w:t>2.签订合同时成交供应商应与采购人及相关方签订保密协议，对其因身份、职务、职业或技术关系而知悉的采购人及相关方保密信息应严格保守，保证不被披露或使用，包括意外或过失。</w:t>
      </w:r>
    </w:p>
    <w:p w14:paraId="6939991A">
      <w:pPr>
        <w:pStyle w:val="79"/>
        <w:adjustRightInd w:val="0"/>
        <w:snapToGrid w:val="0"/>
        <w:spacing w:line="360" w:lineRule="auto"/>
        <w:jc w:val="left"/>
        <w:rPr>
          <w:rFonts w:hint="eastAsia" w:ascii="宋体" w:hAnsi="宋体" w:cs="宋体"/>
          <w:szCs w:val="21"/>
        </w:rPr>
      </w:pPr>
      <w:r>
        <w:rPr>
          <w:rFonts w:hint="eastAsia" w:ascii="宋体" w:hAnsi="宋体" w:cs="宋体"/>
          <w:szCs w:val="21"/>
        </w:rPr>
        <w:t xml:space="preserve">3.成交供应商不得以竞争为目的、或出于私利、或为第三人谋利而擅自保存、披露、使用采购人工作秘密和党政机关保密信息；不得直接或间接地向无关人员泄露采购人的工作秘密和党政机关保密信息；不得向不承担保密义务的任何第三人披露采购人的工作秘密和党政机关保密信息。成交供应商在从事相关项目时，不得擅自记录、复制、拍摄、摘抄、收藏在工作中涉及的保密信息，严禁将涉及监狱的任何资料、数据透露或以其他方式提供给项目以外的其他方或成交供应商内部与该项目无关的任何人员。 </w:t>
      </w:r>
    </w:p>
    <w:p w14:paraId="61B36092">
      <w:pPr>
        <w:pStyle w:val="79"/>
        <w:adjustRightInd w:val="0"/>
        <w:snapToGrid w:val="0"/>
        <w:spacing w:line="360" w:lineRule="auto"/>
        <w:jc w:val="left"/>
        <w:rPr>
          <w:rFonts w:hint="eastAsia" w:ascii="宋体" w:hAnsi="宋体" w:cs="宋体"/>
          <w:szCs w:val="21"/>
        </w:rPr>
      </w:pPr>
      <w:r>
        <w:rPr>
          <w:rFonts w:hint="eastAsia" w:ascii="宋体" w:hAnsi="宋体" w:cs="宋体"/>
          <w:szCs w:val="21"/>
        </w:rPr>
        <w:t xml:space="preserve">4.成交供应商对于工作期间知悉采购人的工作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 </w:t>
      </w:r>
    </w:p>
    <w:p w14:paraId="398CB0FC">
      <w:pPr>
        <w:pStyle w:val="79"/>
        <w:adjustRightInd w:val="0"/>
        <w:snapToGrid w:val="0"/>
        <w:spacing w:line="360" w:lineRule="auto"/>
        <w:jc w:val="left"/>
        <w:rPr>
          <w:rFonts w:hint="eastAsia" w:ascii="宋体" w:hAnsi="宋体" w:cs="宋体"/>
          <w:szCs w:val="21"/>
        </w:rPr>
      </w:pPr>
      <w:r>
        <w:rPr>
          <w:rFonts w:hint="eastAsia" w:ascii="宋体" w:hAnsi="宋体" w:cs="宋体"/>
          <w:szCs w:val="21"/>
        </w:rPr>
        <w:t xml:space="preserve">5.严禁泄露在工作中接触到的政府机关管理制度、装备器材及其技术资料和政府工作信息。 </w:t>
      </w:r>
    </w:p>
    <w:p w14:paraId="656E7542">
      <w:pPr>
        <w:pStyle w:val="79"/>
        <w:adjustRightInd w:val="0"/>
        <w:snapToGrid w:val="0"/>
        <w:spacing w:line="360" w:lineRule="auto"/>
        <w:jc w:val="left"/>
        <w:rPr>
          <w:rFonts w:hint="eastAsia" w:ascii="宋体" w:hAnsi="宋体" w:cs="宋体"/>
          <w:szCs w:val="21"/>
        </w:rPr>
      </w:pPr>
      <w:r>
        <w:rPr>
          <w:rFonts w:hint="eastAsia" w:ascii="宋体" w:hAnsi="宋体" w:cs="宋体"/>
          <w:szCs w:val="21"/>
        </w:rPr>
        <w:t>6.资产权属</w:t>
      </w:r>
    </w:p>
    <w:p w14:paraId="59954A47">
      <w:pPr>
        <w:pStyle w:val="79"/>
        <w:adjustRightInd w:val="0"/>
        <w:snapToGrid w:val="0"/>
        <w:spacing w:line="360" w:lineRule="auto"/>
        <w:jc w:val="left"/>
        <w:rPr>
          <w:rFonts w:hint="eastAsia" w:ascii="宋体" w:hAnsi="宋体" w:cs="宋体"/>
          <w:szCs w:val="21"/>
        </w:rPr>
      </w:pPr>
      <w:r>
        <w:rPr>
          <w:rFonts w:hint="eastAsia" w:ascii="宋体" w:hAnsi="宋体" w:cs="宋体"/>
          <w:szCs w:val="21"/>
        </w:rPr>
        <w:t>（1）本项目实施不会引起任何已申请、登记的知识产权所有权的转移。</w:t>
      </w:r>
    </w:p>
    <w:p w14:paraId="4F4F75CF">
      <w:pPr>
        <w:pStyle w:val="79"/>
        <w:adjustRightInd w:val="0"/>
        <w:snapToGrid w:val="0"/>
        <w:spacing w:line="360" w:lineRule="auto"/>
        <w:jc w:val="left"/>
        <w:rPr>
          <w:rFonts w:hint="eastAsia" w:ascii="宋体" w:hAnsi="宋体" w:cs="宋体"/>
          <w:szCs w:val="21"/>
        </w:rPr>
      </w:pPr>
      <w:r>
        <w:rPr>
          <w:rFonts w:hint="eastAsia" w:ascii="宋体" w:hAnsi="宋体" w:cs="宋体"/>
          <w:szCs w:val="21"/>
        </w:rPr>
        <w:t>（2）成交供应商、采购人双方一致同意，本项目所涉服务成果的知识产权归采购人所有。</w:t>
      </w:r>
    </w:p>
    <w:p w14:paraId="3667753E">
      <w:pPr>
        <w:pStyle w:val="79"/>
        <w:adjustRightInd w:val="0"/>
        <w:snapToGrid w:val="0"/>
        <w:spacing w:line="360" w:lineRule="auto"/>
        <w:jc w:val="left"/>
        <w:rPr>
          <w:rFonts w:hint="eastAsia" w:ascii="宋体" w:hAnsi="宋体" w:cs="宋体"/>
          <w:szCs w:val="21"/>
        </w:rPr>
      </w:pPr>
      <w:r>
        <w:rPr>
          <w:rFonts w:hint="eastAsia" w:ascii="宋体" w:hAnsi="宋体" w:cs="宋体"/>
          <w:szCs w:val="21"/>
        </w:rPr>
        <w:t>（3）本合同所涉及的视频内容所有权归采购人所有，成交供应商只能用于履行本合同之义务。</w:t>
      </w:r>
    </w:p>
    <w:p w14:paraId="3A09ACB5">
      <w:pPr>
        <w:pStyle w:val="79"/>
        <w:adjustRightInd w:val="0"/>
        <w:snapToGrid w:val="0"/>
        <w:spacing w:line="360" w:lineRule="auto"/>
        <w:jc w:val="left"/>
        <w:rPr>
          <w:rFonts w:hint="eastAsia" w:ascii="宋体" w:hAnsi="宋体" w:cs="宋体"/>
          <w:szCs w:val="21"/>
        </w:rPr>
      </w:pPr>
      <w:r>
        <w:rPr>
          <w:rFonts w:hint="eastAsia" w:ascii="宋体" w:hAnsi="宋体" w:cs="宋体"/>
          <w:szCs w:val="21"/>
        </w:rPr>
        <w:t>（4）成交供应商保证向采购人提供的服务成果是其独立实施完成，不存在任何侵犯第三方专利权、商标权、著作权等合法权益。如因成交供应商提供的服务成果侵犯任何第三方的合法权益，导致该第三方追究采购人责任的，成交供应商应负责解决并赔偿因此给采购人造成的全部损失。</w:t>
      </w:r>
    </w:p>
    <w:p w14:paraId="203365C9">
      <w:pPr>
        <w:pStyle w:val="79"/>
        <w:adjustRightInd w:val="0"/>
        <w:snapToGrid w:val="0"/>
        <w:spacing w:line="360" w:lineRule="auto"/>
        <w:jc w:val="left"/>
        <w:rPr>
          <w:rFonts w:hint="eastAsia" w:ascii="宋体" w:hAnsi="宋体" w:cs="宋体"/>
          <w:szCs w:val="21"/>
        </w:rPr>
      </w:pPr>
      <w:r>
        <w:rPr>
          <w:rFonts w:hint="eastAsia" w:ascii="宋体" w:hAnsi="宋体" w:cs="宋体"/>
          <w:szCs w:val="21"/>
        </w:rPr>
        <w:t>7.应急处理</w:t>
      </w:r>
    </w:p>
    <w:p w14:paraId="6ED4952D">
      <w:pPr>
        <w:pStyle w:val="79"/>
        <w:adjustRightInd w:val="0"/>
        <w:snapToGrid w:val="0"/>
        <w:spacing w:line="360" w:lineRule="auto"/>
        <w:jc w:val="left"/>
        <w:rPr>
          <w:rFonts w:hint="eastAsia" w:ascii="宋体" w:hAnsi="宋体" w:cs="宋体"/>
          <w:szCs w:val="21"/>
        </w:rPr>
      </w:pPr>
      <w:r>
        <w:t>对</w:t>
      </w:r>
      <w:r>
        <w:rPr>
          <w:rFonts w:hint="eastAsia"/>
        </w:rPr>
        <w:t>可能</w:t>
      </w:r>
      <w:r>
        <w:t>出现</w:t>
      </w:r>
      <w:r>
        <w:rPr>
          <w:rFonts w:hint="eastAsia"/>
        </w:rPr>
        <w:t>的</w:t>
      </w:r>
      <w:r>
        <w:t>突发情况</w:t>
      </w:r>
      <w:r>
        <w:rPr>
          <w:rFonts w:hint="eastAsia"/>
        </w:rPr>
        <w:t>需制定具有前瞻性的应急处理方案，内容包括但不限于天气问题，设备问题，人员问题及拍摄人员不配合等，供应商需制定应急处理方案保证视频制作能在规定时间内按时按量完成。</w:t>
      </w:r>
    </w:p>
    <w:p w14:paraId="6C6BD249">
      <w:pPr>
        <w:pStyle w:val="50"/>
        <w:numPr>
          <w:ilvl w:val="0"/>
          <w:numId w:val="13"/>
        </w:numPr>
        <w:spacing w:line="360" w:lineRule="auto"/>
        <w:ind w:left="0" w:hanging="448" w:firstLineChars="0"/>
        <w:outlineLvl w:val="1"/>
        <w:rPr>
          <w:rFonts w:hint="eastAsia" w:ascii="宋体" w:hAnsi="宋体" w:cs="宋体"/>
          <w:b/>
          <w:bCs/>
          <w:szCs w:val="21"/>
        </w:rPr>
      </w:pPr>
      <w:r>
        <w:rPr>
          <w:rFonts w:hint="eastAsia" w:ascii="宋体" w:hAnsi="宋体" w:cs="宋体"/>
          <w:b/>
          <w:bCs/>
          <w:szCs w:val="21"/>
        </w:rPr>
        <w:t>履约保证金</w:t>
      </w:r>
    </w:p>
    <w:p w14:paraId="7F6F2CEE">
      <w:pPr>
        <w:pStyle w:val="79"/>
        <w:adjustRightInd w:val="0"/>
        <w:snapToGrid w:val="0"/>
        <w:spacing w:line="360" w:lineRule="auto"/>
        <w:jc w:val="left"/>
        <w:rPr>
          <w:rFonts w:hint="eastAsia" w:ascii="宋体" w:hAnsi="宋体" w:cs="宋体"/>
          <w:szCs w:val="21"/>
        </w:rPr>
      </w:pPr>
      <w:r>
        <w:rPr>
          <w:rFonts w:hint="eastAsia" w:ascii="宋体" w:hAnsi="宋体" w:cs="宋体"/>
          <w:szCs w:val="21"/>
        </w:rPr>
        <w:t>签订合同后5天内，成交供应商需向采购方缴纳合同总金额的百分之五作为履约保证金。</w:t>
      </w:r>
    </w:p>
    <w:p w14:paraId="671BB4BF">
      <w:pPr>
        <w:pStyle w:val="50"/>
        <w:numPr>
          <w:ilvl w:val="0"/>
          <w:numId w:val="13"/>
        </w:numPr>
        <w:spacing w:line="360" w:lineRule="auto"/>
        <w:ind w:left="0" w:hanging="448" w:firstLineChars="0"/>
        <w:outlineLvl w:val="1"/>
        <w:rPr>
          <w:rFonts w:hint="eastAsia" w:ascii="宋体" w:hAnsi="宋体" w:cs="宋体"/>
          <w:b/>
          <w:bCs/>
          <w:szCs w:val="21"/>
        </w:rPr>
      </w:pPr>
      <w:r>
        <w:rPr>
          <w:rFonts w:hint="eastAsia" w:ascii="宋体" w:hAnsi="宋体" w:cs="宋体"/>
          <w:b/>
          <w:bCs/>
          <w:szCs w:val="21"/>
        </w:rPr>
        <w:t>付款方式</w:t>
      </w:r>
    </w:p>
    <w:p w14:paraId="2CF20131">
      <w:pPr>
        <w:pStyle w:val="79"/>
        <w:adjustRightInd w:val="0"/>
        <w:snapToGrid w:val="0"/>
        <w:spacing w:line="360" w:lineRule="auto"/>
        <w:jc w:val="left"/>
        <w:rPr>
          <w:rFonts w:hint="eastAsia" w:ascii="宋体" w:hAnsi="宋体" w:cs="宋体"/>
          <w:szCs w:val="21"/>
        </w:rPr>
      </w:pPr>
      <w:r>
        <w:rPr>
          <w:rFonts w:hint="eastAsia" w:ascii="宋体" w:hAnsi="宋体" w:cs="宋体"/>
          <w:szCs w:val="21"/>
        </w:rPr>
        <w:t>每完成一个项目的拍摄并通过采购人的验收，成交供应商开具符合采购人财务管理要求的相应发票，采购人确认后15个工作日内以银行转账的方式结清货款（剔除财政下达用款额度和审批支付申请时间)。</w:t>
      </w:r>
    </w:p>
    <w:p w14:paraId="245B9CEF">
      <w:pPr>
        <w:widowControl/>
        <w:jc w:val="left"/>
        <w:rPr>
          <w:rFonts w:hint="eastAsia" w:ascii="宋体" w:hAnsi="宋体" w:cs="宋体"/>
          <w:b/>
          <w:szCs w:val="21"/>
        </w:rPr>
      </w:pPr>
      <w:r>
        <w:rPr>
          <w:rFonts w:hint="eastAsia" w:ascii="宋体" w:hAnsi="宋体" w:cs="宋体"/>
          <w:b/>
          <w:szCs w:val="21"/>
        </w:rPr>
        <w:br w:type="page"/>
      </w:r>
    </w:p>
    <w:p w14:paraId="69A03F0F">
      <w:pPr>
        <w:pStyle w:val="50"/>
        <w:numPr>
          <w:ilvl w:val="0"/>
          <w:numId w:val="13"/>
        </w:numPr>
        <w:spacing w:line="360" w:lineRule="auto"/>
        <w:ind w:left="0" w:hanging="448" w:firstLineChars="0"/>
        <w:outlineLvl w:val="1"/>
        <w:rPr>
          <w:rFonts w:hint="eastAsia" w:ascii="宋体" w:hAnsi="宋体" w:cs="宋体"/>
          <w:b/>
          <w:szCs w:val="21"/>
        </w:rPr>
      </w:pPr>
      <w:r>
        <w:rPr>
          <w:rFonts w:hint="eastAsia" w:ascii="宋体" w:hAnsi="宋体" w:cs="宋体"/>
          <w:b/>
          <w:szCs w:val="21"/>
        </w:rPr>
        <w:t>评分标准</w:t>
      </w:r>
    </w:p>
    <w:p w14:paraId="43A0122B">
      <w:pPr>
        <w:spacing w:line="360" w:lineRule="auto"/>
        <w:rPr>
          <w:rFonts w:hint="eastAsia" w:ascii="宋体" w:hAnsi="宋体" w:cs="宋体"/>
        </w:rPr>
      </w:pPr>
      <w:r>
        <w:rPr>
          <w:rFonts w:hint="eastAsia" w:ascii="宋体" w:hAnsi="宋体" w:cs="宋体"/>
          <w:b/>
          <w:bCs/>
          <w:szCs w:val="21"/>
        </w:rPr>
        <w:t>本次采用综合评分法。评分以文件规定的条件为依据。评分比重构成如下：</w:t>
      </w:r>
    </w:p>
    <w:tbl>
      <w:tblPr>
        <w:tblStyle w:val="22"/>
        <w:tblW w:w="833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876"/>
        <w:gridCol w:w="2337"/>
        <w:gridCol w:w="2226"/>
        <w:gridCol w:w="1894"/>
      </w:tblGrid>
      <w:tr w14:paraId="3CF5A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862" w:hRule="atLeast"/>
          <w:jc w:val="center"/>
        </w:trPr>
        <w:tc>
          <w:tcPr>
            <w:tcW w:w="1876" w:type="dxa"/>
            <w:tcBorders>
              <w:top w:val="single" w:color="auto" w:sz="12" w:space="0"/>
              <w:left w:val="single" w:color="auto" w:sz="12" w:space="0"/>
              <w:bottom w:val="single" w:color="auto" w:sz="4" w:space="0"/>
              <w:right w:val="single" w:color="auto" w:sz="4" w:space="0"/>
            </w:tcBorders>
            <w:vAlign w:val="center"/>
          </w:tcPr>
          <w:p w14:paraId="6EE5CECA">
            <w:pPr>
              <w:spacing w:line="360" w:lineRule="auto"/>
              <w:jc w:val="center"/>
              <w:rPr>
                <w:rFonts w:hint="eastAsia" w:ascii="宋体" w:hAnsi="宋体" w:cs="宋体"/>
                <w:b/>
                <w:bCs/>
                <w:szCs w:val="21"/>
              </w:rPr>
            </w:pPr>
            <w:r>
              <w:rPr>
                <w:rFonts w:hint="eastAsia" w:ascii="宋体" w:hAnsi="宋体" w:cs="宋体"/>
                <w:b/>
                <w:bCs/>
                <w:szCs w:val="21"/>
              </w:rPr>
              <w:t>评分项目</w:t>
            </w:r>
          </w:p>
        </w:tc>
        <w:tc>
          <w:tcPr>
            <w:tcW w:w="2337" w:type="dxa"/>
            <w:tcBorders>
              <w:top w:val="single" w:color="auto" w:sz="12" w:space="0"/>
              <w:left w:val="single" w:color="auto" w:sz="4" w:space="0"/>
              <w:bottom w:val="single" w:color="auto" w:sz="4" w:space="0"/>
              <w:right w:val="single" w:color="auto" w:sz="4" w:space="0"/>
            </w:tcBorders>
            <w:vAlign w:val="center"/>
          </w:tcPr>
          <w:p w14:paraId="013B0D0E">
            <w:pPr>
              <w:spacing w:line="360" w:lineRule="auto"/>
              <w:jc w:val="center"/>
              <w:rPr>
                <w:rFonts w:hint="eastAsia" w:ascii="宋体" w:hAnsi="宋体" w:cs="宋体"/>
                <w:b/>
                <w:bCs/>
                <w:szCs w:val="21"/>
              </w:rPr>
            </w:pPr>
            <w:r>
              <w:rPr>
                <w:rFonts w:hint="eastAsia" w:ascii="宋体" w:hAnsi="宋体" w:cs="宋体"/>
                <w:b/>
                <w:bCs/>
                <w:szCs w:val="21"/>
              </w:rPr>
              <w:t>技术部分</w:t>
            </w:r>
          </w:p>
        </w:tc>
        <w:tc>
          <w:tcPr>
            <w:tcW w:w="2226" w:type="dxa"/>
            <w:tcBorders>
              <w:top w:val="single" w:color="auto" w:sz="12" w:space="0"/>
              <w:left w:val="single" w:color="auto" w:sz="4" w:space="0"/>
              <w:bottom w:val="single" w:color="auto" w:sz="4" w:space="0"/>
              <w:right w:val="single" w:color="auto" w:sz="4" w:space="0"/>
            </w:tcBorders>
            <w:vAlign w:val="center"/>
          </w:tcPr>
          <w:p w14:paraId="51707454">
            <w:pPr>
              <w:spacing w:line="360" w:lineRule="auto"/>
              <w:jc w:val="center"/>
              <w:rPr>
                <w:rFonts w:hint="eastAsia" w:ascii="宋体" w:hAnsi="宋体" w:cs="宋体"/>
                <w:b/>
                <w:bCs/>
                <w:szCs w:val="21"/>
              </w:rPr>
            </w:pPr>
            <w:r>
              <w:rPr>
                <w:rFonts w:hint="eastAsia" w:ascii="宋体" w:hAnsi="宋体" w:cs="宋体"/>
                <w:b/>
                <w:bCs/>
                <w:szCs w:val="21"/>
              </w:rPr>
              <w:t>商务部分</w:t>
            </w:r>
          </w:p>
        </w:tc>
        <w:tc>
          <w:tcPr>
            <w:tcW w:w="1894" w:type="dxa"/>
            <w:tcBorders>
              <w:top w:val="single" w:color="auto" w:sz="12" w:space="0"/>
              <w:left w:val="single" w:color="auto" w:sz="4" w:space="0"/>
              <w:bottom w:val="single" w:color="auto" w:sz="4" w:space="0"/>
              <w:right w:val="single" w:color="auto" w:sz="12" w:space="0"/>
            </w:tcBorders>
            <w:vAlign w:val="center"/>
          </w:tcPr>
          <w:p w14:paraId="622B94BB">
            <w:pPr>
              <w:spacing w:line="360" w:lineRule="auto"/>
              <w:jc w:val="center"/>
              <w:rPr>
                <w:rFonts w:hint="eastAsia" w:ascii="宋体" w:hAnsi="宋体" w:cs="宋体"/>
                <w:b/>
                <w:bCs/>
                <w:szCs w:val="21"/>
              </w:rPr>
            </w:pPr>
            <w:r>
              <w:rPr>
                <w:rFonts w:hint="eastAsia" w:ascii="宋体" w:hAnsi="宋体" w:cs="宋体"/>
                <w:b/>
                <w:bCs/>
                <w:szCs w:val="21"/>
              </w:rPr>
              <w:t>价格部分</w:t>
            </w:r>
          </w:p>
        </w:tc>
      </w:tr>
      <w:tr w14:paraId="6E6B32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720" w:hRule="atLeast"/>
          <w:jc w:val="center"/>
        </w:trPr>
        <w:tc>
          <w:tcPr>
            <w:tcW w:w="1876" w:type="dxa"/>
            <w:tcBorders>
              <w:top w:val="single" w:color="auto" w:sz="4" w:space="0"/>
              <w:left w:val="single" w:color="auto" w:sz="12" w:space="0"/>
              <w:bottom w:val="single" w:color="auto" w:sz="12" w:space="0"/>
              <w:right w:val="single" w:color="auto" w:sz="4" w:space="0"/>
            </w:tcBorders>
            <w:vAlign w:val="center"/>
          </w:tcPr>
          <w:p w14:paraId="369014FE">
            <w:pPr>
              <w:spacing w:line="360" w:lineRule="auto"/>
              <w:jc w:val="center"/>
              <w:rPr>
                <w:rFonts w:hint="eastAsia" w:ascii="宋体" w:hAnsi="宋体" w:cs="宋体"/>
                <w:szCs w:val="21"/>
              </w:rPr>
            </w:pPr>
            <w:r>
              <w:rPr>
                <w:rFonts w:hint="eastAsia" w:ascii="宋体" w:hAnsi="宋体" w:cs="宋体"/>
                <w:szCs w:val="21"/>
              </w:rPr>
              <w:t>分值</w:t>
            </w:r>
          </w:p>
        </w:tc>
        <w:tc>
          <w:tcPr>
            <w:tcW w:w="2337" w:type="dxa"/>
            <w:tcBorders>
              <w:top w:val="single" w:color="auto" w:sz="4" w:space="0"/>
              <w:left w:val="single" w:color="auto" w:sz="4" w:space="0"/>
              <w:bottom w:val="single" w:color="auto" w:sz="12" w:space="0"/>
              <w:right w:val="single" w:color="auto" w:sz="4" w:space="0"/>
            </w:tcBorders>
            <w:vAlign w:val="center"/>
          </w:tcPr>
          <w:p w14:paraId="508213A9">
            <w:pPr>
              <w:spacing w:line="360" w:lineRule="auto"/>
              <w:jc w:val="center"/>
              <w:rPr>
                <w:rFonts w:hint="eastAsia" w:ascii="宋体" w:hAnsi="宋体" w:cs="宋体"/>
                <w:szCs w:val="21"/>
              </w:rPr>
            </w:pPr>
            <w:r>
              <w:rPr>
                <w:rFonts w:hint="eastAsia" w:ascii="宋体" w:hAnsi="宋体" w:cs="宋体"/>
                <w:szCs w:val="21"/>
              </w:rPr>
              <w:t>30分</w:t>
            </w:r>
          </w:p>
        </w:tc>
        <w:tc>
          <w:tcPr>
            <w:tcW w:w="2226" w:type="dxa"/>
            <w:tcBorders>
              <w:top w:val="single" w:color="auto" w:sz="4" w:space="0"/>
              <w:left w:val="single" w:color="auto" w:sz="4" w:space="0"/>
              <w:bottom w:val="single" w:color="auto" w:sz="12" w:space="0"/>
              <w:right w:val="single" w:color="auto" w:sz="4" w:space="0"/>
            </w:tcBorders>
            <w:vAlign w:val="center"/>
          </w:tcPr>
          <w:p w14:paraId="29392DDC">
            <w:pPr>
              <w:spacing w:line="360" w:lineRule="auto"/>
              <w:jc w:val="center"/>
              <w:rPr>
                <w:rFonts w:hint="eastAsia" w:ascii="宋体" w:hAnsi="宋体" w:cs="宋体"/>
                <w:szCs w:val="21"/>
              </w:rPr>
            </w:pPr>
            <w:r>
              <w:rPr>
                <w:rFonts w:hint="eastAsia" w:ascii="宋体" w:hAnsi="宋体" w:cs="宋体"/>
                <w:szCs w:val="21"/>
              </w:rPr>
              <w:t>40分</w:t>
            </w:r>
          </w:p>
        </w:tc>
        <w:tc>
          <w:tcPr>
            <w:tcW w:w="1894" w:type="dxa"/>
            <w:tcBorders>
              <w:top w:val="single" w:color="auto" w:sz="4" w:space="0"/>
              <w:left w:val="single" w:color="auto" w:sz="4" w:space="0"/>
              <w:bottom w:val="single" w:color="auto" w:sz="12" w:space="0"/>
              <w:right w:val="single" w:color="auto" w:sz="12" w:space="0"/>
            </w:tcBorders>
            <w:vAlign w:val="center"/>
          </w:tcPr>
          <w:p w14:paraId="11A1273E">
            <w:pPr>
              <w:spacing w:line="360" w:lineRule="auto"/>
              <w:jc w:val="center"/>
              <w:rPr>
                <w:rFonts w:hint="eastAsia" w:ascii="宋体" w:hAnsi="宋体" w:cs="宋体"/>
                <w:szCs w:val="21"/>
              </w:rPr>
            </w:pPr>
            <w:r>
              <w:rPr>
                <w:rFonts w:hint="eastAsia" w:ascii="宋体" w:hAnsi="宋体" w:cs="宋体"/>
                <w:szCs w:val="21"/>
              </w:rPr>
              <w:t>30分</w:t>
            </w:r>
          </w:p>
        </w:tc>
      </w:tr>
    </w:tbl>
    <w:p w14:paraId="2180A61F"/>
    <w:tbl>
      <w:tblPr>
        <w:tblStyle w:val="2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2"/>
        <w:gridCol w:w="2307"/>
        <w:gridCol w:w="5076"/>
      </w:tblGrid>
      <w:tr w14:paraId="30484A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 w:type="dxa"/>
            <w:vAlign w:val="center"/>
          </w:tcPr>
          <w:p w14:paraId="5F71B007">
            <w:pPr>
              <w:jc w:val="center"/>
            </w:pPr>
            <w:r>
              <w:t>评审因素</w:t>
            </w:r>
          </w:p>
        </w:tc>
        <w:tc>
          <w:tcPr>
            <w:tcW w:w="7383" w:type="dxa"/>
            <w:gridSpan w:val="2"/>
          </w:tcPr>
          <w:p w14:paraId="277AE24C">
            <w:pPr>
              <w:jc w:val="center"/>
            </w:pPr>
            <w:r>
              <w:t>评审标准</w:t>
            </w:r>
          </w:p>
        </w:tc>
      </w:tr>
      <w:tr w14:paraId="3FCEF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 w:type="dxa"/>
            <w:vAlign w:val="center"/>
          </w:tcPr>
          <w:p w14:paraId="6066FE6F">
            <w:pPr>
              <w:jc w:val="center"/>
            </w:pPr>
            <w:r>
              <w:t>分值构成</w:t>
            </w:r>
          </w:p>
        </w:tc>
        <w:tc>
          <w:tcPr>
            <w:tcW w:w="7383" w:type="dxa"/>
            <w:gridSpan w:val="2"/>
          </w:tcPr>
          <w:p w14:paraId="6A3BCBC0">
            <w:r>
              <w:t>商务部分</w:t>
            </w:r>
            <w:r>
              <w:rPr>
                <w:rFonts w:hint="eastAsia"/>
              </w:rPr>
              <w:t>40</w:t>
            </w:r>
            <w:r>
              <w:t>.0分</w:t>
            </w:r>
          </w:p>
          <w:p w14:paraId="13048661">
            <w:r>
              <w:t>技术部分</w:t>
            </w:r>
            <w:r>
              <w:rPr>
                <w:rFonts w:hint="eastAsia"/>
              </w:rPr>
              <w:t>30</w:t>
            </w:r>
            <w:r>
              <w:t>.0分</w:t>
            </w:r>
          </w:p>
          <w:p w14:paraId="2FA3F3DB">
            <w:r>
              <w:t>报价得分</w:t>
            </w:r>
            <w:r>
              <w:rPr>
                <w:rFonts w:hint="eastAsia"/>
              </w:rPr>
              <w:t>30</w:t>
            </w:r>
            <w:r>
              <w:t>.0分</w:t>
            </w:r>
          </w:p>
        </w:tc>
      </w:tr>
      <w:tr w14:paraId="13E2D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 w:type="dxa"/>
            <w:vMerge w:val="restart"/>
            <w:vAlign w:val="center"/>
          </w:tcPr>
          <w:p w14:paraId="00E86839">
            <w:pPr>
              <w:jc w:val="center"/>
            </w:pPr>
            <w:r>
              <w:t>技术部分</w:t>
            </w:r>
          </w:p>
        </w:tc>
        <w:tc>
          <w:tcPr>
            <w:tcW w:w="2307" w:type="dxa"/>
            <w:vAlign w:val="center"/>
          </w:tcPr>
          <w:p w14:paraId="6EF301E9">
            <w:pPr>
              <w:jc w:val="center"/>
              <w:rPr>
                <w:rFonts w:hint="eastAsia" w:ascii="宋体" w:hAnsi="宋体"/>
              </w:rPr>
            </w:pPr>
            <w:r>
              <w:rPr>
                <w:rFonts w:ascii="宋体" w:hAnsi="宋体"/>
              </w:rPr>
              <w:t>服务方案</w:t>
            </w:r>
          </w:p>
          <w:p w14:paraId="7B9D321E">
            <w:pPr>
              <w:jc w:val="center"/>
              <w:rPr>
                <w:rFonts w:hint="eastAsia" w:ascii="宋体" w:hAnsi="宋体"/>
              </w:rPr>
            </w:pPr>
            <w:r>
              <w:rPr>
                <w:rFonts w:ascii="宋体" w:hAnsi="宋体"/>
              </w:rPr>
              <w:t xml:space="preserve"> (1</w:t>
            </w:r>
            <w:r>
              <w:rPr>
                <w:rFonts w:hint="eastAsia" w:ascii="宋体" w:hAnsi="宋体"/>
              </w:rPr>
              <w:t>5</w:t>
            </w:r>
            <w:r>
              <w:rPr>
                <w:rFonts w:ascii="宋体" w:hAnsi="宋体"/>
              </w:rPr>
              <w:t>.0分)</w:t>
            </w:r>
          </w:p>
        </w:tc>
        <w:tc>
          <w:tcPr>
            <w:tcW w:w="5076" w:type="dxa"/>
          </w:tcPr>
          <w:p w14:paraId="5898929F">
            <w:pPr>
              <w:jc w:val="left"/>
            </w:pPr>
            <w:r>
              <w:rPr>
                <w:rFonts w:hint="eastAsia"/>
              </w:rPr>
              <w:t>投标人</w:t>
            </w:r>
            <w:r>
              <w:t>根据</w:t>
            </w:r>
            <w:r>
              <w:rPr>
                <w:rFonts w:hint="eastAsia"/>
              </w:rPr>
              <w:t>“第二章 用户需求书”“五</w:t>
            </w:r>
            <w:bookmarkStart w:id="0" w:name="OLE_LINK1"/>
            <w:r>
              <w:rPr>
                <w:rFonts w:hint="eastAsia"/>
              </w:rPr>
              <w:t>、服务内容清单”</w:t>
            </w:r>
            <w:bookmarkEnd w:id="0"/>
            <w:r>
              <w:rPr>
                <w:rFonts w:hint="eastAsia"/>
              </w:rPr>
              <w:t>1）服务内容：宣传视频制作的要求，</w:t>
            </w:r>
            <w:r>
              <w:t>投标人以</w:t>
            </w:r>
            <w:r>
              <w:rPr>
                <w:rFonts w:hint="eastAsia"/>
              </w:rPr>
              <w:t>“主题日活动、重要政务活动、重点工作”</w:t>
            </w:r>
            <w:r>
              <w:t>为例并结合采购需求所提供的视频策划与制作方案 (包括方案的详细具体和可执行性、内容及形式的创意新颖性与</w:t>
            </w:r>
            <w:r>
              <w:rPr>
                <w:rFonts w:hint="eastAsia"/>
              </w:rPr>
              <w:t>采购方</w:t>
            </w:r>
            <w:r>
              <w:t>形象契合度)进行评审:</w:t>
            </w:r>
          </w:p>
          <w:p w14:paraId="703DC2FD">
            <w:pPr>
              <w:jc w:val="left"/>
            </w:pPr>
            <w:r>
              <w:t>（1）投标人提交的视频策划</w:t>
            </w:r>
            <w:r>
              <w:rPr>
                <w:rFonts w:hint="eastAsia"/>
              </w:rPr>
              <w:t>与</w:t>
            </w:r>
            <w:r>
              <w:t>制作方案详细具体、切实可行，内容与</w:t>
            </w:r>
            <w:r>
              <w:rPr>
                <w:rFonts w:hint="eastAsia"/>
              </w:rPr>
              <w:t>采购人</w:t>
            </w:r>
            <w:r>
              <w:t>宣传内容契合度高，完全满足</w:t>
            </w:r>
            <w:r>
              <w:rPr>
                <w:rFonts w:hint="eastAsia"/>
              </w:rPr>
              <w:t>且</w:t>
            </w:r>
            <w:r>
              <w:t>优于项目需求，得1</w:t>
            </w:r>
            <w:r>
              <w:rPr>
                <w:rFonts w:hint="eastAsia"/>
              </w:rPr>
              <w:t>5</w:t>
            </w:r>
            <w:r>
              <w:t xml:space="preserve">分；  </w:t>
            </w:r>
          </w:p>
          <w:p w14:paraId="0C6E4CF7">
            <w:pPr>
              <w:jc w:val="left"/>
            </w:pPr>
            <w:r>
              <w:t>（2）投标人提交的视频策划与制作方案</w:t>
            </w:r>
            <w:r>
              <w:rPr>
                <w:rFonts w:hint="eastAsia"/>
              </w:rPr>
              <w:t>较</w:t>
            </w:r>
            <w:r>
              <w:t>详细具体，具有可行性，内容与</w:t>
            </w:r>
            <w:r>
              <w:rPr>
                <w:rFonts w:hint="eastAsia"/>
              </w:rPr>
              <w:t>采购人</w:t>
            </w:r>
            <w:r>
              <w:t>宣传内容契合度</w:t>
            </w:r>
            <w:r>
              <w:rPr>
                <w:rFonts w:hint="eastAsia"/>
              </w:rPr>
              <w:t>较</w:t>
            </w:r>
            <w:r>
              <w:t>高，</w:t>
            </w:r>
            <w:r>
              <w:rPr>
                <w:rFonts w:hint="eastAsia"/>
              </w:rPr>
              <w:t>完全</w:t>
            </w:r>
            <w:r>
              <w:t>满足项目需求，得</w:t>
            </w:r>
            <w:r>
              <w:rPr>
                <w:rFonts w:hint="eastAsia"/>
              </w:rPr>
              <w:t>10</w:t>
            </w:r>
            <w:r>
              <w:t xml:space="preserve">分；  </w:t>
            </w:r>
          </w:p>
          <w:p w14:paraId="7E8B4651">
            <w:pPr>
              <w:jc w:val="left"/>
            </w:pPr>
            <w:r>
              <w:t>（3）投标人提交的视频策划与制作方案有所缺漏，</w:t>
            </w:r>
            <w:r>
              <w:rPr>
                <w:rFonts w:hint="eastAsia"/>
              </w:rPr>
              <w:t>基本可行，</w:t>
            </w:r>
            <w:r>
              <w:t>内容与</w:t>
            </w:r>
            <w:r>
              <w:rPr>
                <w:rFonts w:hint="eastAsia"/>
              </w:rPr>
              <w:t>采购人</w:t>
            </w:r>
            <w:r>
              <w:t>宣传内容</w:t>
            </w:r>
            <w:r>
              <w:rPr>
                <w:rFonts w:hint="eastAsia"/>
              </w:rPr>
              <w:t>契合度</w:t>
            </w:r>
            <w:r>
              <w:t>不</w:t>
            </w:r>
            <w:r>
              <w:rPr>
                <w:rFonts w:hint="eastAsia"/>
              </w:rPr>
              <w:t>高</w:t>
            </w:r>
            <w:r>
              <w:t>，</w:t>
            </w:r>
            <w:r>
              <w:rPr>
                <w:rFonts w:hint="eastAsia"/>
              </w:rPr>
              <w:t>基本满足项目需求的，</w:t>
            </w:r>
            <w:r>
              <w:t>得</w:t>
            </w:r>
            <w:r>
              <w:rPr>
                <w:rFonts w:hint="eastAsia"/>
              </w:rPr>
              <w:t>5</w:t>
            </w:r>
            <w:r>
              <w:t xml:space="preserve">分；  </w:t>
            </w:r>
          </w:p>
          <w:p w14:paraId="4015802C">
            <w:pPr>
              <w:jc w:val="left"/>
            </w:pPr>
            <w:r>
              <w:t>（4）</w:t>
            </w:r>
            <w:r>
              <w:rPr>
                <w:rFonts w:hint="eastAsia"/>
              </w:rPr>
              <w:t>无提供或其他均不得分。</w:t>
            </w:r>
            <w:r>
              <w:t xml:space="preserve"> </w:t>
            </w:r>
          </w:p>
        </w:tc>
      </w:tr>
      <w:tr w14:paraId="68F640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 w:type="dxa"/>
            <w:vMerge w:val="continue"/>
            <w:vAlign w:val="center"/>
          </w:tcPr>
          <w:p w14:paraId="01562081">
            <w:pPr>
              <w:jc w:val="center"/>
            </w:pPr>
          </w:p>
        </w:tc>
        <w:tc>
          <w:tcPr>
            <w:tcW w:w="2307" w:type="dxa"/>
            <w:vAlign w:val="center"/>
          </w:tcPr>
          <w:p w14:paraId="6029B048">
            <w:pPr>
              <w:jc w:val="center"/>
              <w:rPr>
                <w:rFonts w:hint="eastAsia" w:ascii="宋体" w:hAnsi="宋体"/>
              </w:rPr>
            </w:pPr>
            <w:r>
              <w:rPr>
                <w:rFonts w:ascii="宋体" w:hAnsi="宋体"/>
              </w:rPr>
              <w:t>质量保障方案</w:t>
            </w:r>
          </w:p>
          <w:p w14:paraId="3A5C9592">
            <w:pPr>
              <w:jc w:val="center"/>
              <w:rPr>
                <w:rFonts w:hint="eastAsia" w:ascii="宋体" w:hAnsi="宋体"/>
              </w:rPr>
            </w:pPr>
            <w:r>
              <w:rPr>
                <w:rFonts w:ascii="宋体" w:hAnsi="宋体"/>
              </w:rPr>
              <w:t xml:space="preserve"> (1</w:t>
            </w:r>
            <w:r>
              <w:rPr>
                <w:rFonts w:hint="eastAsia" w:ascii="宋体" w:hAnsi="宋体"/>
              </w:rPr>
              <w:t>0</w:t>
            </w:r>
            <w:r>
              <w:rPr>
                <w:rFonts w:ascii="宋体" w:hAnsi="宋体"/>
              </w:rPr>
              <w:t>.0分)</w:t>
            </w:r>
          </w:p>
        </w:tc>
        <w:tc>
          <w:tcPr>
            <w:tcW w:w="5076" w:type="dxa"/>
          </w:tcPr>
          <w:p w14:paraId="0CE2D80F">
            <w:pPr>
              <w:jc w:val="left"/>
            </w:pPr>
            <w:r>
              <w:rPr>
                <w:rFonts w:hint="eastAsia"/>
              </w:rPr>
              <w:t>投标人</w:t>
            </w:r>
            <w:r>
              <w:t>根据</w:t>
            </w:r>
            <w:r>
              <w:rPr>
                <w:rFonts w:hint="eastAsia"/>
              </w:rPr>
              <w:t>“第二章 用户需求书”“五、服务内容清单”3）质量保障要求</w:t>
            </w:r>
            <w:r>
              <w:t>进行评审</w:t>
            </w:r>
            <w:r>
              <w:rPr>
                <w:rFonts w:hint="eastAsia"/>
              </w:rPr>
              <w:t>，</w:t>
            </w:r>
          </w:p>
          <w:p w14:paraId="75877F01">
            <w:pPr>
              <w:jc w:val="left"/>
            </w:pPr>
            <w:r>
              <w:t>（1）</w:t>
            </w:r>
            <w:r>
              <w:rPr>
                <w:rFonts w:hint="eastAsia"/>
              </w:rPr>
              <w:t>投标人提供的方案拍摄流程</w:t>
            </w:r>
            <w:r>
              <w:t>详细具体，执行方案</w:t>
            </w:r>
            <w:r>
              <w:rPr>
                <w:rFonts w:hint="eastAsia"/>
              </w:rPr>
              <w:t>切实可行</w:t>
            </w:r>
            <w:r>
              <w:t>，</w:t>
            </w:r>
            <w:r>
              <w:rPr>
                <w:rFonts w:hint="eastAsia"/>
              </w:rPr>
              <w:t>后期保管方案清晰明确，</w:t>
            </w:r>
            <w:r>
              <w:t>提供了切实可行的保证措施和手段，</w:t>
            </w:r>
            <w:r>
              <w:rPr>
                <w:rFonts w:hint="eastAsia"/>
              </w:rPr>
              <w:t>完全满足且优于项目需求的，</w:t>
            </w:r>
            <w:r>
              <w:t>得1</w:t>
            </w:r>
            <w:r>
              <w:rPr>
                <w:rFonts w:hint="eastAsia"/>
              </w:rPr>
              <w:t>0</w:t>
            </w:r>
            <w:r>
              <w:t xml:space="preserve">分； </w:t>
            </w:r>
          </w:p>
          <w:p w14:paraId="6A20351C">
            <w:pPr>
              <w:jc w:val="left"/>
            </w:pPr>
            <w:r>
              <w:t>（2）</w:t>
            </w:r>
            <w:r>
              <w:rPr>
                <w:rFonts w:hint="eastAsia"/>
              </w:rPr>
              <w:t>拍摄流程</w:t>
            </w:r>
            <w:r>
              <w:t>详细</w:t>
            </w:r>
            <w:r>
              <w:rPr>
                <w:rFonts w:hint="eastAsia"/>
              </w:rPr>
              <w:t>较</w:t>
            </w:r>
            <w:r>
              <w:t>具体，执行方案</w:t>
            </w:r>
            <w:r>
              <w:rPr>
                <w:rFonts w:hint="eastAsia"/>
              </w:rPr>
              <w:t>较切实可行</w:t>
            </w:r>
            <w:r>
              <w:t>，</w:t>
            </w:r>
            <w:r>
              <w:rPr>
                <w:rFonts w:hint="eastAsia"/>
              </w:rPr>
              <w:t>后期保管方案较清晰合理，</w:t>
            </w:r>
            <w:r>
              <w:t>提供了</w:t>
            </w:r>
            <w:r>
              <w:rPr>
                <w:rFonts w:hint="eastAsia"/>
              </w:rPr>
              <w:t>较为</w:t>
            </w:r>
            <w:r>
              <w:t>可行的保证措施和手段，</w:t>
            </w:r>
            <w:r>
              <w:rPr>
                <w:rFonts w:hint="eastAsia"/>
              </w:rPr>
              <w:t>完全满足项目需求的，</w:t>
            </w:r>
            <w:r>
              <w:t>得</w:t>
            </w:r>
            <w:r>
              <w:rPr>
                <w:rFonts w:hint="eastAsia"/>
              </w:rPr>
              <w:t>7</w:t>
            </w:r>
            <w:r>
              <w:t xml:space="preserve">分； </w:t>
            </w:r>
          </w:p>
          <w:p w14:paraId="70A254CD">
            <w:pPr>
              <w:jc w:val="left"/>
            </w:pPr>
            <w:r>
              <w:t>（3）</w:t>
            </w:r>
            <w:r>
              <w:rPr>
                <w:rFonts w:hint="eastAsia"/>
              </w:rPr>
              <w:t>拍摄流程</w:t>
            </w:r>
            <w:r>
              <w:t>详细</w:t>
            </w:r>
            <w:r>
              <w:rPr>
                <w:rFonts w:hint="eastAsia"/>
              </w:rPr>
              <w:t>不够</w:t>
            </w:r>
            <w:r>
              <w:t>具体，执行方案</w:t>
            </w:r>
            <w:r>
              <w:rPr>
                <w:rFonts w:hint="eastAsia"/>
              </w:rPr>
              <w:t>不够</w:t>
            </w:r>
            <w:r>
              <w:t>合理，</w:t>
            </w:r>
            <w:r>
              <w:rPr>
                <w:rFonts w:hint="eastAsia"/>
              </w:rPr>
              <w:t>后期保管方案不够清晰明确，</w:t>
            </w:r>
            <w:r>
              <w:t>提供了</w:t>
            </w:r>
            <w:r>
              <w:rPr>
                <w:rFonts w:hint="eastAsia"/>
              </w:rPr>
              <w:t>基本的</w:t>
            </w:r>
            <w:r>
              <w:t>保证措施和手段，</w:t>
            </w:r>
            <w:r>
              <w:rPr>
                <w:rFonts w:hint="eastAsia"/>
              </w:rPr>
              <w:t>措施可行性不高，基本满足项目需求的</w:t>
            </w:r>
            <w:r>
              <w:t>，得</w:t>
            </w:r>
            <w:r>
              <w:rPr>
                <w:rFonts w:hint="eastAsia"/>
              </w:rPr>
              <w:t>4</w:t>
            </w:r>
            <w:r>
              <w:t xml:space="preserve">分； </w:t>
            </w:r>
          </w:p>
          <w:p w14:paraId="1E9C3050">
            <w:pPr>
              <w:jc w:val="left"/>
            </w:pPr>
            <w:r>
              <w:t>（4）</w:t>
            </w:r>
            <w:r>
              <w:rPr>
                <w:rFonts w:hint="eastAsia"/>
              </w:rPr>
              <w:t>无提供或其他均不得分。</w:t>
            </w:r>
          </w:p>
        </w:tc>
      </w:tr>
      <w:tr w14:paraId="74404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 w:type="dxa"/>
            <w:vMerge w:val="continue"/>
            <w:vAlign w:val="center"/>
          </w:tcPr>
          <w:p w14:paraId="4A02697D">
            <w:pPr>
              <w:jc w:val="center"/>
            </w:pPr>
          </w:p>
        </w:tc>
        <w:tc>
          <w:tcPr>
            <w:tcW w:w="2307" w:type="dxa"/>
            <w:vAlign w:val="center"/>
          </w:tcPr>
          <w:p w14:paraId="5995B54D">
            <w:pPr>
              <w:jc w:val="center"/>
              <w:rPr>
                <w:rFonts w:hint="eastAsia" w:ascii="宋体" w:hAnsi="宋体"/>
              </w:rPr>
            </w:pPr>
            <w:r>
              <w:rPr>
                <w:rFonts w:ascii="宋体" w:hAnsi="宋体"/>
              </w:rPr>
              <w:t xml:space="preserve">应急方案 </w:t>
            </w:r>
          </w:p>
          <w:p w14:paraId="5F594375">
            <w:pPr>
              <w:jc w:val="center"/>
              <w:rPr>
                <w:rFonts w:hint="eastAsia" w:ascii="宋体" w:hAnsi="宋体"/>
              </w:rPr>
            </w:pPr>
            <w:r>
              <w:rPr>
                <w:rFonts w:ascii="宋体" w:hAnsi="宋体"/>
              </w:rPr>
              <w:t>(5.0分)</w:t>
            </w:r>
          </w:p>
        </w:tc>
        <w:tc>
          <w:tcPr>
            <w:tcW w:w="5076" w:type="dxa"/>
          </w:tcPr>
          <w:p w14:paraId="7E7DBC56">
            <w:pPr>
              <w:pStyle w:val="79"/>
              <w:adjustRightInd w:val="0"/>
              <w:snapToGrid w:val="0"/>
              <w:spacing w:line="360" w:lineRule="auto"/>
              <w:ind w:firstLine="0" w:firstLineChars="0"/>
              <w:jc w:val="left"/>
            </w:pPr>
            <w:r>
              <w:rPr>
                <w:rFonts w:hint="eastAsia"/>
              </w:rPr>
              <w:t>投标人</w:t>
            </w:r>
            <w:r>
              <w:t>根据</w:t>
            </w:r>
            <w:r>
              <w:rPr>
                <w:rFonts w:hint="eastAsia"/>
              </w:rPr>
              <w:t>“第二章 用户需求书”</w:t>
            </w:r>
            <w:r>
              <w:rPr>
                <w:rFonts w:hint="eastAsia" w:ascii="宋体" w:hAnsi="宋体" w:cs="宋体"/>
                <w:szCs w:val="21"/>
              </w:rPr>
              <w:t xml:space="preserve"> “九、其他要求（四）安全及保密”7.</w:t>
            </w:r>
            <w:r>
              <w:rPr>
                <w:rFonts w:hint="eastAsia"/>
              </w:rPr>
              <w:t>应急处理</w:t>
            </w:r>
            <w:r>
              <w:t>要求</w:t>
            </w:r>
            <w:r>
              <w:rPr>
                <w:rFonts w:hint="eastAsia"/>
              </w:rPr>
              <w:t>进行评审</w:t>
            </w:r>
            <w:r>
              <w:t>：</w:t>
            </w:r>
          </w:p>
          <w:p w14:paraId="38AF3178">
            <w:pPr>
              <w:pStyle w:val="79"/>
              <w:adjustRightInd w:val="0"/>
              <w:snapToGrid w:val="0"/>
              <w:spacing w:line="360" w:lineRule="auto"/>
              <w:ind w:firstLine="0" w:firstLineChars="0"/>
              <w:jc w:val="left"/>
            </w:pPr>
            <w:r>
              <w:rPr>
                <w:rFonts w:hint="eastAsia"/>
              </w:rPr>
              <w:t>1、应急方案详细、可行性高，完全满足且优于采购需求的，得5分；</w:t>
            </w:r>
          </w:p>
          <w:p w14:paraId="340996BF">
            <w:pPr>
              <w:pStyle w:val="79"/>
              <w:adjustRightInd w:val="0"/>
              <w:snapToGrid w:val="0"/>
              <w:spacing w:line="360" w:lineRule="auto"/>
              <w:ind w:firstLine="0" w:firstLineChars="0"/>
              <w:jc w:val="left"/>
            </w:pPr>
            <w:r>
              <w:rPr>
                <w:rFonts w:hint="eastAsia"/>
              </w:rPr>
              <w:t>2、应急方案较详细、可行性较高，完全满足采购需求的，得3分；</w:t>
            </w:r>
          </w:p>
          <w:p w14:paraId="6EE8E22B">
            <w:pPr>
              <w:pStyle w:val="79"/>
              <w:adjustRightInd w:val="0"/>
              <w:snapToGrid w:val="0"/>
              <w:spacing w:line="360" w:lineRule="auto"/>
              <w:ind w:firstLine="0" w:firstLineChars="0"/>
              <w:jc w:val="left"/>
            </w:pPr>
            <w:r>
              <w:rPr>
                <w:rFonts w:hint="eastAsia"/>
              </w:rPr>
              <w:t>3、应急方案不够详细、可行性不高，部分满足采购需求的，得1分；</w:t>
            </w:r>
          </w:p>
          <w:p w14:paraId="77398214">
            <w:pPr>
              <w:pStyle w:val="79"/>
              <w:adjustRightInd w:val="0"/>
              <w:snapToGrid w:val="0"/>
              <w:spacing w:line="360" w:lineRule="auto"/>
              <w:ind w:firstLine="0" w:firstLineChars="0"/>
              <w:jc w:val="left"/>
            </w:pPr>
            <w:r>
              <w:rPr>
                <w:rFonts w:hint="eastAsia"/>
              </w:rPr>
              <w:t>4、不提供或其他均不得分。</w:t>
            </w:r>
          </w:p>
        </w:tc>
      </w:tr>
      <w:tr w14:paraId="2C75F6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jc w:val="center"/>
        </w:trPr>
        <w:tc>
          <w:tcPr>
            <w:tcW w:w="922" w:type="dxa"/>
            <w:vMerge w:val="restart"/>
            <w:vAlign w:val="center"/>
          </w:tcPr>
          <w:p w14:paraId="5FEC36B3">
            <w:pPr>
              <w:jc w:val="center"/>
            </w:pPr>
            <w:r>
              <w:rPr>
                <w:rFonts w:hint="eastAsia"/>
              </w:rPr>
              <w:t>商务部分</w:t>
            </w:r>
          </w:p>
        </w:tc>
        <w:tc>
          <w:tcPr>
            <w:tcW w:w="2307" w:type="dxa"/>
            <w:vAlign w:val="center"/>
          </w:tcPr>
          <w:p w14:paraId="03FB5E34">
            <w:pPr>
              <w:jc w:val="center"/>
              <w:rPr>
                <w:rFonts w:hint="eastAsia" w:ascii="宋体" w:hAnsi="宋体"/>
              </w:rPr>
            </w:pPr>
            <w:r>
              <w:rPr>
                <w:rFonts w:ascii="宋体" w:hAnsi="宋体"/>
              </w:rPr>
              <w:t xml:space="preserve">增值服务 </w:t>
            </w:r>
          </w:p>
          <w:p w14:paraId="5D5996F4">
            <w:pPr>
              <w:jc w:val="center"/>
              <w:rPr>
                <w:rFonts w:hint="eastAsia" w:ascii="宋体" w:hAnsi="宋体"/>
              </w:rPr>
            </w:pPr>
            <w:r>
              <w:rPr>
                <w:rFonts w:ascii="宋体" w:hAnsi="宋体"/>
              </w:rPr>
              <w:t>(</w:t>
            </w:r>
            <w:r>
              <w:rPr>
                <w:rFonts w:hint="eastAsia" w:ascii="宋体" w:hAnsi="宋体"/>
              </w:rPr>
              <w:t>4</w:t>
            </w:r>
            <w:r>
              <w:rPr>
                <w:rFonts w:ascii="宋体" w:hAnsi="宋体"/>
              </w:rPr>
              <w:t>.0分)</w:t>
            </w:r>
          </w:p>
        </w:tc>
        <w:tc>
          <w:tcPr>
            <w:tcW w:w="5076" w:type="dxa"/>
          </w:tcPr>
          <w:p w14:paraId="5100F2F8">
            <w:pPr>
              <w:jc w:val="left"/>
            </w:pPr>
            <w:r>
              <w:t>投标人为本项目提供的增值服务情况进行打分：每提供一项有效的增值服务承诺得</w:t>
            </w:r>
            <w:r>
              <w:rPr>
                <w:rFonts w:hint="eastAsia"/>
              </w:rPr>
              <w:t>2</w:t>
            </w:r>
            <w:r>
              <w:t>分，本项最多得</w:t>
            </w:r>
            <w:r>
              <w:rPr>
                <w:rFonts w:hint="eastAsia"/>
              </w:rPr>
              <w:t>4</w:t>
            </w:r>
            <w:r>
              <w:t>分。</w:t>
            </w:r>
            <w:r>
              <w:rPr>
                <w:rFonts w:hint="eastAsia"/>
              </w:rPr>
              <w:t>注：投标时需提供《承诺函》并加盖投标人单位公章，无提供或其他均不得分。</w:t>
            </w:r>
          </w:p>
        </w:tc>
      </w:tr>
      <w:tr w14:paraId="6D0DC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 w:type="dxa"/>
            <w:vMerge w:val="continue"/>
            <w:vAlign w:val="center"/>
          </w:tcPr>
          <w:p w14:paraId="4474CD24">
            <w:pPr>
              <w:jc w:val="center"/>
            </w:pPr>
          </w:p>
        </w:tc>
        <w:tc>
          <w:tcPr>
            <w:tcW w:w="2307" w:type="dxa"/>
            <w:vAlign w:val="center"/>
          </w:tcPr>
          <w:p w14:paraId="4FEEBA64">
            <w:pPr>
              <w:jc w:val="center"/>
              <w:rPr>
                <w:rFonts w:hint="eastAsia" w:ascii="宋体" w:hAnsi="宋体"/>
              </w:rPr>
            </w:pPr>
            <w:r>
              <w:rPr>
                <w:rFonts w:ascii="宋体" w:hAnsi="宋体"/>
              </w:rPr>
              <w:t>项目经验</w:t>
            </w:r>
          </w:p>
          <w:p w14:paraId="14715FC7">
            <w:pPr>
              <w:jc w:val="center"/>
              <w:rPr>
                <w:rFonts w:hint="eastAsia" w:ascii="宋体" w:hAnsi="宋体"/>
              </w:rPr>
            </w:pPr>
            <w:r>
              <w:rPr>
                <w:rFonts w:ascii="宋体" w:hAnsi="宋体"/>
              </w:rPr>
              <w:t xml:space="preserve"> (</w:t>
            </w:r>
            <w:r>
              <w:rPr>
                <w:rFonts w:hint="eastAsia" w:ascii="宋体" w:hAnsi="宋体"/>
              </w:rPr>
              <w:t>6</w:t>
            </w:r>
            <w:r>
              <w:rPr>
                <w:rFonts w:ascii="宋体" w:hAnsi="宋体"/>
              </w:rPr>
              <w:t>.0分)</w:t>
            </w:r>
          </w:p>
        </w:tc>
        <w:tc>
          <w:tcPr>
            <w:tcW w:w="5076" w:type="dxa"/>
          </w:tcPr>
          <w:p w14:paraId="5C7419C7">
            <w:pPr>
              <w:ind w:left="200"/>
            </w:pPr>
            <w:r>
              <w:t>1、20</w:t>
            </w:r>
            <w:r>
              <w:rPr>
                <w:rFonts w:hint="eastAsia"/>
              </w:rPr>
              <w:t>22</w:t>
            </w:r>
            <w:r>
              <w:t>年1月1日至今（以合同签订日期为准），投标人承担过</w:t>
            </w:r>
            <w:r>
              <w:rPr>
                <w:rFonts w:hint="eastAsia"/>
              </w:rPr>
              <w:t>同类</w:t>
            </w:r>
            <w:r>
              <w:rPr>
                <w:rFonts w:hint="eastAsia" w:ascii="宋体" w:hAnsi="宋体" w:cs="宋体"/>
                <w:szCs w:val="21"/>
              </w:rPr>
              <w:t>项目拍摄或制作（同类项目指</w:t>
            </w:r>
            <w:r>
              <w:rPr>
                <w:rFonts w:hint="eastAsia"/>
              </w:rPr>
              <w:t>宣传片、汇报片、微电影、短视频</w:t>
            </w:r>
            <w:r>
              <w:rPr>
                <w:rFonts w:hint="eastAsia" w:ascii="宋体" w:hAnsi="宋体" w:cs="宋体"/>
                <w:szCs w:val="21"/>
              </w:rPr>
              <w:t>）</w:t>
            </w:r>
            <w:r>
              <w:t>，每提供一个合同得</w:t>
            </w:r>
            <w:r>
              <w:rPr>
                <w:rFonts w:hint="eastAsia"/>
              </w:rPr>
              <w:t>2</w:t>
            </w:r>
            <w:r>
              <w:t>分，本项最高得分</w:t>
            </w:r>
            <w:r>
              <w:rPr>
                <w:rFonts w:hint="eastAsia"/>
              </w:rPr>
              <w:t>6</w:t>
            </w:r>
            <w:r>
              <w:t>分。注：</w:t>
            </w:r>
            <w:r>
              <w:rPr>
                <w:rFonts w:hint="eastAsia" w:ascii="宋体" w:hAnsi="宋体" w:cs="宋体"/>
                <w:szCs w:val="21"/>
                <w:lang w:val="zh-CN"/>
              </w:rPr>
              <w:t>（1）</w:t>
            </w:r>
            <w:r>
              <w:rPr>
                <w:rFonts w:hint="eastAsia" w:ascii="宋体" w:hAnsi="宋体" w:cs="宋体"/>
                <w:szCs w:val="21"/>
              </w:rPr>
              <w:t>需提供合同复印件和</w:t>
            </w:r>
            <w:r>
              <w:rPr>
                <w:rFonts w:hint="eastAsia" w:ascii="宋体" w:hAnsi="宋体" w:cs="宋体"/>
                <w:szCs w:val="21"/>
                <w:lang w:val="zh-CN"/>
              </w:rPr>
              <w:t>验收报告复印件，</w:t>
            </w:r>
            <w:r>
              <w:rPr>
                <w:rFonts w:hint="eastAsia" w:ascii="宋体" w:hAnsi="宋体" w:cs="宋体"/>
                <w:szCs w:val="21"/>
              </w:rPr>
              <w:t>合同如未能体现视频拍摄或制作项目，提供甲方出具的证明文件。</w:t>
            </w:r>
            <w:r>
              <w:rPr>
                <w:rFonts w:hint="eastAsia" w:ascii="宋体" w:hAnsi="宋体" w:cs="宋体"/>
                <w:szCs w:val="21"/>
                <w:lang w:val="zh-CN"/>
              </w:rPr>
              <w:t>（2）与同一客户签订多项合同的，只计算一次得分不重复计算。</w:t>
            </w:r>
          </w:p>
        </w:tc>
      </w:tr>
      <w:tr w14:paraId="7C4744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2" w:type="dxa"/>
            <w:vMerge w:val="continue"/>
            <w:vAlign w:val="center"/>
          </w:tcPr>
          <w:p w14:paraId="43D3C5BB">
            <w:pPr>
              <w:jc w:val="center"/>
            </w:pPr>
          </w:p>
        </w:tc>
        <w:tc>
          <w:tcPr>
            <w:tcW w:w="2307" w:type="dxa"/>
            <w:vAlign w:val="center"/>
          </w:tcPr>
          <w:p w14:paraId="2E556D7A">
            <w:pPr>
              <w:jc w:val="center"/>
              <w:rPr>
                <w:rFonts w:hint="eastAsia" w:ascii="宋体" w:hAnsi="宋体"/>
              </w:rPr>
            </w:pPr>
            <w:r>
              <w:rPr>
                <w:rFonts w:ascii="宋体" w:hAnsi="宋体"/>
              </w:rPr>
              <w:t>项目负责人 (1人) (</w:t>
            </w:r>
            <w:r>
              <w:rPr>
                <w:rFonts w:hint="eastAsia" w:ascii="宋体" w:hAnsi="宋体"/>
              </w:rPr>
              <w:t>6</w:t>
            </w:r>
            <w:r>
              <w:rPr>
                <w:rFonts w:ascii="宋体" w:hAnsi="宋体"/>
              </w:rPr>
              <w:t>.0分)</w:t>
            </w:r>
          </w:p>
        </w:tc>
        <w:tc>
          <w:tcPr>
            <w:tcW w:w="5076" w:type="dxa"/>
          </w:tcPr>
          <w:p w14:paraId="1E55B34B">
            <w:pPr>
              <w:jc w:val="left"/>
            </w:pPr>
            <w:r>
              <w:t>1、具有</w:t>
            </w:r>
            <w:r>
              <w:rPr>
                <w:rFonts w:hint="eastAsia"/>
              </w:rPr>
              <w:t>5</w:t>
            </w:r>
            <w:r>
              <w:t>年</w:t>
            </w:r>
            <w:r>
              <w:rPr>
                <w:rFonts w:hint="eastAsia"/>
              </w:rPr>
              <w:t>及</w:t>
            </w:r>
            <w:r>
              <w:t>以上新媒体宣传视频制作相关从业经验，得</w:t>
            </w:r>
            <w:r>
              <w:rPr>
                <w:rFonts w:hint="eastAsia"/>
              </w:rPr>
              <w:t>3</w:t>
            </w:r>
            <w:r>
              <w:t>分；</w:t>
            </w:r>
            <w:r>
              <w:rPr>
                <w:rFonts w:hint="eastAsia"/>
              </w:rPr>
              <w:t>3年及以上得2分，</w:t>
            </w:r>
            <w:r>
              <w:t>不足</w:t>
            </w:r>
            <w:r>
              <w:rPr>
                <w:rFonts w:hint="eastAsia"/>
              </w:rPr>
              <w:t>3</w:t>
            </w:r>
            <w:r>
              <w:t>年</w:t>
            </w:r>
            <w:r>
              <w:rPr>
                <w:rFonts w:hint="eastAsia"/>
              </w:rPr>
              <w:t>（不含）不得分</w:t>
            </w:r>
            <w:r>
              <w:t xml:space="preserve">。 </w:t>
            </w:r>
          </w:p>
          <w:p w14:paraId="58CC1325">
            <w:pPr>
              <w:jc w:val="left"/>
            </w:pPr>
            <w:r>
              <w:rPr>
                <w:rFonts w:hint="eastAsia"/>
              </w:rPr>
              <w:t>注：</w:t>
            </w:r>
            <w:r>
              <w:t>需提供</w:t>
            </w:r>
            <w:r>
              <w:rPr>
                <w:rFonts w:hint="eastAsia"/>
              </w:rPr>
              <w:t>项目负责人工作经验年限相同的社保证明相关证明材料，并加盖投标人单位公章，不同单位的工作服务年限可累计。</w:t>
            </w:r>
          </w:p>
          <w:p w14:paraId="2807568C">
            <w:pPr>
              <w:jc w:val="left"/>
            </w:pPr>
            <w:r>
              <w:t>2、项目负责人作为主创人员（主创人员指：导演、编剧/编辑、制片人）参与制作</w:t>
            </w:r>
            <w:r>
              <w:rPr>
                <w:rFonts w:hint="eastAsia"/>
              </w:rPr>
              <w:t>制作过同类作品的（同类项目指：宣传片、汇报片、微电影、短视频）</w:t>
            </w:r>
            <w:r>
              <w:t>，</w:t>
            </w:r>
            <w:r>
              <w:rPr>
                <w:rFonts w:hint="eastAsia"/>
              </w:rPr>
              <w:t>每具备一个</w:t>
            </w:r>
            <w:r>
              <w:t>得</w:t>
            </w:r>
            <w:r>
              <w:rPr>
                <w:rFonts w:hint="eastAsia"/>
              </w:rPr>
              <w:t>1</w:t>
            </w:r>
            <w:r>
              <w:t>分</w:t>
            </w:r>
            <w:r>
              <w:rPr>
                <w:rFonts w:hint="eastAsia"/>
              </w:rPr>
              <w:t>，最高得3分</w:t>
            </w:r>
            <w:r>
              <w:t xml:space="preserve">。 </w:t>
            </w:r>
          </w:p>
          <w:p w14:paraId="3C90061C">
            <w:pPr>
              <w:jc w:val="left"/>
            </w:pPr>
            <w:r>
              <w:rPr>
                <w:rFonts w:hint="eastAsia"/>
              </w:rPr>
              <w:t>注：</w:t>
            </w:r>
            <w:r>
              <w:t>需提供</w:t>
            </w:r>
            <w:r>
              <w:rPr>
                <w:rFonts w:hint="eastAsia"/>
              </w:rPr>
              <w:t>同类作品合同或协议。（如合同或协议不能体现项目负责人名字的，须另外提供甲方单位盖章的证明材料。）</w:t>
            </w:r>
          </w:p>
        </w:tc>
      </w:tr>
      <w:tr w14:paraId="105E4F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1" w:hRule="atLeast"/>
          <w:jc w:val="center"/>
        </w:trPr>
        <w:tc>
          <w:tcPr>
            <w:tcW w:w="922" w:type="dxa"/>
            <w:vMerge w:val="continue"/>
            <w:vAlign w:val="center"/>
          </w:tcPr>
          <w:p w14:paraId="5518E4C9"/>
        </w:tc>
        <w:tc>
          <w:tcPr>
            <w:tcW w:w="2307" w:type="dxa"/>
            <w:vAlign w:val="center"/>
          </w:tcPr>
          <w:p w14:paraId="370DCF1B">
            <w:pPr>
              <w:jc w:val="center"/>
              <w:rPr>
                <w:rFonts w:hint="eastAsia" w:ascii="宋体" w:hAnsi="宋体"/>
              </w:rPr>
            </w:pPr>
            <w:r>
              <w:rPr>
                <w:rFonts w:ascii="宋体" w:hAnsi="宋体"/>
              </w:rPr>
              <w:t>拟投入项目团队情况</w:t>
            </w:r>
          </w:p>
          <w:p w14:paraId="27CF21B7">
            <w:pPr>
              <w:jc w:val="center"/>
              <w:rPr>
                <w:rFonts w:hint="eastAsia" w:ascii="宋体" w:hAnsi="宋体"/>
              </w:rPr>
            </w:pPr>
            <w:r>
              <w:rPr>
                <w:rFonts w:ascii="宋体" w:hAnsi="宋体"/>
              </w:rPr>
              <w:t>(</w:t>
            </w:r>
            <w:r>
              <w:rPr>
                <w:rFonts w:hint="eastAsia" w:ascii="宋体" w:hAnsi="宋体"/>
              </w:rPr>
              <w:t>10</w:t>
            </w:r>
            <w:r>
              <w:rPr>
                <w:rFonts w:ascii="宋体" w:hAnsi="宋体"/>
              </w:rPr>
              <w:t>.0分)</w:t>
            </w:r>
          </w:p>
        </w:tc>
        <w:tc>
          <w:tcPr>
            <w:tcW w:w="5076" w:type="dxa"/>
          </w:tcPr>
          <w:p w14:paraId="504D3A54">
            <w:pPr>
              <w:jc w:val="left"/>
            </w:pPr>
            <w:r>
              <w:t>拟投入本项目的工作人员团队（项目负责人除外）： 1、具有</w:t>
            </w:r>
            <w:r>
              <w:rPr>
                <w:rFonts w:hint="eastAsia"/>
              </w:rPr>
              <w:t>2</w:t>
            </w:r>
            <w:r>
              <w:t>年</w:t>
            </w:r>
            <w:r>
              <w:rPr>
                <w:rFonts w:hint="eastAsia"/>
              </w:rPr>
              <w:t>及</w:t>
            </w:r>
            <w:r>
              <w:t>以上新媒体宣传视频制作相关从业经验，每提供1人</w:t>
            </w:r>
            <w:r>
              <w:rPr>
                <w:rFonts w:hint="eastAsia"/>
              </w:rPr>
              <w:t>，</w:t>
            </w:r>
            <w:r>
              <w:t>得</w:t>
            </w:r>
            <w:r>
              <w:rPr>
                <w:rFonts w:hint="eastAsia"/>
              </w:rPr>
              <w:t>2</w:t>
            </w:r>
            <w:r>
              <w:t xml:space="preserve"> 分</w:t>
            </w:r>
            <w:r>
              <w:rPr>
                <w:rFonts w:hint="eastAsia"/>
              </w:rPr>
              <w:t>；</w:t>
            </w:r>
            <w:r>
              <w:t>具有</w:t>
            </w:r>
            <w:r>
              <w:rPr>
                <w:rFonts w:hint="eastAsia"/>
              </w:rPr>
              <w:t>3年及</w:t>
            </w:r>
            <w:r>
              <w:t>以上新媒体宣传视频制作相关从业经验每提供1人</w:t>
            </w:r>
            <w:r>
              <w:rPr>
                <w:rFonts w:hint="eastAsia"/>
              </w:rPr>
              <w:t>，</w:t>
            </w:r>
            <w:r>
              <w:t>得</w:t>
            </w:r>
            <w:r>
              <w:rPr>
                <w:rFonts w:hint="eastAsia"/>
              </w:rPr>
              <w:t>3</w:t>
            </w:r>
            <w:r>
              <w:t xml:space="preserve"> 分</w:t>
            </w:r>
            <w:r>
              <w:rPr>
                <w:rFonts w:hint="eastAsia"/>
              </w:rPr>
              <w:t>；，本项累计</w:t>
            </w:r>
            <w:r>
              <w:t>最高得</w:t>
            </w:r>
            <w:r>
              <w:rPr>
                <w:rFonts w:hint="eastAsia"/>
              </w:rPr>
              <w:t>10</w:t>
            </w:r>
            <w:r>
              <w:t>分。</w:t>
            </w:r>
          </w:p>
          <w:p w14:paraId="3DC381FB">
            <w:pPr>
              <w:jc w:val="left"/>
            </w:pPr>
            <w:r>
              <w:rPr>
                <w:rFonts w:hint="eastAsia"/>
              </w:rPr>
              <w:t>注：</w:t>
            </w:r>
            <w:r>
              <w:t>需提供</w:t>
            </w:r>
            <w:r>
              <w:rPr>
                <w:rFonts w:hint="eastAsia"/>
              </w:rPr>
              <w:t>上述人员新媒体宣传视频制作项目的合同或协议（如合同或协议不能体现项目负责人名字的，须另外提供甲方单位盖章的证明材料。），</w:t>
            </w:r>
            <w:r>
              <w:t>及</w:t>
            </w:r>
            <w:r>
              <w:rPr>
                <w:rFonts w:hint="eastAsia"/>
              </w:rPr>
              <w:t>上述人员工作经验年限相同的社保证明相关证明材料，并加盖投标人单位公章，不同单位的工作服务年限可累计。</w:t>
            </w:r>
          </w:p>
        </w:tc>
      </w:tr>
      <w:tr w14:paraId="0663E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1" w:hRule="atLeast"/>
          <w:jc w:val="center"/>
        </w:trPr>
        <w:tc>
          <w:tcPr>
            <w:tcW w:w="922" w:type="dxa"/>
            <w:vMerge w:val="continue"/>
            <w:vAlign w:val="center"/>
          </w:tcPr>
          <w:p w14:paraId="0D1803E0">
            <w:pPr>
              <w:jc w:val="left"/>
            </w:pPr>
          </w:p>
        </w:tc>
        <w:tc>
          <w:tcPr>
            <w:tcW w:w="2307" w:type="dxa"/>
            <w:vAlign w:val="center"/>
          </w:tcPr>
          <w:p w14:paraId="6D594E5C">
            <w:pPr>
              <w:jc w:val="center"/>
              <w:rPr>
                <w:rFonts w:hint="eastAsia" w:ascii="宋体" w:hAnsi="宋体"/>
              </w:rPr>
            </w:pPr>
            <w:r>
              <w:rPr>
                <w:rFonts w:ascii="宋体" w:hAnsi="宋体"/>
              </w:rPr>
              <w:t>拟投入设备</w:t>
            </w:r>
          </w:p>
          <w:p w14:paraId="16202326">
            <w:pPr>
              <w:jc w:val="center"/>
              <w:rPr>
                <w:rFonts w:hint="eastAsia" w:ascii="宋体" w:hAnsi="宋体"/>
              </w:rPr>
            </w:pPr>
            <w:r>
              <w:rPr>
                <w:rFonts w:ascii="宋体" w:hAnsi="宋体"/>
              </w:rPr>
              <w:t xml:space="preserve"> (</w:t>
            </w:r>
            <w:r>
              <w:rPr>
                <w:rFonts w:hint="eastAsia" w:ascii="宋体" w:hAnsi="宋体"/>
              </w:rPr>
              <w:t>14</w:t>
            </w:r>
            <w:r>
              <w:rPr>
                <w:rFonts w:ascii="宋体" w:hAnsi="宋体"/>
              </w:rPr>
              <w:t>.0分)</w:t>
            </w:r>
          </w:p>
        </w:tc>
        <w:tc>
          <w:tcPr>
            <w:tcW w:w="5076" w:type="dxa"/>
          </w:tcPr>
          <w:p w14:paraId="69F128DE">
            <w:pPr>
              <w:jc w:val="left"/>
            </w:pPr>
            <w:r>
              <w:rPr>
                <w:rFonts w:hint="eastAsia"/>
              </w:rPr>
              <w:t>根据需求书“五、服务内容”中的服务要求以及第七条中的第四条（设备要求），</w:t>
            </w:r>
            <w:r>
              <w:t>1、投标人具有满足4K视频拍摄制作的设备：① 4K摄影摄像机（不少于2台）；②航拍设备（支持4K拍摄）</w:t>
            </w:r>
            <w:r>
              <w:rPr>
                <w:rFonts w:hint="eastAsia"/>
              </w:rPr>
              <w:t>（不少于1台）</w:t>
            </w:r>
            <w:r>
              <w:t>；③4K视频后期处理电脑设备（不少于2台）；④大容量数据存储服务器、硬盘、阵列（可满足数据总存储量不少于</w:t>
            </w:r>
            <w:r>
              <w:rPr>
                <w:rFonts w:hint="eastAsia"/>
              </w:rPr>
              <w:t>4</w:t>
            </w:r>
            <w:r>
              <w:t>0T）。</w:t>
            </w:r>
            <w:r>
              <w:rPr>
                <w:rFonts w:hint="eastAsia"/>
              </w:rPr>
              <w:t>每提供上述任意一类设备</w:t>
            </w:r>
            <w:r>
              <w:t>得</w:t>
            </w:r>
            <w:r>
              <w:rPr>
                <w:rFonts w:hint="eastAsia"/>
              </w:rPr>
              <w:t>2</w:t>
            </w:r>
            <w:r>
              <w:t>分，</w:t>
            </w:r>
            <w:r>
              <w:rPr>
                <w:rFonts w:hint="eastAsia"/>
              </w:rPr>
              <w:t>最高得8</w:t>
            </w:r>
            <w:r>
              <w:t xml:space="preserve">分。 </w:t>
            </w:r>
          </w:p>
          <w:p w14:paraId="63B9B219">
            <w:pPr>
              <w:jc w:val="left"/>
            </w:pPr>
            <w:r>
              <w:t>注：提供设备照片，同时提供设备购买</w:t>
            </w:r>
            <w:r>
              <w:rPr>
                <w:rFonts w:hint="eastAsia"/>
              </w:rPr>
              <w:t>凭证</w:t>
            </w:r>
            <w:r>
              <w:t>，或设备租赁合同（</w:t>
            </w:r>
            <w:r>
              <w:rPr>
                <w:rFonts w:hint="eastAsia"/>
              </w:rPr>
              <w:t>租赁期限需覆盖本项目服务期限或提供承诺函承诺租赁期限将会覆盖本项目服务期限</w:t>
            </w:r>
            <w:r>
              <w:t>）复印件。同一类设备具备多台的，只计</w:t>
            </w:r>
            <w:r>
              <w:rPr>
                <w:rFonts w:hint="eastAsia"/>
              </w:rPr>
              <w:t>算</w:t>
            </w:r>
            <w:r>
              <w:t>一次</w:t>
            </w:r>
            <w:r>
              <w:rPr>
                <w:rFonts w:hint="eastAsia"/>
              </w:rPr>
              <w:t>得分不重复计算</w:t>
            </w:r>
            <w:r>
              <w:t>。</w:t>
            </w:r>
          </w:p>
          <w:p w14:paraId="65F26709">
            <w:pPr>
              <w:jc w:val="left"/>
            </w:pPr>
            <w:r>
              <w:t>2、投标人具有增强视听效果的辅助设备：脚架、</w:t>
            </w:r>
            <w:r>
              <w:rPr>
                <w:rFonts w:hint="eastAsia"/>
              </w:rPr>
              <w:t>云台、全焦段镜头</w:t>
            </w:r>
            <w:r>
              <w:t>、</w:t>
            </w:r>
            <w:r>
              <w:rPr>
                <w:rFonts w:hint="eastAsia"/>
              </w:rPr>
              <w:t>滑轨</w:t>
            </w:r>
            <w:r>
              <w:t>、稳定器、录音设备，</w:t>
            </w:r>
            <w:r>
              <w:rPr>
                <w:rFonts w:hint="eastAsia"/>
              </w:rPr>
              <w:t>每提供上述任意一类设备</w:t>
            </w:r>
            <w:r>
              <w:t>得</w:t>
            </w:r>
            <w:r>
              <w:rPr>
                <w:rFonts w:hint="eastAsia"/>
              </w:rPr>
              <w:t>1</w:t>
            </w:r>
            <w:r>
              <w:t>分，</w:t>
            </w:r>
            <w:r>
              <w:rPr>
                <w:rFonts w:hint="eastAsia"/>
              </w:rPr>
              <w:t>最高得6</w:t>
            </w:r>
            <w:r>
              <w:t>分。</w:t>
            </w:r>
          </w:p>
          <w:p w14:paraId="671AB378">
            <w:pPr>
              <w:jc w:val="left"/>
            </w:pPr>
            <w:r>
              <w:t>注：提供设备照片，同时提供设备购买</w:t>
            </w:r>
            <w:r>
              <w:rPr>
                <w:rFonts w:hint="eastAsia"/>
              </w:rPr>
              <w:t>凭证</w:t>
            </w:r>
            <w:r>
              <w:t>，或设备租赁合同（</w:t>
            </w:r>
            <w:r>
              <w:rPr>
                <w:rFonts w:hint="eastAsia"/>
              </w:rPr>
              <w:t>租赁期限需覆盖本项目服务期限或提供承诺函承诺租赁期限将会覆盖本项目服务期限</w:t>
            </w:r>
            <w:r>
              <w:t>）复印件。同一类设备具备多台的，只计</w:t>
            </w:r>
            <w:r>
              <w:rPr>
                <w:rFonts w:hint="eastAsia"/>
              </w:rPr>
              <w:t>算</w:t>
            </w:r>
            <w:r>
              <w:t>一次</w:t>
            </w:r>
            <w:r>
              <w:rPr>
                <w:rFonts w:hint="eastAsia"/>
              </w:rPr>
              <w:t>得分不重复计算</w:t>
            </w:r>
            <w:r>
              <w:t>。</w:t>
            </w:r>
          </w:p>
        </w:tc>
      </w:tr>
      <w:tr w14:paraId="55598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19" w:hRule="atLeast"/>
          <w:jc w:val="center"/>
        </w:trPr>
        <w:tc>
          <w:tcPr>
            <w:tcW w:w="922" w:type="dxa"/>
            <w:vAlign w:val="center"/>
          </w:tcPr>
          <w:p w14:paraId="425F653A">
            <w:pPr>
              <w:jc w:val="center"/>
            </w:pPr>
            <w:r>
              <w:t>报价得分</w:t>
            </w:r>
          </w:p>
        </w:tc>
        <w:tc>
          <w:tcPr>
            <w:tcW w:w="2307" w:type="dxa"/>
            <w:vAlign w:val="center"/>
          </w:tcPr>
          <w:p w14:paraId="60BB3264">
            <w:pPr>
              <w:jc w:val="center"/>
              <w:rPr>
                <w:rFonts w:hint="eastAsia" w:ascii="宋体" w:hAnsi="宋体"/>
              </w:rPr>
            </w:pPr>
            <w:r>
              <w:rPr>
                <w:rFonts w:ascii="宋体" w:hAnsi="宋体"/>
              </w:rPr>
              <w:t>投标报价得分</w:t>
            </w:r>
          </w:p>
          <w:p w14:paraId="08891BBF">
            <w:pPr>
              <w:jc w:val="center"/>
            </w:pPr>
            <w:r>
              <w:rPr>
                <w:rFonts w:ascii="宋体" w:hAnsi="宋体"/>
              </w:rPr>
              <w:t xml:space="preserve"> (</w:t>
            </w:r>
            <w:r>
              <w:rPr>
                <w:rFonts w:hint="eastAsia" w:ascii="宋体" w:hAnsi="宋体"/>
              </w:rPr>
              <w:t>30</w:t>
            </w:r>
            <w:r>
              <w:rPr>
                <w:rFonts w:ascii="宋体" w:hAnsi="宋体"/>
              </w:rPr>
              <w:t>.0分)</w:t>
            </w:r>
          </w:p>
        </w:tc>
        <w:tc>
          <w:tcPr>
            <w:tcW w:w="5076" w:type="dxa"/>
          </w:tcPr>
          <w:p w14:paraId="0EFA13B4">
            <w:pPr>
              <w:jc w:val="left"/>
            </w:pPr>
            <w:r>
              <w:rPr>
                <w:rFonts w:hint="eastAsia"/>
              </w:rPr>
              <w:t>价格分应当采用低价优先法计算，即满足招标文件要求且投标价格最低的</w:t>
            </w:r>
          </w:p>
          <w:p w14:paraId="2AD2A567">
            <w:pPr>
              <w:jc w:val="left"/>
            </w:pPr>
            <w:r>
              <w:rPr>
                <w:rFonts w:hint="eastAsia"/>
              </w:rPr>
              <w:t>投标报价为评标基准价，其价格分为满分（最低报价不是中标的唯一依据</w:t>
            </w:r>
          </w:p>
          <w:p w14:paraId="6E201F0E">
            <w:pPr>
              <w:jc w:val="left"/>
            </w:pPr>
            <w:r>
              <w:rPr>
                <w:rFonts w:hint="eastAsia"/>
              </w:rPr>
              <w:t>）。其他投标人的价格分统一按照下列公式计算：</w:t>
            </w:r>
            <w:r>
              <w:t xml:space="preserve"> </w:t>
            </w:r>
            <w:r>
              <w:rPr>
                <w:rFonts w:hint="eastAsia"/>
              </w:rPr>
              <w:t>投标报价得分</w:t>
            </w:r>
            <w:r>
              <w:t>=(</w:t>
            </w:r>
            <w:r>
              <w:rPr>
                <w:rFonts w:hint="eastAsia"/>
              </w:rPr>
              <w:t>评标基</w:t>
            </w:r>
          </w:p>
          <w:p w14:paraId="61545698">
            <w:pPr>
              <w:jc w:val="left"/>
            </w:pPr>
            <w:r>
              <w:rPr>
                <w:rFonts w:hint="eastAsia"/>
              </w:rPr>
              <w:t>准价／投标报价</w:t>
            </w:r>
            <w:r>
              <w:t>)</w:t>
            </w:r>
            <w:r>
              <w:rPr>
                <w:rFonts w:hint="eastAsia"/>
              </w:rPr>
              <w:t>×价格分</w:t>
            </w:r>
            <w:r>
              <w:t xml:space="preserve"> </w:t>
            </w:r>
          </w:p>
          <w:p w14:paraId="7B8ADE74">
            <w:pPr>
              <w:jc w:val="left"/>
            </w:pPr>
            <w:r>
              <w:rPr>
                <w:rFonts w:hint="eastAsia"/>
              </w:rPr>
              <w:t>备注：</w:t>
            </w:r>
            <w:r>
              <w:t xml:space="preserve"> </w:t>
            </w:r>
          </w:p>
          <w:p w14:paraId="19851529">
            <w:pPr>
              <w:jc w:val="left"/>
            </w:pPr>
            <w:r>
              <w:t>1</w:t>
            </w:r>
            <w:r>
              <w:rPr>
                <w:rFonts w:hint="eastAsia"/>
              </w:rPr>
              <w:t>、投标报价得分四舍五入后，小数点后</w:t>
            </w:r>
          </w:p>
          <w:p w14:paraId="218973AE">
            <w:pPr>
              <w:jc w:val="left"/>
            </w:pPr>
            <w:r>
              <w:rPr>
                <w:rFonts w:hint="eastAsia"/>
              </w:rPr>
              <w:t>保留两位有效数；</w:t>
            </w:r>
            <w:r>
              <w:t xml:space="preserve"> </w:t>
            </w:r>
          </w:p>
          <w:p w14:paraId="31278D03">
            <w:pPr>
              <w:jc w:val="left"/>
            </w:pPr>
            <w:r>
              <w:t>2</w:t>
            </w:r>
            <w:r>
              <w:rPr>
                <w:rFonts w:hint="eastAsia"/>
              </w:rPr>
              <w:t>、投标报价以“</w:t>
            </w:r>
            <w:r>
              <w:t>1-</w:t>
            </w:r>
            <w:r>
              <w:rPr>
                <w:rFonts w:hint="eastAsia"/>
              </w:rPr>
              <w:t>下浮率”进行价格评分的计算。</w:t>
            </w:r>
          </w:p>
        </w:tc>
      </w:tr>
    </w:tbl>
    <w:p w14:paraId="6754030B"/>
    <w:p w14:paraId="1D05AE37">
      <w:pPr>
        <w:pStyle w:val="7"/>
      </w:pPr>
    </w:p>
    <w:p w14:paraId="7DF93910">
      <w:pPr>
        <w:widowControl/>
        <w:jc w:val="center"/>
        <w:outlineLvl w:val="9"/>
        <w:rPr>
          <w:rFonts w:hint="eastAsia" w:ascii="宋体" w:hAnsi="宋体" w:cs="宋体"/>
          <w:b/>
          <w:bCs/>
          <w:sz w:val="44"/>
          <w:szCs w:val="44"/>
          <w:lang w:val="zh-CN"/>
        </w:rPr>
      </w:pPr>
    </w:p>
    <w:p w14:paraId="5D0F06C8">
      <w:pPr>
        <w:widowControl/>
        <w:jc w:val="center"/>
        <w:outlineLvl w:val="9"/>
        <w:rPr>
          <w:rFonts w:hint="eastAsia" w:ascii="宋体" w:hAnsi="宋体" w:cs="宋体"/>
          <w:b/>
          <w:bCs/>
          <w:sz w:val="44"/>
          <w:szCs w:val="44"/>
          <w:lang w:val="zh-CN"/>
        </w:rPr>
      </w:pPr>
    </w:p>
    <w:p w14:paraId="2264C01E">
      <w:pPr>
        <w:widowControl/>
        <w:jc w:val="both"/>
        <w:outlineLvl w:val="9"/>
        <w:rPr>
          <w:rFonts w:hint="eastAsia" w:ascii="宋体" w:hAnsi="宋体" w:cs="宋体"/>
          <w:b/>
          <w:bCs/>
          <w:sz w:val="44"/>
          <w:szCs w:val="44"/>
          <w:lang w:val="zh-CN"/>
        </w:rPr>
      </w:pPr>
    </w:p>
    <w:p w14:paraId="0E2B0F86">
      <w:pPr>
        <w:widowControl/>
        <w:jc w:val="center"/>
        <w:outlineLvl w:val="0"/>
        <w:rPr>
          <w:rFonts w:hint="eastAsia" w:ascii="宋体" w:hAnsi="宋体" w:cs="宋体"/>
          <w:b/>
          <w:bCs/>
          <w:sz w:val="44"/>
          <w:szCs w:val="44"/>
          <w:lang w:val="zh-CN"/>
        </w:rPr>
      </w:pPr>
      <w:r>
        <w:rPr>
          <w:rFonts w:hint="eastAsia" w:ascii="宋体" w:hAnsi="宋体" w:cs="宋体"/>
          <w:b/>
          <w:bCs/>
          <w:sz w:val="44"/>
          <w:szCs w:val="44"/>
          <w:lang w:val="zh-CN"/>
        </w:rPr>
        <w:t>第三章 响应文件附件</w:t>
      </w:r>
    </w:p>
    <w:p w14:paraId="24FF4C3E">
      <w:pPr>
        <w:pStyle w:val="19"/>
        <w:spacing w:before="0" w:after="0"/>
        <w:outlineLvl w:val="1"/>
        <w:rPr>
          <w:rFonts w:hint="eastAsia" w:ascii="宋体" w:hAnsi="宋体" w:cs="宋体"/>
          <w:lang w:val="zh-CN"/>
        </w:rPr>
      </w:pPr>
      <w:r>
        <w:rPr>
          <w:rFonts w:hint="eastAsia" w:ascii="宋体" w:hAnsi="宋体" w:cs="宋体"/>
        </w:rPr>
        <w:t>响应文件封面参考</w:t>
      </w:r>
    </w:p>
    <w:tbl>
      <w:tblPr>
        <w:tblStyle w:val="22"/>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8"/>
      </w:tblGrid>
      <w:tr w14:paraId="00A1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7" w:hRule="atLeast"/>
          <w:jc w:val="center"/>
        </w:trPr>
        <w:tc>
          <w:tcPr>
            <w:tcW w:w="9018" w:type="dxa"/>
          </w:tcPr>
          <w:p w14:paraId="711CA1B7">
            <w:pPr>
              <w:pStyle w:val="10"/>
              <w:spacing w:line="360" w:lineRule="auto"/>
              <w:ind w:firstLine="482" w:firstLineChars="150"/>
              <w:rPr>
                <w:rFonts w:hint="eastAsia" w:ascii="宋体" w:hAnsi="宋体" w:cs="宋体"/>
                <w:b/>
                <w:sz w:val="32"/>
              </w:rPr>
            </w:pPr>
          </w:p>
          <w:p w14:paraId="7274D659">
            <w:pPr>
              <w:pStyle w:val="10"/>
              <w:spacing w:line="360" w:lineRule="auto"/>
              <w:rPr>
                <w:rFonts w:hint="eastAsia" w:ascii="宋体" w:hAnsi="宋体" w:cs="宋体"/>
                <w:b/>
                <w:sz w:val="72"/>
                <w:szCs w:val="72"/>
              </w:rPr>
            </w:pPr>
          </w:p>
          <w:p w14:paraId="075011B1">
            <w:pPr>
              <w:pStyle w:val="10"/>
              <w:spacing w:line="360" w:lineRule="auto"/>
              <w:ind w:firstLine="31"/>
              <w:jc w:val="center"/>
              <w:rPr>
                <w:rFonts w:hint="eastAsia" w:ascii="宋体" w:hAnsi="宋体" w:cs="宋体"/>
                <w:b/>
                <w:sz w:val="72"/>
                <w:szCs w:val="72"/>
              </w:rPr>
            </w:pPr>
            <w:r>
              <w:rPr>
                <w:rFonts w:hint="eastAsia" w:ascii="宋体" w:hAnsi="宋体" w:cs="宋体"/>
                <w:b/>
                <w:sz w:val="72"/>
                <w:szCs w:val="72"/>
              </w:rPr>
              <w:t>响 应 文 件</w:t>
            </w:r>
          </w:p>
          <w:p w14:paraId="25C3626F">
            <w:pPr>
              <w:pStyle w:val="10"/>
              <w:spacing w:line="360" w:lineRule="auto"/>
              <w:ind w:firstLine="2091" w:firstLineChars="651"/>
              <w:rPr>
                <w:rFonts w:hint="eastAsia" w:ascii="宋体" w:hAnsi="宋体" w:cs="宋体"/>
                <w:b/>
                <w:sz w:val="32"/>
              </w:rPr>
            </w:pPr>
          </w:p>
          <w:p w14:paraId="53A3F977">
            <w:pPr>
              <w:pStyle w:val="10"/>
              <w:spacing w:line="360" w:lineRule="auto"/>
              <w:ind w:firstLine="643"/>
              <w:rPr>
                <w:rFonts w:hint="eastAsia" w:ascii="宋体" w:hAnsi="宋体" w:cs="宋体"/>
                <w:b/>
                <w:sz w:val="32"/>
              </w:rPr>
            </w:pPr>
          </w:p>
          <w:p w14:paraId="54A62C76">
            <w:pPr>
              <w:pStyle w:val="10"/>
              <w:spacing w:line="400" w:lineRule="exact"/>
              <w:rPr>
                <w:rFonts w:hint="eastAsia" w:ascii="宋体" w:hAnsi="宋体" w:cs="宋体"/>
                <w:b/>
                <w:sz w:val="28"/>
                <w:szCs w:val="28"/>
              </w:rPr>
            </w:pPr>
            <w:r>
              <w:rPr>
                <w:rFonts w:hint="eastAsia" w:ascii="宋体" w:hAnsi="宋体" w:cs="宋体"/>
                <w:b/>
                <w:sz w:val="28"/>
                <w:szCs w:val="28"/>
              </w:rPr>
              <w:t>项目编号：</w:t>
            </w:r>
          </w:p>
          <w:p w14:paraId="060489BB">
            <w:pPr>
              <w:ind w:left="1405" w:hanging="1405" w:hangingChars="500"/>
              <w:rPr>
                <w:rFonts w:hint="eastAsia" w:ascii="宋体" w:hAnsi="宋体" w:cs="宋体"/>
                <w:szCs w:val="21"/>
              </w:rPr>
            </w:pPr>
            <w:r>
              <w:rPr>
                <w:rFonts w:hint="eastAsia" w:ascii="宋体" w:hAnsi="宋体" w:cs="宋体"/>
                <w:b/>
                <w:sz w:val="28"/>
                <w:szCs w:val="28"/>
              </w:rPr>
              <w:t>项目名称：</w:t>
            </w:r>
            <w:r>
              <w:rPr>
                <w:rFonts w:hint="eastAsia" w:ascii="宋体" w:hAnsi="宋体" w:cs="宋体"/>
                <w:b/>
                <w:kern w:val="0"/>
                <w:sz w:val="28"/>
                <w:szCs w:val="28"/>
              </w:rPr>
              <w:t>2025-2026年度广东省肇庆监狱视频拍摄项目</w:t>
            </w:r>
          </w:p>
          <w:p w14:paraId="77247CC2">
            <w:pPr>
              <w:pStyle w:val="10"/>
              <w:spacing w:line="400" w:lineRule="exact"/>
              <w:rPr>
                <w:rFonts w:hint="eastAsia" w:ascii="宋体" w:hAnsi="宋体" w:cs="宋体"/>
                <w:b/>
                <w:sz w:val="28"/>
                <w:szCs w:val="28"/>
              </w:rPr>
            </w:pPr>
            <w:r>
              <w:rPr>
                <w:rFonts w:hint="eastAsia" w:ascii="宋体" w:hAnsi="宋体" w:cs="宋体"/>
                <w:b/>
                <w:sz w:val="28"/>
                <w:szCs w:val="28"/>
              </w:rPr>
              <w:t>供应商名称：</w:t>
            </w:r>
          </w:p>
          <w:p w14:paraId="4DD316A9">
            <w:pPr>
              <w:pStyle w:val="10"/>
              <w:spacing w:line="400" w:lineRule="exact"/>
              <w:rPr>
                <w:rFonts w:hint="eastAsia" w:ascii="宋体" w:hAnsi="宋体" w:cs="宋体"/>
                <w:b/>
                <w:sz w:val="28"/>
                <w:szCs w:val="28"/>
              </w:rPr>
            </w:pPr>
            <w:r>
              <w:rPr>
                <w:rFonts w:hint="eastAsia" w:ascii="宋体" w:hAnsi="宋体" w:cs="宋体"/>
                <w:b/>
                <w:sz w:val="28"/>
                <w:szCs w:val="28"/>
              </w:rPr>
              <w:t>供应商地址：</w:t>
            </w:r>
          </w:p>
          <w:p w14:paraId="361938B9">
            <w:pPr>
              <w:pStyle w:val="10"/>
              <w:spacing w:line="400" w:lineRule="exact"/>
              <w:ind w:firstLine="1028" w:firstLineChars="320"/>
              <w:rPr>
                <w:rFonts w:hint="eastAsia" w:ascii="宋体" w:hAnsi="宋体" w:cs="宋体"/>
                <w:b/>
                <w:sz w:val="32"/>
              </w:rPr>
            </w:pPr>
          </w:p>
        </w:tc>
      </w:tr>
    </w:tbl>
    <w:p w14:paraId="5BC93F4D">
      <w:pPr>
        <w:pStyle w:val="13"/>
        <w:rPr>
          <w:rStyle w:val="26"/>
          <w:rFonts w:hint="eastAsia" w:hAnsi="宋体" w:cs="宋体"/>
        </w:rPr>
      </w:pPr>
    </w:p>
    <w:p w14:paraId="528E5845">
      <w:pPr>
        <w:rPr>
          <w:rFonts w:hint="eastAsia" w:ascii="宋体" w:hAnsi="宋体" w:cs="宋体"/>
        </w:rPr>
      </w:pPr>
      <w:r>
        <w:rPr>
          <w:rFonts w:hint="eastAsia" w:ascii="宋体" w:hAnsi="宋体" w:cs="宋体"/>
        </w:rPr>
        <w:br w:type="page"/>
      </w:r>
    </w:p>
    <w:p w14:paraId="39DD3891">
      <w:pPr>
        <w:pStyle w:val="56"/>
        <w:ind w:firstLine="0" w:firstLineChars="0"/>
        <w:rPr>
          <w:rFonts w:hint="eastAsia" w:ascii="宋体" w:hAnsi="宋体" w:cs="宋体"/>
          <w:color w:val="000000"/>
        </w:rPr>
      </w:pPr>
    </w:p>
    <w:p w14:paraId="76CFE2EC">
      <w:pPr>
        <w:pStyle w:val="3"/>
        <w:spacing w:line="360" w:lineRule="auto"/>
        <w:jc w:val="center"/>
        <w:rPr>
          <w:rFonts w:hint="eastAsia" w:ascii="宋体" w:hAnsi="宋体" w:eastAsia="宋体" w:cs="宋体"/>
          <w:color w:val="000000"/>
        </w:rPr>
      </w:pPr>
      <w:r>
        <w:rPr>
          <w:rFonts w:hint="eastAsia" w:ascii="宋体" w:hAnsi="宋体" w:eastAsia="宋体" w:cs="宋体"/>
          <w:color w:val="000000"/>
        </w:rPr>
        <w:t>报名报价响应文件目录</w:t>
      </w:r>
    </w:p>
    <w:tbl>
      <w:tblPr>
        <w:tblStyle w:val="22"/>
        <w:tblW w:w="91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04"/>
        <w:gridCol w:w="175"/>
        <w:gridCol w:w="5118"/>
        <w:gridCol w:w="453"/>
        <w:gridCol w:w="1248"/>
        <w:gridCol w:w="1619"/>
        <w:gridCol w:w="7"/>
      </w:tblGrid>
      <w:tr w14:paraId="26BA07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6" w:hRule="atLeast"/>
          <w:jc w:val="center"/>
        </w:trPr>
        <w:tc>
          <w:tcPr>
            <w:tcW w:w="504" w:type="dxa"/>
            <w:vAlign w:val="center"/>
          </w:tcPr>
          <w:p w14:paraId="2041662E">
            <w:pPr>
              <w:snapToGrid w:val="0"/>
              <w:spacing w:line="264" w:lineRule="auto"/>
              <w:jc w:val="center"/>
              <w:rPr>
                <w:rFonts w:hint="eastAsia" w:ascii="宋体" w:hAnsi="宋体" w:cs="宋体"/>
                <w:b/>
                <w:color w:val="000000"/>
                <w:szCs w:val="21"/>
              </w:rPr>
            </w:pPr>
            <w:r>
              <w:rPr>
                <w:rFonts w:hint="eastAsia" w:ascii="宋体" w:hAnsi="宋体" w:cs="宋体"/>
                <w:b/>
                <w:color w:val="000000"/>
                <w:szCs w:val="21"/>
              </w:rPr>
              <w:t>序号</w:t>
            </w:r>
          </w:p>
        </w:tc>
        <w:tc>
          <w:tcPr>
            <w:tcW w:w="5293" w:type="dxa"/>
            <w:gridSpan w:val="2"/>
            <w:vAlign w:val="center"/>
          </w:tcPr>
          <w:p w14:paraId="07F9C2AA">
            <w:pPr>
              <w:snapToGrid w:val="0"/>
              <w:spacing w:line="264" w:lineRule="auto"/>
              <w:jc w:val="center"/>
              <w:rPr>
                <w:rFonts w:hint="eastAsia" w:ascii="宋体" w:hAnsi="宋体" w:cs="宋体"/>
                <w:b/>
                <w:color w:val="000000"/>
                <w:szCs w:val="21"/>
              </w:rPr>
            </w:pPr>
            <w:r>
              <w:rPr>
                <w:rFonts w:hint="eastAsia" w:ascii="宋体" w:hAnsi="宋体" w:cs="宋体"/>
                <w:b/>
                <w:color w:val="000000"/>
                <w:szCs w:val="21"/>
              </w:rPr>
              <w:t>评分因素</w:t>
            </w:r>
          </w:p>
        </w:tc>
        <w:tc>
          <w:tcPr>
            <w:tcW w:w="1701" w:type="dxa"/>
            <w:gridSpan w:val="2"/>
            <w:vAlign w:val="center"/>
          </w:tcPr>
          <w:p w14:paraId="13AD9FF8">
            <w:pPr>
              <w:snapToGrid w:val="0"/>
              <w:spacing w:line="264" w:lineRule="auto"/>
              <w:jc w:val="center"/>
              <w:rPr>
                <w:rFonts w:hint="eastAsia" w:ascii="宋体" w:hAnsi="宋体" w:cs="宋体"/>
                <w:b/>
                <w:color w:val="000000"/>
                <w:szCs w:val="21"/>
              </w:rPr>
            </w:pPr>
            <w:r>
              <w:rPr>
                <w:rFonts w:hint="eastAsia" w:ascii="宋体" w:hAnsi="宋体" w:cs="宋体"/>
                <w:b/>
                <w:color w:val="000000"/>
                <w:szCs w:val="21"/>
              </w:rPr>
              <w:t>提交内容</w:t>
            </w:r>
          </w:p>
        </w:tc>
        <w:tc>
          <w:tcPr>
            <w:tcW w:w="1626" w:type="dxa"/>
            <w:gridSpan w:val="2"/>
            <w:vAlign w:val="center"/>
          </w:tcPr>
          <w:p w14:paraId="06DEA704">
            <w:pPr>
              <w:snapToGrid w:val="0"/>
              <w:spacing w:line="264" w:lineRule="auto"/>
              <w:jc w:val="center"/>
              <w:rPr>
                <w:rFonts w:hint="eastAsia" w:ascii="宋体" w:hAnsi="宋体" w:cs="宋体"/>
                <w:b/>
                <w:color w:val="000000"/>
                <w:szCs w:val="21"/>
              </w:rPr>
            </w:pPr>
            <w:r>
              <w:rPr>
                <w:rFonts w:hint="eastAsia" w:ascii="宋体" w:hAnsi="宋体" w:cs="宋体"/>
                <w:b/>
                <w:color w:val="000000"/>
                <w:szCs w:val="21"/>
              </w:rPr>
              <w:t>证明文件</w:t>
            </w:r>
          </w:p>
        </w:tc>
      </w:tr>
      <w:tr w14:paraId="31F15F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9124" w:type="dxa"/>
            <w:gridSpan w:val="7"/>
            <w:vAlign w:val="center"/>
          </w:tcPr>
          <w:p w14:paraId="49C1FC1A">
            <w:pPr>
              <w:snapToGrid w:val="0"/>
              <w:spacing w:line="264" w:lineRule="auto"/>
              <w:jc w:val="center"/>
              <w:rPr>
                <w:rFonts w:hint="eastAsia" w:ascii="宋体" w:hAnsi="宋体" w:cs="宋体"/>
                <w:b/>
                <w:bCs/>
                <w:color w:val="000000"/>
                <w:szCs w:val="21"/>
              </w:rPr>
            </w:pPr>
            <w:r>
              <w:rPr>
                <w:rFonts w:hint="eastAsia" w:ascii="宋体" w:hAnsi="宋体" w:cs="宋体"/>
                <w:b/>
                <w:bCs/>
                <w:color w:val="000000"/>
                <w:szCs w:val="21"/>
              </w:rPr>
              <w:t>报名条件</w:t>
            </w:r>
          </w:p>
        </w:tc>
      </w:tr>
      <w:tr w14:paraId="478022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504" w:type="dxa"/>
            <w:vAlign w:val="center"/>
          </w:tcPr>
          <w:p w14:paraId="13F87DA1">
            <w:pPr>
              <w:numPr>
                <w:ilvl w:val="0"/>
                <w:numId w:val="14"/>
              </w:numPr>
              <w:adjustRightInd w:val="0"/>
              <w:snapToGrid w:val="0"/>
              <w:spacing w:line="264" w:lineRule="auto"/>
              <w:jc w:val="center"/>
              <w:textAlignment w:val="baseline"/>
              <w:rPr>
                <w:rFonts w:hint="eastAsia" w:ascii="宋体" w:hAnsi="宋体" w:cs="宋体"/>
                <w:color w:val="000000"/>
                <w:szCs w:val="21"/>
              </w:rPr>
            </w:pPr>
          </w:p>
        </w:tc>
        <w:tc>
          <w:tcPr>
            <w:tcW w:w="5293" w:type="dxa"/>
            <w:gridSpan w:val="2"/>
            <w:vAlign w:val="center"/>
          </w:tcPr>
          <w:p w14:paraId="3EF84E1F">
            <w:pPr>
              <w:pStyle w:val="50"/>
              <w:widowControl/>
              <w:spacing w:line="360" w:lineRule="auto"/>
              <w:ind w:firstLine="0" w:firstLineChars="0"/>
              <w:jc w:val="left"/>
              <w:rPr>
                <w:rFonts w:hint="eastAsia" w:ascii="宋体" w:hAnsi="宋体" w:cs="宋体"/>
                <w:bCs/>
                <w:kern w:val="0"/>
                <w:szCs w:val="21"/>
              </w:rPr>
            </w:pPr>
            <w:r>
              <w:rPr>
                <w:rFonts w:hint="eastAsia" w:ascii="宋体" w:hAnsi="宋体" w:cs="宋体"/>
                <w:bCs/>
                <w:kern w:val="0"/>
                <w:szCs w:val="21"/>
              </w:rPr>
              <w:t>提供在中华人民共和国境内注册的法人或其他组织的营业执照或事业单位法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tc>
        <w:tc>
          <w:tcPr>
            <w:tcW w:w="1701" w:type="dxa"/>
            <w:gridSpan w:val="2"/>
            <w:vAlign w:val="center"/>
          </w:tcPr>
          <w:p w14:paraId="56D9E3C9">
            <w:pPr>
              <w:jc w:val="center"/>
              <w:rPr>
                <w:rFonts w:hint="eastAsia" w:ascii="宋体" w:hAnsi="宋体" w:cs="宋体"/>
                <w:color w:val="000000"/>
                <w:szCs w:val="21"/>
              </w:rPr>
            </w:pPr>
            <w:r>
              <w:rPr>
                <w:rFonts w:hint="eastAsia" w:ascii="宋体" w:hAnsi="宋体" w:cs="宋体"/>
                <w:color w:val="000000"/>
                <w:kern w:val="0"/>
                <w:szCs w:val="21"/>
              </w:rPr>
              <w:t>提供营业执照</w:t>
            </w:r>
          </w:p>
        </w:tc>
        <w:tc>
          <w:tcPr>
            <w:tcW w:w="1626" w:type="dxa"/>
            <w:gridSpan w:val="2"/>
            <w:vAlign w:val="center"/>
          </w:tcPr>
          <w:p w14:paraId="00047EC6">
            <w:pPr>
              <w:snapToGrid w:val="0"/>
              <w:spacing w:line="360" w:lineRule="exact"/>
              <w:jc w:val="center"/>
              <w:rPr>
                <w:rFonts w:hint="eastAsia" w:ascii="宋体" w:hAnsi="宋体" w:cs="宋体"/>
                <w:color w:val="000000"/>
                <w:szCs w:val="21"/>
              </w:rPr>
            </w:pPr>
            <w:r>
              <w:rPr>
                <w:rFonts w:hint="eastAsia" w:ascii="宋体" w:hAnsi="宋体" w:cs="宋体"/>
                <w:color w:val="000000"/>
                <w:szCs w:val="21"/>
              </w:rPr>
              <w:t>第（ ）页-（ ）页</w:t>
            </w:r>
          </w:p>
        </w:tc>
      </w:tr>
      <w:tr w14:paraId="43B808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4" w:hRule="atLeast"/>
          <w:jc w:val="center"/>
        </w:trPr>
        <w:tc>
          <w:tcPr>
            <w:tcW w:w="504" w:type="dxa"/>
            <w:vAlign w:val="center"/>
          </w:tcPr>
          <w:p w14:paraId="19C61CDB">
            <w:pPr>
              <w:numPr>
                <w:ilvl w:val="0"/>
                <w:numId w:val="14"/>
              </w:numPr>
              <w:adjustRightInd w:val="0"/>
              <w:snapToGrid w:val="0"/>
              <w:spacing w:line="264" w:lineRule="auto"/>
              <w:jc w:val="center"/>
              <w:textAlignment w:val="baseline"/>
              <w:rPr>
                <w:rFonts w:hint="eastAsia" w:ascii="宋体" w:hAnsi="宋体" w:cs="宋体"/>
                <w:color w:val="000000"/>
                <w:szCs w:val="21"/>
              </w:rPr>
            </w:pPr>
          </w:p>
        </w:tc>
        <w:tc>
          <w:tcPr>
            <w:tcW w:w="5293" w:type="dxa"/>
            <w:gridSpan w:val="2"/>
            <w:vAlign w:val="center"/>
          </w:tcPr>
          <w:p w14:paraId="604DB11C">
            <w:pPr>
              <w:pStyle w:val="50"/>
              <w:widowControl/>
              <w:spacing w:line="360" w:lineRule="auto"/>
              <w:ind w:firstLine="0" w:firstLineChars="0"/>
              <w:jc w:val="left"/>
              <w:rPr>
                <w:rFonts w:hint="eastAsia" w:ascii="宋体" w:hAnsi="宋体" w:cs="宋体"/>
                <w:bCs/>
                <w:kern w:val="0"/>
                <w:szCs w:val="21"/>
              </w:rPr>
            </w:pPr>
            <w:r>
              <w:rPr>
                <w:rFonts w:hint="eastAsia" w:ascii="宋体" w:hAnsi="宋体" w:cs="宋体"/>
                <w:bCs/>
                <w:kern w:val="0"/>
                <w:szCs w:val="21"/>
              </w:rPr>
              <w:t>供应商：具有良好的商业信誉和健全的财务会计制度；有依法缴纳税收和社会保障资金的良好记录；具有履行合同所必需的设备和专业技术能力；参加采购活动前3年内在经营活动中没有重大违法记录的书面声明；具备法律、行政法规规定的其他条件；法定代表人或单位负责人与所参投的本项目其他供应商的法定代表人或单位负责人不为同一人且与其他供应商之间不存在直接控股、管理关系；本项目不接受转包分包且不接受联合体参评（提供《供应商资格声明函》，格式见附件）。</w:t>
            </w:r>
          </w:p>
        </w:tc>
        <w:tc>
          <w:tcPr>
            <w:tcW w:w="1701" w:type="dxa"/>
            <w:gridSpan w:val="2"/>
            <w:vAlign w:val="center"/>
          </w:tcPr>
          <w:p w14:paraId="1F9057D0">
            <w:pPr>
              <w:jc w:val="center"/>
              <w:rPr>
                <w:rFonts w:hint="eastAsia" w:ascii="宋体" w:hAnsi="宋体" w:cs="宋体"/>
                <w:color w:val="000000"/>
                <w:kern w:val="0"/>
                <w:szCs w:val="21"/>
              </w:rPr>
            </w:pPr>
            <w:r>
              <w:rPr>
                <w:rFonts w:hint="eastAsia" w:ascii="宋体" w:hAnsi="宋体" w:cs="宋体"/>
                <w:color w:val="000000"/>
                <w:kern w:val="0"/>
                <w:szCs w:val="21"/>
              </w:rPr>
              <w:t>提供供应商资格声明函</w:t>
            </w:r>
          </w:p>
        </w:tc>
        <w:tc>
          <w:tcPr>
            <w:tcW w:w="1626" w:type="dxa"/>
            <w:gridSpan w:val="2"/>
            <w:vAlign w:val="center"/>
          </w:tcPr>
          <w:p w14:paraId="7F859BD4">
            <w:pPr>
              <w:snapToGrid w:val="0"/>
              <w:spacing w:line="360" w:lineRule="exact"/>
              <w:jc w:val="center"/>
              <w:rPr>
                <w:rFonts w:hint="eastAsia" w:ascii="宋体" w:hAnsi="宋体" w:cs="宋体"/>
                <w:color w:val="000000"/>
                <w:szCs w:val="21"/>
              </w:rPr>
            </w:pPr>
            <w:r>
              <w:rPr>
                <w:rFonts w:hint="eastAsia" w:ascii="宋体" w:hAnsi="宋体" w:cs="宋体"/>
                <w:color w:val="000000"/>
                <w:szCs w:val="21"/>
              </w:rPr>
              <w:t>第（ ）页-（ ）页</w:t>
            </w:r>
          </w:p>
        </w:tc>
      </w:tr>
      <w:tr w14:paraId="78D299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560" w:hRule="atLeast"/>
          <w:jc w:val="center"/>
        </w:trPr>
        <w:tc>
          <w:tcPr>
            <w:tcW w:w="9117" w:type="dxa"/>
            <w:gridSpan w:val="6"/>
            <w:tcBorders>
              <w:top w:val="single" w:color="auto" w:sz="12" w:space="0"/>
              <w:left w:val="single" w:color="auto" w:sz="12" w:space="0"/>
              <w:bottom w:val="single" w:color="auto" w:sz="6" w:space="0"/>
              <w:right w:val="single" w:color="auto" w:sz="12" w:space="0"/>
            </w:tcBorders>
            <w:vAlign w:val="center"/>
          </w:tcPr>
          <w:p w14:paraId="063D4D7E">
            <w:pPr>
              <w:adjustRightInd w:val="0"/>
              <w:snapToGrid w:val="0"/>
              <w:spacing w:line="360" w:lineRule="auto"/>
              <w:jc w:val="center"/>
              <w:textAlignment w:val="baseline"/>
              <w:rPr>
                <w:rFonts w:hint="eastAsia" w:ascii="宋体" w:hAnsi="宋体" w:cs="宋体"/>
                <w:b/>
                <w:color w:val="000000"/>
                <w:szCs w:val="21"/>
              </w:rPr>
            </w:pPr>
            <w:r>
              <w:rPr>
                <w:rFonts w:hint="eastAsia" w:ascii="宋体" w:hAnsi="宋体" w:cs="宋体"/>
                <w:b/>
                <w:color w:val="000000"/>
                <w:szCs w:val="21"/>
              </w:rPr>
              <w:t>价格评分自查表</w:t>
            </w:r>
          </w:p>
        </w:tc>
      </w:tr>
      <w:tr w14:paraId="12D697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542" w:hRule="atLeast"/>
          <w:jc w:val="center"/>
        </w:trPr>
        <w:tc>
          <w:tcPr>
            <w:tcW w:w="679" w:type="dxa"/>
            <w:gridSpan w:val="2"/>
            <w:tcBorders>
              <w:top w:val="single" w:color="auto" w:sz="6" w:space="0"/>
              <w:left w:val="single" w:color="auto" w:sz="12" w:space="0"/>
              <w:bottom w:val="single" w:color="auto" w:sz="6" w:space="0"/>
              <w:right w:val="single" w:color="auto" w:sz="6" w:space="0"/>
            </w:tcBorders>
            <w:vAlign w:val="center"/>
          </w:tcPr>
          <w:p w14:paraId="4248CC2B">
            <w:pPr>
              <w:snapToGrid w:val="0"/>
              <w:spacing w:line="264" w:lineRule="auto"/>
              <w:ind w:left="-88" w:leftChars="-42" w:right="-82" w:rightChars="-39"/>
              <w:jc w:val="center"/>
              <w:rPr>
                <w:rFonts w:hint="eastAsia" w:ascii="宋体" w:hAnsi="宋体" w:cs="宋体"/>
                <w:b/>
                <w:color w:val="000000"/>
                <w:szCs w:val="21"/>
              </w:rPr>
            </w:pPr>
            <w:r>
              <w:rPr>
                <w:rFonts w:hint="eastAsia" w:ascii="宋体" w:hAnsi="宋体" w:cs="宋体"/>
                <w:b/>
                <w:color w:val="000000"/>
                <w:szCs w:val="21"/>
              </w:rPr>
              <w:t>序号</w:t>
            </w:r>
          </w:p>
        </w:tc>
        <w:tc>
          <w:tcPr>
            <w:tcW w:w="5571" w:type="dxa"/>
            <w:gridSpan w:val="2"/>
            <w:tcBorders>
              <w:top w:val="single" w:color="auto" w:sz="6" w:space="0"/>
              <w:left w:val="single" w:color="auto" w:sz="6" w:space="0"/>
              <w:bottom w:val="single" w:color="auto" w:sz="6" w:space="0"/>
              <w:right w:val="single" w:color="auto" w:sz="6" w:space="0"/>
            </w:tcBorders>
            <w:vAlign w:val="center"/>
          </w:tcPr>
          <w:p w14:paraId="7DCD7757">
            <w:pPr>
              <w:snapToGrid w:val="0"/>
              <w:spacing w:line="264" w:lineRule="auto"/>
              <w:jc w:val="center"/>
              <w:rPr>
                <w:rFonts w:hint="eastAsia" w:ascii="宋体" w:hAnsi="宋体" w:cs="宋体"/>
                <w:b/>
                <w:color w:val="000000"/>
                <w:szCs w:val="21"/>
              </w:rPr>
            </w:pPr>
            <w:r>
              <w:rPr>
                <w:rFonts w:hint="eastAsia" w:ascii="宋体" w:hAnsi="宋体" w:cs="宋体"/>
                <w:b/>
                <w:color w:val="000000"/>
                <w:szCs w:val="21"/>
              </w:rPr>
              <w:t>文件要求</w:t>
            </w:r>
          </w:p>
        </w:tc>
        <w:tc>
          <w:tcPr>
            <w:tcW w:w="2867" w:type="dxa"/>
            <w:gridSpan w:val="2"/>
            <w:tcBorders>
              <w:top w:val="single" w:color="auto" w:sz="6" w:space="0"/>
              <w:left w:val="single" w:color="auto" w:sz="6" w:space="0"/>
              <w:bottom w:val="single" w:color="auto" w:sz="6" w:space="0"/>
              <w:right w:val="single" w:color="auto" w:sz="12" w:space="0"/>
            </w:tcBorders>
            <w:vAlign w:val="center"/>
          </w:tcPr>
          <w:p w14:paraId="4E68501F">
            <w:pPr>
              <w:snapToGrid w:val="0"/>
              <w:spacing w:line="264" w:lineRule="auto"/>
              <w:jc w:val="center"/>
              <w:rPr>
                <w:rFonts w:hint="eastAsia" w:ascii="宋体" w:hAnsi="宋体" w:cs="宋体"/>
                <w:b/>
                <w:color w:val="000000"/>
                <w:szCs w:val="21"/>
              </w:rPr>
            </w:pPr>
            <w:r>
              <w:rPr>
                <w:rFonts w:hint="eastAsia" w:ascii="宋体" w:hAnsi="宋体" w:cs="宋体"/>
                <w:b/>
                <w:color w:val="000000"/>
                <w:szCs w:val="21"/>
              </w:rPr>
              <w:t>证明文件</w:t>
            </w:r>
          </w:p>
        </w:tc>
      </w:tr>
      <w:tr w14:paraId="1BB0D2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7" w:type="dxa"/>
          <w:trHeight w:val="444" w:hRule="atLeast"/>
          <w:jc w:val="center"/>
        </w:trPr>
        <w:tc>
          <w:tcPr>
            <w:tcW w:w="679" w:type="dxa"/>
            <w:gridSpan w:val="2"/>
            <w:tcBorders>
              <w:top w:val="single" w:color="auto" w:sz="6" w:space="0"/>
              <w:left w:val="single" w:color="auto" w:sz="12" w:space="0"/>
              <w:bottom w:val="single" w:color="auto" w:sz="6" w:space="0"/>
              <w:right w:val="single" w:color="auto" w:sz="6" w:space="0"/>
            </w:tcBorders>
            <w:vAlign w:val="center"/>
          </w:tcPr>
          <w:p w14:paraId="4D7E9BA2">
            <w:pPr>
              <w:adjustRightInd w:val="0"/>
              <w:snapToGrid w:val="0"/>
              <w:spacing w:line="264" w:lineRule="auto"/>
              <w:jc w:val="center"/>
              <w:textAlignment w:val="baseline"/>
              <w:rPr>
                <w:rFonts w:hint="eastAsia" w:ascii="宋体" w:hAnsi="宋体" w:cs="宋体"/>
                <w:color w:val="000000"/>
                <w:szCs w:val="21"/>
              </w:rPr>
            </w:pPr>
            <w:r>
              <w:rPr>
                <w:rFonts w:hint="eastAsia" w:ascii="宋体" w:hAnsi="宋体" w:cs="宋体"/>
                <w:color w:val="000000"/>
                <w:szCs w:val="21"/>
              </w:rPr>
              <w:t>1.</w:t>
            </w:r>
          </w:p>
        </w:tc>
        <w:tc>
          <w:tcPr>
            <w:tcW w:w="5571" w:type="dxa"/>
            <w:gridSpan w:val="2"/>
            <w:tcBorders>
              <w:top w:val="single" w:color="auto" w:sz="6" w:space="0"/>
              <w:left w:val="single" w:color="auto" w:sz="6" w:space="0"/>
              <w:bottom w:val="single" w:color="auto" w:sz="6" w:space="0"/>
              <w:right w:val="single" w:color="auto" w:sz="6" w:space="0"/>
            </w:tcBorders>
            <w:vAlign w:val="center"/>
          </w:tcPr>
          <w:p w14:paraId="0D256E0C">
            <w:pPr>
              <w:snapToGrid w:val="0"/>
              <w:spacing w:line="264" w:lineRule="auto"/>
              <w:rPr>
                <w:rFonts w:hint="eastAsia" w:ascii="宋体" w:hAnsi="宋体" w:cs="宋体"/>
                <w:color w:val="000000"/>
                <w:szCs w:val="21"/>
              </w:rPr>
            </w:pPr>
            <w:r>
              <w:rPr>
                <w:rFonts w:hint="eastAsia" w:ascii="宋体" w:hAnsi="宋体" w:cs="宋体"/>
                <w:color w:val="000000"/>
                <w:szCs w:val="21"/>
              </w:rPr>
              <w:t>报价表</w:t>
            </w:r>
          </w:p>
        </w:tc>
        <w:tc>
          <w:tcPr>
            <w:tcW w:w="2867" w:type="dxa"/>
            <w:gridSpan w:val="2"/>
            <w:tcBorders>
              <w:top w:val="single" w:color="auto" w:sz="6" w:space="0"/>
              <w:left w:val="single" w:color="auto" w:sz="6" w:space="0"/>
              <w:bottom w:val="single" w:color="auto" w:sz="6" w:space="0"/>
              <w:right w:val="single" w:color="auto" w:sz="12" w:space="0"/>
            </w:tcBorders>
            <w:vAlign w:val="center"/>
          </w:tcPr>
          <w:p w14:paraId="6FFB6DD1">
            <w:pPr>
              <w:snapToGrid w:val="0"/>
              <w:jc w:val="center"/>
              <w:rPr>
                <w:rFonts w:hint="eastAsia" w:ascii="宋体" w:hAnsi="宋体" w:cs="宋体"/>
                <w:color w:val="000000"/>
                <w:szCs w:val="21"/>
              </w:rPr>
            </w:pPr>
            <w:r>
              <w:rPr>
                <w:rFonts w:hint="eastAsia" w:ascii="宋体" w:hAnsi="宋体" w:cs="宋体"/>
                <w:color w:val="000000"/>
                <w:szCs w:val="21"/>
              </w:rPr>
              <w:t>第（）页</w:t>
            </w:r>
          </w:p>
        </w:tc>
      </w:tr>
    </w:tbl>
    <w:p w14:paraId="697ECDAB">
      <w:pPr>
        <w:rPr>
          <w:rFonts w:hint="eastAsia" w:ascii="宋体" w:hAnsi="宋体" w:cs="宋体"/>
        </w:rPr>
      </w:pPr>
    </w:p>
    <w:p w14:paraId="40A512F4">
      <w:pPr>
        <w:pStyle w:val="3"/>
        <w:spacing w:line="360" w:lineRule="auto"/>
        <w:jc w:val="center"/>
        <w:rPr>
          <w:rFonts w:hint="eastAsia" w:ascii="宋体" w:hAnsi="宋体" w:eastAsia="宋体" w:cs="宋体"/>
          <w:color w:val="000000"/>
        </w:rPr>
      </w:pPr>
      <w:r>
        <w:rPr>
          <w:rFonts w:hint="eastAsia" w:ascii="宋体" w:hAnsi="宋体" w:eastAsia="宋体" w:cs="宋体"/>
          <w:color w:val="000000"/>
        </w:rPr>
        <w:t>技术、商务评分目录</w:t>
      </w:r>
    </w:p>
    <w:tbl>
      <w:tblPr>
        <w:tblStyle w:val="22"/>
        <w:tblW w:w="91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235"/>
        <w:gridCol w:w="3300"/>
        <w:gridCol w:w="2909"/>
      </w:tblGrid>
      <w:tr w14:paraId="344323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39" w:type="dxa"/>
            <w:vAlign w:val="center"/>
          </w:tcPr>
          <w:p w14:paraId="17D501D2">
            <w:pPr>
              <w:snapToGrid w:val="0"/>
              <w:spacing w:line="264" w:lineRule="auto"/>
              <w:jc w:val="center"/>
              <w:rPr>
                <w:rFonts w:hint="eastAsia" w:ascii="宋体" w:hAnsi="宋体" w:cs="宋体"/>
                <w:b/>
                <w:color w:val="000000"/>
                <w:szCs w:val="21"/>
              </w:rPr>
            </w:pPr>
            <w:r>
              <w:rPr>
                <w:rFonts w:hint="eastAsia" w:ascii="宋体" w:hAnsi="宋体" w:cs="宋体"/>
                <w:b/>
                <w:color w:val="000000"/>
                <w:szCs w:val="21"/>
              </w:rPr>
              <w:t>序号</w:t>
            </w:r>
          </w:p>
        </w:tc>
        <w:tc>
          <w:tcPr>
            <w:tcW w:w="2235" w:type="dxa"/>
            <w:vAlign w:val="center"/>
          </w:tcPr>
          <w:p w14:paraId="61B38D55">
            <w:pPr>
              <w:snapToGrid w:val="0"/>
              <w:spacing w:line="264" w:lineRule="auto"/>
              <w:jc w:val="center"/>
              <w:rPr>
                <w:rFonts w:hint="eastAsia" w:ascii="宋体" w:hAnsi="宋体" w:cs="宋体"/>
                <w:b/>
                <w:color w:val="000000"/>
                <w:szCs w:val="21"/>
              </w:rPr>
            </w:pPr>
            <w:r>
              <w:rPr>
                <w:rFonts w:hint="eastAsia" w:ascii="宋体" w:hAnsi="宋体" w:cs="宋体"/>
                <w:b/>
                <w:color w:val="000000"/>
                <w:szCs w:val="21"/>
              </w:rPr>
              <w:t>评分因素</w:t>
            </w:r>
          </w:p>
        </w:tc>
        <w:tc>
          <w:tcPr>
            <w:tcW w:w="3300" w:type="dxa"/>
            <w:vAlign w:val="center"/>
          </w:tcPr>
          <w:p w14:paraId="4041F0FD">
            <w:pPr>
              <w:snapToGrid w:val="0"/>
              <w:spacing w:line="264" w:lineRule="auto"/>
              <w:jc w:val="center"/>
              <w:rPr>
                <w:rFonts w:hint="eastAsia" w:ascii="宋体" w:hAnsi="宋体" w:cs="宋体"/>
                <w:b/>
                <w:color w:val="000000"/>
                <w:szCs w:val="21"/>
              </w:rPr>
            </w:pPr>
            <w:r>
              <w:rPr>
                <w:rFonts w:hint="eastAsia" w:ascii="宋体" w:hAnsi="宋体" w:cs="宋体"/>
                <w:b/>
                <w:color w:val="000000"/>
                <w:szCs w:val="21"/>
              </w:rPr>
              <w:t>提交内容</w:t>
            </w:r>
          </w:p>
        </w:tc>
        <w:tc>
          <w:tcPr>
            <w:tcW w:w="2909" w:type="dxa"/>
            <w:vAlign w:val="center"/>
          </w:tcPr>
          <w:p w14:paraId="3CC6DE18">
            <w:pPr>
              <w:snapToGrid w:val="0"/>
              <w:spacing w:line="264" w:lineRule="auto"/>
              <w:jc w:val="center"/>
              <w:rPr>
                <w:rFonts w:hint="eastAsia" w:ascii="宋体" w:hAnsi="宋体" w:cs="宋体"/>
                <w:b/>
                <w:color w:val="000000"/>
                <w:szCs w:val="21"/>
              </w:rPr>
            </w:pPr>
            <w:r>
              <w:rPr>
                <w:rFonts w:hint="eastAsia" w:ascii="宋体" w:hAnsi="宋体" w:cs="宋体"/>
                <w:b/>
                <w:color w:val="000000"/>
                <w:szCs w:val="21"/>
              </w:rPr>
              <w:t>证明文件</w:t>
            </w:r>
          </w:p>
        </w:tc>
      </w:tr>
      <w:tr w14:paraId="22977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183" w:type="dxa"/>
            <w:gridSpan w:val="4"/>
            <w:vAlign w:val="center"/>
          </w:tcPr>
          <w:p w14:paraId="0EC1243A">
            <w:pPr>
              <w:snapToGrid w:val="0"/>
              <w:spacing w:line="264" w:lineRule="auto"/>
              <w:jc w:val="center"/>
              <w:rPr>
                <w:rFonts w:hint="eastAsia" w:ascii="宋体" w:hAnsi="宋体" w:cs="宋体"/>
                <w:b/>
                <w:bCs/>
                <w:color w:val="000000"/>
                <w:szCs w:val="21"/>
              </w:rPr>
            </w:pPr>
            <w:r>
              <w:rPr>
                <w:rFonts w:hint="eastAsia" w:ascii="宋体" w:hAnsi="宋体" w:cs="宋体"/>
                <w:b/>
                <w:bCs/>
                <w:color w:val="000000"/>
                <w:szCs w:val="21"/>
              </w:rPr>
              <w:t>技术评分</w:t>
            </w:r>
          </w:p>
        </w:tc>
      </w:tr>
      <w:tr w14:paraId="01B4A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39" w:type="dxa"/>
            <w:vAlign w:val="center"/>
          </w:tcPr>
          <w:p w14:paraId="27406CCF">
            <w:pPr>
              <w:numPr>
                <w:ilvl w:val="0"/>
                <w:numId w:val="15"/>
              </w:numPr>
              <w:adjustRightInd w:val="0"/>
              <w:snapToGrid w:val="0"/>
              <w:spacing w:line="264" w:lineRule="auto"/>
              <w:jc w:val="center"/>
              <w:textAlignment w:val="baseline"/>
              <w:rPr>
                <w:rFonts w:hint="eastAsia" w:ascii="宋体" w:hAnsi="宋体" w:cs="宋体"/>
                <w:color w:val="000000"/>
                <w:szCs w:val="21"/>
              </w:rPr>
            </w:pPr>
          </w:p>
        </w:tc>
        <w:tc>
          <w:tcPr>
            <w:tcW w:w="2235" w:type="dxa"/>
            <w:shd w:val="clear" w:color="auto" w:fill="auto"/>
            <w:vAlign w:val="center"/>
          </w:tcPr>
          <w:p w14:paraId="3AB147B8">
            <w:pPr>
              <w:jc w:val="center"/>
              <w:rPr>
                <w:rFonts w:hint="eastAsia" w:ascii="宋体" w:hAnsi="宋体" w:eastAsia="宋体" w:cs="Times New Roman"/>
                <w:kern w:val="2"/>
                <w:sz w:val="21"/>
                <w:szCs w:val="22"/>
                <w:lang w:val="en-US" w:eastAsia="zh-CN" w:bidi="ar-SA"/>
              </w:rPr>
            </w:pPr>
            <w:r>
              <w:rPr>
                <w:rFonts w:ascii="宋体" w:hAnsi="宋体"/>
              </w:rPr>
              <w:t>服务方案</w:t>
            </w:r>
          </w:p>
        </w:tc>
        <w:tc>
          <w:tcPr>
            <w:tcW w:w="3300" w:type="dxa"/>
            <w:vAlign w:val="center"/>
          </w:tcPr>
          <w:p w14:paraId="719FE95B">
            <w:pPr>
              <w:jc w:val="center"/>
              <w:rPr>
                <w:rFonts w:hint="eastAsia" w:ascii="宋体" w:hAnsi="宋体" w:cs="宋体"/>
                <w:color w:val="000000"/>
                <w:szCs w:val="21"/>
              </w:rPr>
            </w:pPr>
            <w:r>
              <w:rPr>
                <w:rFonts w:hint="eastAsia" w:ascii="宋体" w:hAnsi="宋体" w:cs="宋体"/>
                <w:color w:val="000000"/>
                <w:szCs w:val="21"/>
              </w:rPr>
              <w:t>请根据本评审文件提交相关内容</w:t>
            </w:r>
          </w:p>
        </w:tc>
        <w:tc>
          <w:tcPr>
            <w:tcW w:w="2909" w:type="dxa"/>
            <w:vAlign w:val="center"/>
          </w:tcPr>
          <w:p w14:paraId="1EC83562">
            <w:pPr>
              <w:snapToGrid w:val="0"/>
              <w:spacing w:line="264" w:lineRule="auto"/>
              <w:jc w:val="center"/>
              <w:rPr>
                <w:rFonts w:hint="eastAsia" w:ascii="宋体" w:hAnsi="宋体" w:cs="宋体"/>
                <w:color w:val="000000"/>
                <w:szCs w:val="21"/>
              </w:rPr>
            </w:pPr>
            <w:r>
              <w:rPr>
                <w:rFonts w:hint="eastAsia" w:ascii="宋体" w:hAnsi="宋体" w:cs="宋体"/>
                <w:color w:val="000000"/>
                <w:szCs w:val="21"/>
              </w:rPr>
              <w:t>第（ ）页-（ ）页</w:t>
            </w:r>
          </w:p>
        </w:tc>
      </w:tr>
      <w:tr w14:paraId="2787BE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39" w:type="dxa"/>
            <w:vAlign w:val="center"/>
          </w:tcPr>
          <w:p w14:paraId="0A1E63E8">
            <w:pPr>
              <w:numPr>
                <w:ilvl w:val="0"/>
                <w:numId w:val="15"/>
              </w:numPr>
              <w:adjustRightInd w:val="0"/>
              <w:snapToGrid w:val="0"/>
              <w:spacing w:line="264" w:lineRule="auto"/>
              <w:jc w:val="center"/>
              <w:textAlignment w:val="baseline"/>
              <w:rPr>
                <w:rFonts w:hint="eastAsia" w:ascii="宋体" w:hAnsi="宋体" w:cs="宋体"/>
                <w:color w:val="000000"/>
                <w:szCs w:val="21"/>
              </w:rPr>
            </w:pPr>
          </w:p>
        </w:tc>
        <w:tc>
          <w:tcPr>
            <w:tcW w:w="2235" w:type="dxa"/>
            <w:shd w:val="clear" w:color="auto" w:fill="auto"/>
            <w:vAlign w:val="center"/>
          </w:tcPr>
          <w:p w14:paraId="66C69E49">
            <w:pPr>
              <w:jc w:val="center"/>
              <w:rPr>
                <w:rFonts w:hint="eastAsia" w:ascii="宋体" w:hAnsi="宋体" w:eastAsia="宋体" w:cs="Times New Roman"/>
                <w:kern w:val="2"/>
                <w:sz w:val="21"/>
                <w:szCs w:val="22"/>
                <w:lang w:val="en-US" w:eastAsia="zh-CN" w:bidi="ar-SA"/>
              </w:rPr>
            </w:pPr>
            <w:r>
              <w:rPr>
                <w:rFonts w:ascii="宋体" w:hAnsi="宋体"/>
              </w:rPr>
              <w:t>质量保障方案</w:t>
            </w:r>
          </w:p>
        </w:tc>
        <w:tc>
          <w:tcPr>
            <w:tcW w:w="3300" w:type="dxa"/>
            <w:vAlign w:val="center"/>
          </w:tcPr>
          <w:p w14:paraId="45C2A89B">
            <w:pPr>
              <w:jc w:val="center"/>
              <w:rPr>
                <w:rFonts w:hint="eastAsia" w:ascii="宋体" w:hAnsi="宋体" w:cs="宋体"/>
                <w:color w:val="000000"/>
                <w:szCs w:val="21"/>
              </w:rPr>
            </w:pPr>
            <w:r>
              <w:rPr>
                <w:rFonts w:hint="eastAsia" w:ascii="宋体" w:hAnsi="宋体" w:cs="宋体"/>
                <w:color w:val="000000"/>
                <w:szCs w:val="21"/>
              </w:rPr>
              <w:t>请根据本评审文件提交相关内容</w:t>
            </w:r>
          </w:p>
        </w:tc>
        <w:tc>
          <w:tcPr>
            <w:tcW w:w="2909" w:type="dxa"/>
            <w:vAlign w:val="center"/>
          </w:tcPr>
          <w:p w14:paraId="57CB2643">
            <w:pPr>
              <w:snapToGrid w:val="0"/>
              <w:spacing w:line="264" w:lineRule="auto"/>
              <w:jc w:val="center"/>
              <w:rPr>
                <w:rFonts w:hint="eastAsia" w:ascii="宋体" w:hAnsi="宋体" w:cs="宋体"/>
                <w:color w:val="000000"/>
                <w:szCs w:val="21"/>
              </w:rPr>
            </w:pPr>
            <w:r>
              <w:rPr>
                <w:rFonts w:hint="eastAsia" w:ascii="宋体" w:hAnsi="宋体" w:cs="宋体"/>
                <w:color w:val="000000"/>
                <w:szCs w:val="21"/>
              </w:rPr>
              <w:t>第（ ）页-（ ）页</w:t>
            </w:r>
          </w:p>
        </w:tc>
      </w:tr>
      <w:tr w14:paraId="153CBC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39" w:type="dxa"/>
            <w:vAlign w:val="center"/>
          </w:tcPr>
          <w:p w14:paraId="1D918BF4">
            <w:pPr>
              <w:numPr>
                <w:ilvl w:val="0"/>
                <w:numId w:val="15"/>
              </w:numPr>
              <w:adjustRightInd w:val="0"/>
              <w:snapToGrid w:val="0"/>
              <w:spacing w:line="264" w:lineRule="auto"/>
              <w:jc w:val="center"/>
              <w:textAlignment w:val="baseline"/>
              <w:rPr>
                <w:rFonts w:hint="eastAsia" w:ascii="宋体" w:hAnsi="宋体" w:cs="宋体"/>
                <w:color w:val="000000"/>
                <w:szCs w:val="21"/>
              </w:rPr>
            </w:pPr>
          </w:p>
        </w:tc>
        <w:tc>
          <w:tcPr>
            <w:tcW w:w="2235" w:type="dxa"/>
            <w:shd w:val="clear" w:color="auto" w:fill="auto"/>
            <w:vAlign w:val="center"/>
          </w:tcPr>
          <w:p w14:paraId="439957FC">
            <w:pPr>
              <w:jc w:val="center"/>
              <w:rPr>
                <w:rFonts w:hint="eastAsia" w:ascii="宋体" w:hAnsi="宋体" w:eastAsia="宋体" w:cs="Times New Roman"/>
                <w:kern w:val="2"/>
                <w:sz w:val="21"/>
                <w:szCs w:val="22"/>
                <w:lang w:val="en-US" w:eastAsia="zh-CN" w:bidi="ar-SA"/>
              </w:rPr>
            </w:pPr>
            <w:r>
              <w:rPr>
                <w:rFonts w:ascii="宋体" w:hAnsi="宋体"/>
              </w:rPr>
              <w:t xml:space="preserve">应急方案 </w:t>
            </w:r>
          </w:p>
        </w:tc>
        <w:tc>
          <w:tcPr>
            <w:tcW w:w="3300" w:type="dxa"/>
            <w:vAlign w:val="center"/>
          </w:tcPr>
          <w:p w14:paraId="2C0B268A">
            <w:pPr>
              <w:jc w:val="center"/>
              <w:rPr>
                <w:rFonts w:hint="eastAsia" w:ascii="宋体" w:hAnsi="宋体" w:cs="宋体"/>
                <w:color w:val="000000"/>
                <w:szCs w:val="21"/>
              </w:rPr>
            </w:pPr>
            <w:r>
              <w:rPr>
                <w:rFonts w:hint="eastAsia" w:ascii="宋体" w:hAnsi="宋体" w:cs="宋体"/>
                <w:color w:val="000000"/>
                <w:szCs w:val="21"/>
              </w:rPr>
              <w:t>请根据本评审文件提交相关内容</w:t>
            </w:r>
          </w:p>
        </w:tc>
        <w:tc>
          <w:tcPr>
            <w:tcW w:w="2909" w:type="dxa"/>
            <w:vAlign w:val="center"/>
          </w:tcPr>
          <w:p w14:paraId="42D234B4">
            <w:pPr>
              <w:snapToGrid w:val="0"/>
              <w:spacing w:line="264" w:lineRule="auto"/>
              <w:jc w:val="center"/>
              <w:rPr>
                <w:rFonts w:hint="eastAsia" w:ascii="宋体" w:hAnsi="宋体" w:cs="宋体"/>
                <w:color w:val="000000"/>
                <w:szCs w:val="21"/>
              </w:rPr>
            </w:pPr>
            <w:r>
              <w:rPr>
                <w:rFonts w:hint="eastAsia" w:ascii="宋体" w:hAnsi="宋体" w:cs="宋体"/>
                <w:color w:val="000000"/>
                <w:szCs w:val="21"/>
              </w:rPr>
              <w:t>第（ ）页-（ ）页</w:t>
            </w:r>
          </w:p>
        </w:tc>
      </w:tr>
      <w:tr w14:paraId="47535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9183" w:type="dxa"/>
            <w:gridSpan w:val="4"/>
            <w:vAlign w:val="center"/>
          </w:tcPr>
          <w:p w14:paraId="561A3AEC">
            <w:pPr>
              <w:snapToGrid w:val="0"/>
              <w:spacing w:line="264" w:lineRule="auto"/>
              <w:jc w:val="center"/>
              <w:rPr>
                <w:rFonts w:hint="eastAsia" w:ascii="宋体" w:hAnsi="宋体" w:cs="宋体"/>
                <w:color w:val="000000"/>
                <w:szCs w:val="21"/>
              </w:rPr>
            </w:pPr>
            <w:r>
              <w:rPr>
                <w:rFonts w:hint="eastAsia" w:ascii="宋体" w:hAnsi="宋体" w:cs="宋体"/>
                <w:b/>
                <w:color w:val="000000"/>
                <w:szCs w:val="21"/>
              </w:rPr>
              <w:t>商务评分</w:t>
            </w:r>
          </w:p>
        </w:tc>
      </w:tr>
      <w:tr w14:paraId="364F5F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39" w:type="dxa"/>
            <w:vAlign w:val="center"/>
          </w:tcPr>
          <w:p w14:paraId="634E2626">
            <w:pPr>
              <w:numPr>
                <w:ilvl w:val="0"/>
                <w:numId w:val="16"/>
              </w:numPr>
              <w:adjustRightInd w:val="0"/>
              <w:snapToGrid w:val="0"/>
              <w:spacing w:line="264" w:lineRule="auto"/>
              <w:jc w:val="center"/>
              <w:textAlignment w:val="baseline"/>
              <w:rPr>
                <w:rFonts w:hint="eastAsia" w:ascii="宋体" w:hAnsi="宋体" w:cs="宋体"/>
                <w:color w:val="000000"/>
                <w:szCs w:val="21"/>
              </w:rPr>
            </w:pPr>
          </w:p>
        </w:tc>
        <w:tc>
          <w:tcPr>
            <w:tcW w:w="2235" w:type="dxa"/>
            <w:shd w:val="clear" w:color="auto" w:fill="auto"/>
            <w:vAlign w:val="center"/>
          </w:tcPr>
          <w:p w14:paraId="61089D58">
            <w:pPr>
              <w:jc w:val="center"/>
              <w:rPr>
                <w:rFonts w:hint="eastAsia" w:ascii="宋体" w:hAnsi="宋体" w:eastAsia="宋体" w:cs="Times New Roman"/>
                <w:kern w:val="2"/>
                <w:sz w:val="21"/>
                <w:szCs w:val="22"/>
                <w:lang w:val="en-US" w:eastAsia="zh-CN" w:bidi="ar-SA"/>
              </w:rPr>
            </w:pPr>
            <w:r>
              <w:rPr>
                <w:rFonts w:ascii="宋体" w:hAnsi="宋体"/>
              </w:rPr>
              <w:t xml:space="preserve">增值服务 </w:t>
            </w:r>
          </w:p>
        </w:tc>
        <w:tc>
          <w:tcPr>
            <w:tcW w:w="3300" w:type="dxa"/>
            <w:vAlign w:val="center"/>
          </w:tcPr>
          <w:p w14:paraId="369778FC">
            <w:pPr>
              <w:jc w:val="center"/>
              <w:rPr>
                <w:rFonts w:hint="eastAsia" w:ascii="宋体" w:hAnsi="宋体" w:cs="宋体"/>
              </w:rPr>
            </w:pPr>
            <w:r>
              <w:rPr>
                <w:rFonts w:hint="eastAsia" w:ascii="宋体" w:hAnsi="宋体" w:cs="宋体"/>
                <w:color w:val="000000"/>
                <w:szCs w:val="21"/>
              </w:rPr>
              <w:t>请根据本评审文件提交相关内容</w:t>
            </w:r>
          </w:p>
        </w:tc>
        <w:tc>
          <w:tcPr>
            <w:tcW w:w="2909" w:type="dxa"/>
            <w:vAlign w:val="center"/>
          </w:tcPr>
          <w:p w14:paraId="6C0927F9">
            <w:pPr>
              <w:snapToGrid w:val="0"/>
              <w:spacing w:line="264" w:lineRule="auto"/>
              <w:jc w:val="center"/>
              <w:rPr>
                <w:rFonts w:hint="eastAsia" w:ascii="宋体" w:hAnsi="宋体" w:cs="宋体"/>
                <w:color w:val="000000"/>
                <w:szCs w:val="21"/>
              </w:rPr>
            </w:pPr>
            <w:r>
              <w:rPr>
                <w:rFonts w:hint="eastAsia" w:ascii="宋体" w:hAnsi="宋体" w:cs="宋体"/>
                <w:color w:val="000000"/>
                <w:szCs w:val="21"/>
              </w:rPr>
              <w:t>第（ ）页-（ ）页</w:t>
            </w:r>
          </w:p>
        </w:tc>
      </w:tr>
      <w:tr w14:paraId="4BAA0A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39" w:type="dxa"/>
            <w:vAlign w:val="center"/>
          </w:tcPr>
          <w:p w14:paraId="1E1A8441">
            <w:pPr>
              <w:numPr>
                <w:ilvl w:val="0"/>
                <w:numId w:val="16"/>
              </w:numPr>
              <w:adjustRightInd w:val="0"/>
              <w:snapToGrid w:val="0"/>
              <w:spacing w:line="264" w:lineRule="auto"/>
              <w:jc w:val="center"/>
              <w:textAlignment w:val="baseline"/>
              <w:rPr>
                <w:rFonts w:hint="eastAsia" w:ascii="宋体" w:hAnsi="宋体" w:cs="宋体"/>
                <w:color w:val="000000"/>
                <w:szCs w:val="21"/>
              </w:rPr>
            </w:pPr>
          </w:p>
        </w:tc>
        <w:tc>
          <w:tcPr>
            <w:tcW w:w="2235" w:type="dxa"/>
            <w:shd w:val="clear" w:color="auto" w:fill="auto"/>
            <w:vAlign w:val="center"/>
          </w:tcPr>
          <w:p w14:paraId="7E47DCEE">
            <w:pPr>
              <w:jc w:val="center"/>
              <w:rPr>
                <w:rFonts w:hint="eastAsia" w:ascii="宋体" w:hAnsi="宋体" w:eastAsia="宋体" w:cs="Times New Roman"/>
                <w:kern w:val="2"/>
                <w:sz w:val="21"/>
                <w:szCs w:val="22"/>
                <w:lang w:val="en-US" w:eastAsia="zh-CN" w:bidi="ar-SA"/>
              </w:rPr>
            </w:pPr>
            <w:r>
              <w:rPr>
                <w:rFonts w:ascii="宋体" w:hAnsi="宋体"/>
              </w:rPr>
              <w:t>项目经验</w:t>
            </w:r>
          </w:p>
        </w:tc>
        <w:tc>
          <w:tcPr>
            <w:tcW w:w="3300" w:type="dxa"/>
            <w:vAlign w:val="center"/>
          </w:tcPr>
          <w:p w14:paraId="7A038C5C">
            <w:pPr>
              <w:jc w:val="center"/>
              <w:rPr>
                <w:rFonts w:hint="eastAsia" w:ascii="宋体" w:hAnsi="宋体" w:cs="宋体"/>
              </w:rPr>
            </w:pPr>
            <w:r>
              <w:rPr>
                <w:rFonts w:hint="eastAsia" w:ascii="宋体" w:hAnsi="宋体" w:cs="宋体"/>
                <w:color w:val="000000"/>
                <w:szCs w:val="21"/>
              </w:rPr>
              <w:t>请根据本评审文件提交相关内容</w:t>
            </w:r>
          </w:p>
        </w:tc>
        <w:tc>
          <w:tcPr>
            <w:tcW w:w="2909" w:type="dxa"/>
            <w:vAlign w:val="center"/>
          </w:tcPr>
          <w:p w14:paraId="752C9DAE">
            <w:pPr>
              <w:snapToGrid w:val="0"/>
              <w:spacing w:line="264" w:lineRule="auto"/>
              <w:jc w:val="center"/>
              <w:rPr>
                <w:rFonts w:hint="eastAsia" w:ascii="宋体" w:hAnsi="宋体" w:cs="宋体"/>
                <w:color w:val="000000"/>
                <w:szCs w:val="21"/>
              </w:rPr>
            </w:pPr>
            <w:r>
              <w:rPr>
                <w:rFonts w:hint="eastAsia" w:ascii="宋体" w:hAnsi="宋体" w:cs="宋体"/>
                <w:color w:val="000000"/>
                <w:szCs w:val="21"/>
              </w:rPr>
              <w:t>第（ ）页-（ ）页</w:t>
            </w:r>
          </w:p>
        </w:tc>
      </w:tr>
      <w:tr w14:paraId="4850B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39" w:type="dxa"/>
            <w:vAlign w:val="center"/>
          </w:tcPr>
          <w:p w14:paraId="5564BF08">
            <w:pPr>
              <w:numPr>
                <w:ilvl w:val="0"/>
                <w:numId w:val="16"/>
              </w:numPr>
              <w:adjustRightInd w:val="0"/>
              <w:snapToGrid w:val="0"/>
              <w:spacing w:line="264" w:lineRule="auto"/>
              <w:jc w:val="center"/>
              <w:textAlignment w:val="baseline"/>
              <w:rPr>
                <w:rFonts w:hint="eastAsia" w:ascii="宋体" w:hAnsi="宋体" w:cs="宋体"/>
                <w:color w:val="000000"/>
                <w:szCs w:val="21"/>
              </w:rPr>
            </w:pPr>
          </w:p>
        </w:tc>
        <w:tc>
          <w:tcPr>
            <w:tcW w:w="2235" w:type="dxa"/>
            <w:shd w:val="clear" w:color="auto" w:fill="auto"/>
            <w:vAlign w:val="center"/>
          </w:tcPr>
          <w:p w14:paraId="15018BFF">
            <w:pPr>
              <w:jc w:val="center"/>
              <w:rPr>
                <w:rFonts w:hint="eastAsia" w:ascii="宋体" w:hAnsi="宋体" w:eastAsia="宋体" w:cs="Times New Roman"/>
                <w:kern w:val="2"/>
                <w:sz w:val="21"/>
                <w:szCs w:val="22"/>
                <w:lang w:val="en-US" w:eastAsia="zh-CN" w:bidi="ar-SA"/>
              </w:rPr>
            </w:pPr>
            <w:r>
              <w:rPr>
                <w:rFonts w:ascii="宋体" w:hAnsi="宋体"/>
              </w:rPr>
              <w:t xml:space="preserve">项目负责人 (1人) </w:t>
            </w:r>
          </w:p>
        </w:tc>
        <w:tc>
          <w:tcPr>
            <w:tcW w:w="3300" w:type="dxa"/>
            <w:vAlign w:val="center"/>
          </w:tcPr>
          <w:p w14:paraId="7764734D">
            <w:pPr>
              <w:jc w:val="center"/>
              <w:rPr>
                <w:rFonts w:hint="eastAsia" w:ascii="宋体" w:hAnsi="宋体" w:cs="宋体"/>
              </w:rPr>
            </w:pPr>
            <w:r>
              <w:rPr>
                <w:rFonts w:hint="eastAsia" w:ascii="宋体" w:hAnsi="宋体" w:cs="宋体"/>
                <w:color w:val="000000"/>
                <w:szCs w:val="21"/>
              </w:rPr>
              <w:t>请根据本评审文件提交相关内容</w:t>
            </w:r>
          </w:p>
        </w:tc>
        <w:tc>
          <w:tcPr>
            <w:tcW w:w="2909" w:type="dxa"/>
            <w:vAlign w:val="center"/>
          </w:tcPr>
          <w:p w14:paraId="63A83D9E">
            <w:pPr>
              <w:snapToGrid w:val="0"/>
              <w:spacing w:line="264" w:lineRule="auto"/>
              <w:jc w:val="center"/>
              <w:rPr>
                <w:rFonts w:hint="eastAsia" w:ascii="宋体" w:hAnsi="宋体" w:cs="宋体"/>
                <w:color w:val="000000"/>
                <w:szCs w:val="21"/>
              </w:rPr>
            </w:pPr>
            <w:r>
              <w:rPr>
                <w:rFonts w:hint="eastAsia" w:ascii="宋体" w:hAnsi="宋体" w:cs="宋体"/>
                <w:color w:val="000000"/>
                <w:szCs w:val="21"/>
              </w:rPr>
              <w:t>第（ ）页-（ ）页</w:t>
            </w:r>
          </w:p>
        </w:tc>
      </w:tr>
      <w:tr w14:paraId="463D2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39" w:type="dxa"/>
            <w:vAlign w:val="center"/>
          </w:tcPr>
          <w:p w14:paraId="5CB94C7C">
            <w:pPr>
              <w:numPr>
                <w:ilvl w:val="0"/>
                <w:numId w:val="16"/>
              </w:numPr>
              <w:adjustRightInd w:val="0"/>
              <w:snapToGrid w:val="0"/>
              <w:spacing w:line="264" w:lineRule="auto"/>
              <w:jc w:val="center"/>
              <w:textAlignment w:val="baseline"/>
              <w:rPr>
                <w:rFonts w:hint="eastAsia" w:ascii="宋体" w:hAnsi="宋体" w:cs="宋体"/>
                <w:color w:val="000000"/>
                <w:szCs w:val="21"/>
              </w:rPr>
            </w:pPr>
          </w:p>
        </w:tc>
        <w:tc>
          <w:tcPr>
            <w:tcW w:w="2235" w:type="dxa"/>
            <w:shd w:val="clear" w:color="auto" w:fill="auto"/>
            <w:vAlign w:val="center"/>
          </w:tcPr>
          <w:p w14:paraId="4525971A">
            <w:pPr>
              <w:jc w:val="center"/>
              <w:rPr>
                <w:rFonts w:hint="eastAsia" w:ascii="宋体" w:hAnsi="宋体" w:eastAsia="宋体" w:cs="Times New Roman"/>
                <w:kern w:val="2"/>
                <w:sz w:val="21"/>
                <w:szCs w:val="22"/>
                <w:lang w:val="en-US" w:eastAsia="zh-CN" w:bidi="ar-SA"/>
              </w:rPr>
            </w:pPr>
            <w:r>
              <w:rPr>
                <w:rFonts w:ascii="宋体" w:hAnsi="宋体"/>
              </w:rPr>
              <w:t>拟投入项目团队情况</w:t>
            </w:r>
          </w:p>
        </w:tc>
        <w:tc>
          <w:tcPr>
            <w:tcW w:w="3300" w:type="dxa"/>
            <w:vAlign w:val="center"/>
          </w:tcPr>
          <w:p w14:paraId="6E24BC88">
            <w:pPr>
              <w:jc w:val="center"/>
              <w:rPr>
                <w:rFonts w:hint="eastAsia" w:ascii="宋体" w:hAnsi="宋体" w:cs="宋体"/>
                <w:color w:val="000000"/>
                <w:szCs w:val="21"/>
              </w:rPr>
            </w:pPr>
            <w:r>
              <w:rPr>
                <w:rFonts w:hint="eastAsia" w:ascii="宋体" w:hAnsi="宋体" w:cs="宋体"/>
                <w:color w:val="000000"/>
                <w:szCs w:val="21"/>
              </w:rPr>
              <w:t>请根据本评审文件提交相关内容</w:t>
            </w:r>
          </w:p>
        </w:tc>
        <w:tc>
          <w:tcPr>
            <w:tcW w:w="2909" w:type="dxa"/>
            <w:vAlign w:val="center"/>
          </w:tcPr>
          <w:p w14:paraId="12619FD3">
            <w:pPr>
              <w:snapToGrid w:val="0"/>
              <w:spacing w:line="264" w:lineRule="auto"/>
              <w:jc w:val="center"/>
              <w:rPr>
                <w:rFonts w:hint="eastAsia" w:ascii="宋体" w:hAnsi="宋体" w:cs="宋体"/>
                <w:color w:val="000000"/>
                <w:szCs w:val="21"/>
              </w:rPr>
            </w:pPr>
            <w:r>
              <w:rPr>
                <w:rFonts w:hint="eastAsia" w:ascii="宋体" w:hAnsi="宋体" w:cs="宋体"/>
                <w:color w:val="000000"/>
                <w:szCs w:val="21"/>
              </w:rPr>
              <w:t>第（ ）页-（ ）页</w:t>
            </w:r>
          </w:p>
        </w:tc>
      </w:tr>
      <w:tr w14:paraId="27F3E2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739" w:type="dxa"/>
            <w:vAlign w:val="center"/>
          </w:tcPr>
          <w:p w14:paraId="327CCC59">
            <w:pPr>
              <w:numPr>
                <w:ilvl w:val="0"/>
                <w:numId w:val="16"/>
              </w:numPr>
              <w:adjustRightInd w:val="0"/>
              <w:snapToGrid w:val="0"/>
              <w:spacing w:line="264" w:lineRule="auto"/>
              <w:jc w:val="center"/>
              <w:textAlignment w:val="baseline"/>
              <w:rPr>
                <w:rFonts w:hint="eastAsia" w:ascii="宋体" w:hAnsi="宋体" w:cs="宋体"/>
                <w:color w:val="000000"/>
                <w:szCs w:val="21"/>
              </w:rPr>
            </w:pPr>
          </w:p>
        </w:tc>
        <w:tc>
          <w:tcPr>
            <w:tcW w:w="2235" w:type="dxa"/>
            <w:shd w:val="clear" w:color="auto" w:fill="auto"/>
            <w:vAlign w:val="center"/>
          </w:tcPr>
          <w:p w14:paraId="29685EF5">
            <w:pPr>
              <w:jc w:val="center"/>
              <w:rPr>
                <w:rFonts w:hint="eastAsia" w:ascii="宋体" w:hAnsi="宋体" w:eastAsia="宋体" w:cs="Times New Roman"/>
                <w:kern w:val="2"/>
                <w:sz w:val="21"/>
                <w:szCs w:val="22"/>
                <w:lang w:val="en-US" w:eastAsia="zh-CN" w:bidi="ar-SA"/>
              </w:rPr>
            </w:pPr>
            <w:r>
              <w:rPr>
                <w:rFonts w:ascii="宋体" w:hAnsi="宋体"/>
              </w:rPr>
              <w:t>拟投入设备</w:t>
            </w:r>
          </w:p>
        </w:tc>
        <w:tc>
          <w:tcPr>
            <w:tcW w:w="3300" w:type="dxa"/>
            <w:vAlign w:val="center"/>
          </w:tcPr>
          <w:p w14:paraId="501E535D">
            <w:pPr>
              <w:jc w:val="center"/>
              <w:rPr>
                <w:rFonts w:hint="eastAsia" w:ascii="宋体" w:hAnsi="宋体" w:cs="宋体"/>
                <w:color w:val="000000"/>
                <w:szCs w:val="21"/>
              </w:rPr>
            </w:pPr>
            <w:r>
              <w:rPr>
                <w:rFonts w:hint="eastAsia" w:ascii="宋体" w:hAnsi="宋体" w:cs="宋体"/>
                <w:color w:val="000000"/>
                <w:szCs w:val="21"/>
              </w:rPr>
              <w:t>请根据本评审文件提交相关内容</w:t>
            </w:r>
          </w:p>
        </w:tc>
        <w:tc>
          <w:tcPr>
            <w:tcW w:w="2909" w:type="dxa"/>
            <w:vAlign w:val="center"/>
          </w:tcPr>
          <w:p w14:paraId="3670FF03">
            <w:pPr>
              <w:snapToGrid w:val="0"/>
              <w:spacing w:line="264" w:lineRule="auto"/>
              <w:jc w:val="center"/>
              <w:rPr>
                <w:rFonts w:hint="eastAsia" w:ascii="宋体" w:hAnsi="宋体" w:cs="宋体"/>
                <w:color w:val="000000"/>
                <w:szCs w:val="21"/>
              </w:rPr>
            </w:pPr>
            <w:r>
              <w:rPr>
                <w:rFonts w:hint="eastAsia" w:ascii="宋体" w:hAnsi="宋体" w:cs="宋体"/>
                <w:color w:val="000000"/>
                <w:szCs w:val="21"/>
              </w:rPr>
              <w:t>第（ ）页-（ ）页</w:t>
            </w:r>
          </w:p>
        </w:tc>
      </w:tr>
    </w:tbl>
    <w:p w14:paraId="0171303E">
      <w:pPr>
        <w:pStyle w:val="9"/>
        <w:rPr>
          <w:rFonts w:hint="eastAsia" w:ascii="宋体" w:hAnsi="宋体" w:cs="宋体"/>
          <w:color w:val="000000"/>
          <w:lang w:val="zh-CN"/>
        </w:rPr>
      </w:pPr>
    </w:p>
    <w:p w14:paraId="6F7B15A7">
      <w:pPr>
        <w:pStyle w:val="9"/>
        <w:rPr>
          <w:rFonts w:hint="eastAsia" w:ascii="宋体" w:hAnsi="宋体" w:cs="宋体"/>
          <w:color w:val="000000"/>
          <w:lang w:val="zh-CN"/>
        </w:rPr>
      </w:pPr>
      <w:r>
        <w:rPr>
          <w:rFonts w:hint="eastAsia" w:ascii="宋体" w:hAnsi="宋体" w:cs="宋体"/>
          <w:color w:val="000000"/>
          <w:lang w:val="zh-CN"/>
        </w:rPr>
        <w:t>以上内容与用户需求的综合评分表内容不一致的，以用户需求内容为准。</w:t>
      </w:r>
    </w:p>
    <w:p w14:paraId="5FFAA82B">
      <w:pPr>
        <w:pStyle w:val="21"/>
        <w:ind w:left="0" w:leftChars="0" w:firstLine="0" w:firstLineChars="0"/>
        <w:rPr>
          <w:rFonts w:hint="eastAsia" w:ascii="宋体" w:hAnsi="宋体" w:cs="宋体"/>
        </w:rPr>
      </w:pPr>
    </w:p>
    <w:p w14:paraId="2E12673E">
      <w:pPr>
        <w:rPr>
          <w:rFonts w:hint="eastAsia" w:ascii="宋体" w:hAnsi="宋体" w:cs="宋体"/>
        </w:rPr>
      </w:pPr>
    </w:p>
    <w:p w14:paraId="130F8566">
      <w:pPr>
        <w:sectPr>
          <w:pgSz w:w="11906" w:h="16838"/>
          <w:pgMar w:top="1440" w:right="1797" w:bottom="1440" w:left="1797" w:header="851" w:footer="992" w:gutter="0"/>
          <w:cols w:space="425" w:num="1"/>
          <w:titlePg/>
          <w:docGrid w:type="lines" w:linePitch="312" w:charSpace="0"/>
        </w:sectPr>
      </w:pPr>
      <w:r>
        <w:rPr>
          <w:rFonts w:hint="eastAsia" w:ascii="宋体" w:hAnsi="宋体" w:cs="宋体"/>
          <w:b/>
          <w:bCs/>
          <w:sz w:val="32"/>
          <w:szCs w:val="32"/>
        </w:rPr>
        <w:br w:type="page"/>
      </w:r>
    </w:p>
    <w:p w14:paraId="557D65A8">
      <w:pPr>
        <w:pStyle w:val="13"/>
        <w:tabs>
          <w:tab w:val="left" w:pos="540"/>
        </w:tabs>
        <w:adjustRightInd w:val="0"/>
        <w:snapToGrid w:val="0"/>
        <w:spacing w:line="360" w:lineRule="auto"/>
        <w:rPr>
          <w:rFonts w:hint="eastAsia" w:hAnsi="宋体" w:cs="宋体"/>
          <w:b/>
          <w:bCs/>
          <w:sz w:val="21"/>
        </w:rPr>
      </w:pPr>
    </w:p>
    <w:p w14:paraId="46B1C26F">
      <w:pPr>
        <w:pStyle w:val="13"/>
        <w:tabs>
          <w:tab w:val="left" w:pos="540"/>
        </w:tabs>
        <w:adjustRightInd w:val="0"/>
        <w:snapToGrid w:val="0"/>
        <w:spacing w:line="360" w:lineRule="auto"/>
        <w:jc w:val="center"/>
        <w:outlineLvl w:val="1"/>
        <w:rPr>
          <w:rFonts w:hint="eastAsia" w:hAnsi="宋体" w:cs="宋体"/>
          <w:b/>
          <w:bCs/>
          <w:color w:val="000000"/>
          <w:kern w:val="2"/>
          <w:sz w:val="32"/>
          <w:szCs w:val="32"/>
        </w:rPr>
      </w:pPr>
      <w:r>
        <w:rPr>
          <w:rFonts w:hint="eastAsia" w:hAnsi="宋体" w:cs="宋体"/>
          <w:b/>
          <w:bCs/>
          <w:color w:val="000000"/>
          <w:kern w:val="2"/>
          <w:sz w:val="32"/>
          <w:szCs w:val="32"/>
        </w:rPr>
        <w:t>报价表</w:t>
      </w:r>
    </w:p>
    <w:tbl>
      <w:tblPr>
        <w:tblStyle w:val="22"/>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91"/>
        <w:gridCol w:w="982"/>
        <w:gridCol w:w="1764"/>
        <w:gridCol w:w="1757"/>
        <w:gridCol w:w="1025"/>
      </w:tblGrid>
      <w:tr w14:paraId="7DDC02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755" w:type="pct"/>
            <w:tcBorders>
              <w:top w:val="single" w:color="auto" w:sz="12" w:space="0"/>
              <w:bottom w:val="single" w:color="auto" w:sz="2" w:space="0"/>
            </w:tcBorders>
            <w:shd w:val="clear" w:color="auto" w:fill="EEECE1"/>
            <w:vAlign w:val="center"/>
          </w:tcPr>
          <w:p w14:paraId="2C7D0573">
            <w:pPr>
              <w:jc w:val="center"/>
              <w:rPr>
                <w:rFonts w:hint="eastAsia" w:ascii="宋体" w:hAnsi="宋体"/>
                <w:b/>
                <w:color w:val="000000"/>
                <w:szCs w:val="21"/>
              </w:rPr>
            </w:pPr>
            <w:r>
              <w:rPr>
                <w:rFonts w:hint="eastAsia" w:ascii="宋体" w:hAnsi="宋体"/>
                <w:b/>
                <w:color w:val="000000"/>
                <w:szCs w:val="21"/>
              </w:rPr>
              <w:t>采购内容</w:t>
            </w:r>
          </w:p>
        </w:tc>
        <w:tc>
          <w:tcPr>
            <w:tcW w:w="576" w:type="pct"/>
            <w:tcBorders>
              <w:top w:val="single" w:color="auto" w:sz="12" w:space="0"/>
              <w:bottom w:val="single" w:color="auto" w:sz="2" w:space="0"/>
            </w:tcBorders>
            <w:shd w:val="clear" w:color="auto" w:fill="EEECE1"/>
            <w:vAlign w:val="center"/>
          </w:tcPr>
          <w:p w14:paraId="5346E08C">
            <w:pPr>
              <w:jc w:val="center"/>
              <w:rPr>
                <w:rFonts w:hint="eastAsia" w:ascii="宋体" w:hAnsi="宋体"/>
                <w:b/>
                <w:szCs w:val="21"/>
              </w:rPr>
            </w:pPr>
            <w:r>
              <w:rPr>
                <w:rFonts w:hint="eastAsia" w:ascii="宋体" w:hAnsi="宋体"/>
                <w:b/>
                <w:szCs w:val="21"/>
              </w:rPr>
              <w:t>数量</w:t>
            </w:r>
          </w:p>
        </w:tc>
        <w:tc>
          <w:tcPr>
            <w:tcW w:w="1035" w:type="pct"/>
            <w:tcBorders>
              <w:top w:val="single" w:color="auto" w:sz="12" w:space="0"/>
              <w:bottom w:val="single" w:color="auto" w:sz="2" w:space="0"/>
            </w:tcBorders>
            <w:shd w:val="clear" w:color="auto" w:fill="EEECE1"/>
            <w:vAlign w:val="center"/>
          </w:tcPr>
          <w:p w14:paraId="6121378B">
            <w:pPr>
              <w:jc w:val="center"/>
              <w:rPr>
                <w:rFonts w:hint="eastAsia" w:ascii="宋体" w:hAnsi="宋体"/>
                <w:b/>
                <w:szCs w:val="21"/>
              </w:rPr>
            </w:pPr>
            <w:r>
              <w:rPr>
                <w:rFonts w:hint="eastAsia" w:ascii="宋体" w:hAnsi="宋体" w:cs="宋体"/>
                <w:b/>
                <w:szCs w:val="21"/>
              </w:rPr>
              <w:t>最高预算（含税）</w:t>
            </w:r>
          </w:p>
        </w:tc>
        <w:tc>
          <w:tcPr>
            <w:tcW w:w="1031" w:type="pct"/>
            <w:tcBorders>
              <w:top w:val="single" w:color="auto" w:sz="12" w:space="0"/>
              <w:bottom w:val="single" w:color="auto" w:sz="2" w:space="0"/>
            </w:tcBorders>
            <w:shd w:val="clear" w:color="auto" w:fill="EEECE1"/>
            <w:vAlign w:val="center"/>
          </w:tcPr>
          <w:p w14:paraId="525CC3C9">
            <w:pPr>
              <w:jc w:val="center"/>
              <w:rPr>
                <w:rFonts w:hint="eastAsia" w:ascii="宋体" w:hAnsi="宋体"/>
                <w:b/>
                <w:szCs w:val="21"/>
              </w:rPr>
            </w:pPr>
            <w:r>
              <w:rPr>
                <w:rFonts w:hint="eastAsia" w:ascii="宋体" w:hAnsi="宋体"/>
                <w:b/>
                <w:szCs w:val="21"/>
              </w:rPr>
              <w:t>所报下浮率</w:t>
            </w:r>
          </w:p>
        </w:tc>
        <w:tc>
          <w:tcPr>
            <w:tcW w:w="601" w:type="pct"/>
            <w:tcBorders>
              <w:top w:val="single" w:color="auto" w:sz="12" w:space="0"/>
              <w:bottom w:val="single" w:color="auto" w:sz="2" w:space="0"/>
            </w:tcBorders>
            <w:shd w:val="clear" w:color="auto" w:fill="EEECE1"/>
            <w:vAlign w:val="center"/>
          </w:tcPr>
          <w:p w14:paraId="4BCFCC43">
            <w:pPr>
              <w:jc w:val="center"/>
              <w:rPr>
                <w:rFonts w:hint="eastAsia" w:ascii="宋体" w:hAnsi="宋体"/>
                <w:b/>
                <w:szCs w:val="21"/>
              </w:rPr>
            </w:pPr>
            <w:r>
              <w:rPr>
                <w:rFonts w:hint="eastAsia" w:ascii="宋体" w:hAnsi="宋体"/>
                <w:b/>
                <w:szCs w:val="21"/>
              </w:rPr>
              <w:t>备注</w:t>
            </w:r>
          </w:p>
        </w:tc>
      </w:tr>
      <w:tr w14:paraId="541DD9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755" w:type="pct"/>
            <w:tcBorders>
              <w:top w:val="single" w:color="auto" w:sz="2" w:space="0"/>
              <w:bottom w:val="single" w:color="auto" w:sz="2" w:space="0"/>
            </w:tcBorders>
            <w:vAlign w:val="center"/>
          </w:tcPr>
          <w:p w14:paraId="7C6451DA">
            <w:pPr>
              <w:jc w:val="center"/>
              <w:rPr>
                <w:rFonts w:hint="eastAsia" w:ascii="宋体" w:hAnsi="宋体"/>
                <w:color w:val="000000"/>
                <w:szCs w:val="21"/>
              </w:rPr>
            </w:pPr>
            <w:r>
              <w:rPr>
                <w:rFonts w:hint="eastAsia" w:ascii="宋体" w:hAnsi="宋体" w:cs="宋体"/>
                <w:b/>
                <w:szCs w:val="21"/>
                <w:u w:val="single"/>
              </w:rPr>
              <w:t>2025-2026年度广东省肇庆监狱视频拍摄项目</w:t>
            </w:r>
          </w:p>
        </w:tc>
        <w:tc>
          <w:tcPr>
            <w:tcW w:w="576" w:type="pct"/>
            <w:tcBorders>
              <w:top w:val="single" w:color="auto" w:sz="2" w:space="0"/>
              <w:bottom w:val="single" w:color="auto" w:sz="2" w:space="0"/>
            </w:tcBorders>
            <w:vAlign w:val="center"/>
          </w:tcPr>
          <w:p w14:paraId="2FA5213E">
            <w:pPr>
              <w:keepNext/>
              <w:adjustRightInd w:val="0"/>
              <w:jc w:val="center"/>
              <w:textAlignment w:val="center"/>
              <w:rPr>
                <w:rFonts w:hint="eastAsia" w:ascii="宋体" w:hAnsi="宋体"/>
                <w:szCs w:val="21"/>
              </w:rPr>
            </w:pPr>
            <w:r>
              <w:rPr>
                <w:rFonts w:hint="eastAsia" w:ascii="宋体" w:hAnsi="宋体"/>
                <w:szCs w:val="21"/>
              </w:rPr>
              <w:t>1项</w:t>
            </w:r>
          </w:p>
        </w:tc>
        <w:tc>
          <w:tcPr>
            <w:tcW w:w="1035" w:type="pct"/>
            <w:tcBorders>
              <w:top w:val="single" w:color="auto" w:sz="2" w:space="0"/>
              <w:bottom w:val="single" w:color="auto" w:sz="2" w:space="0"/>
            </w:tcBorders>
            <w:vAlign w:val="center"/>
          </w:tcPr>
          <w:p w14:paraId="6CF9038A">
            <w:pPr>
              <w:keepNext/>
              <w:adjustRightInd w:val="0"/>
              <w:jc w:val="center"/>
              <w:textAlignment w:val="center"/>
              <w:rPr>
                <w:rFonts w:hint="eastAsia" w:ascii="宋体" w:hAnsi="宋体"/>
                <w:szCs w:val="21"/>
              </w:rPr>
            </w:pPr>
            <w:r>
              <w:rPr>
                <w:rFonts w:hint="eastAsia" w:ascii="宋体" w:hAnsi="宋体"/>
                <w:bCs/>
                <w:szCs w:val="21"/>
              </w:rPr>
              <w:t>174000</w:t>
            </w:r>
          </w:p>
        </w:tc>
        <w:tc>
          <w:tcPr>
            <w:tcW w:w="1031" w:type="pct"/>
            <w:tcBorders>
              <w:top w:val="single" w:color="auto" w:sz="2" w:space="0"/>
              <w:bottom w:val="single" w:color="auto" w:sz="2" w:space="0"/>
            </w:tcBorders>
            <w:vAlign w:val="center"/>
          </w:tcPr>
          <w:p w14:paraId="2809B1EE">
            <w:pPr>
              <w:pStyle w:val="13"/>
              <w:tabs>
                <w:tab w:val="left" w:pos="540"/>
              </w:tabs>
              <w:adjustRightInd w:val="0"/>
              <w:snapToGrid w:val="0"/>
              <w:jc w:val="center"/>
              <w:rPr>
                <w:rFonts w:hint="eastAsia" w:hAnsi="宋体"/>
                <w:sz w:val="21"/>
              </w:rPr>
            </w:pPr>
            <w:r>
              <w:rPr>
                <w:rFonts w:hint="eastAsia" w:hAnsi="宋体" w:cs="宋体"/>
                <w:color w:val="000000"/>
                <w:sz w:val="21"/>
                <w:u w:val="single"/>
              </w:rPr>
              <w:t xml:space="preserve">    </w:t>
            </w:r>
            <w:r>
              <w:rPr>
                <w:rFonts w:hint="eastAsia" w:hAnsi="宋体" w:cs="宋体"/>
                <w:color w:val="000000"/>
                <w:sz w:val="21"/>
              </w:rPr>
              <w:t>%</w:t>
            </w:r>
          </w:p>
        </w:tc>
        <w:tc>
          <w:tcPr>
            <w:tcW w:w="601" w:type="pct"/>
            <w:tcBorders>
              <w:top w:val="single" w:color="auto" w:sz="2" w:space="0"/>
              <w:bottom w:val="single" w:color="auto" w:sz="2" w:space="0"/>
            </w:tcBorders>
            <w:vAlign w:val="center"/>
          </w:tcPr>
          <w:p w14:paraId="16FBC76A">
            <w:pPr>
              <w:pStyle w:val="13"/>
              <w:tabs>
                <w:tab w:val="left" w:pos="540"/>
              </w:tabs>
              <w:adjustRightInd w:val="0"/>
              <w:snapToGrid w:val="0"/>
              <w:jc w:val="center"/>
              <w:rPr>
                <w:rFonts w:hint="eastAsia" w:hAnsi="宋体" w:cs="宋体"/>
                <w:color w:val="000000"/>
                <w:sz w:val="21"/>
                <w:u w:val="single"/>
              </w:rPr>
            </w:pPr>
          </w:p>
        </w:tc>
      </w:tr>
    </w:tbl>
    <w:p w14:paraId="183621C4">
      <w:pPr>
        <w:spacing w:line="500" w:lineRule="exact"/>
        <w:rPr>
          <w:rFonts w:hint="eastAsia" w:ascii="宋体" w:hAnsi="宋体" w:cs="宋体"/>
          <w:b/>
          <w:bCs/>
          <w:color w:val="000000"/>
          <w:sz w:val="32"/>
          <w:szCs w:val="32"/>
        </w:rPr>
      </w:pPr>
      <w:r>
        <w:rPr>
          <w:rFonts w:hint="eastAsia" w:ascii="宋体" w:hAnsi="宋体"/>
          <w:b/>
          <w:color w:val="000000"/>
          <w:spacing w:val="4"/>
          <w:szCs w:val="21"/>
        </w:rPr>
        <w:t>注：</w:t>
      </w:r>
    </w:p>
    <w:p w14:paraId="6FBA1F56">
      <w:pPr>
        <w:widowControl/>
        <w:numPr>
          <w:ilvl w:val="0"/>
          <w:numId w:val="17"/>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供应商必须按报价表的格式填写，不得增加或删除表格内容。除项目要求填写的内容外，不得擅自改动报价表内容，否则将有可能影响成交结果，不推荐为成交候选人；</w:t>
      </w:r>
    </w:p>
    <w:p w14:paraId="52511CDA">
      <w:pPr>
        <w:widowControl/>
        <w:numPr>
          <w:ilvl w:val="0"/>
          <w:numId w:val="17"/>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所有价格均系用人民币表示，单位为元，均为含税价；</w:t>
      </w:r>
    </w:p>
    <w:p w14:paraId="0CCCC5B8">
      <w:pPr>
        <w:widowControl/>
        <w:numPr>
          <w:ilvl w:val="0"/>
          <w:numId w:val="17"/>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平台上报价与报价表报价不一致的，以报价表报价（经价格核准后的价格）为准；</w:t>
      </w:r>
    </w:p>
    <w:p w14:paraId="26C9D440">
      <w:pPr>
        <w:widowControl/>
        <w:numPr>
          <w:ilvl w:val="0"/>
          <w:numId w:val="17"/>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下浮率报价没有大于或等于100%，也没有为负数，且是固定唯一值的，否则为无效报价；下浮率高的为成交供应商。供应商所报下浮率为成交下浮率，即：结算单价=单价最高限价*（1-成交下浮率）；在本项目合同服务履行期间，该下浮率不作另行调整；</w:t>
      </w:r>
    </w:p>
    <w:p w14:paraId="27E05BC4">
      <w:pPr>
        <w:widowControl/>
        <w:numPr>
          <w:ilvl w:val="0"/>
          <w:numId w:val="17"/>
        </w:numPr>
        <w:spacing w:line="360" w:lineRule="auto"/>
        <w:ind w:left="284" w:hanging="284"/>
        <w:jc w:val="left"/>
        <w:rPr>
          <w:rFonts w:hint="eastAsia" w:ascii="宋体" w:hAnsi="宋体"/>
          <w:b/>
          <w:bCs/>
          <w:color w:val="000000"/>
          <w:kern w:val="0"/>
          <w:szCs w:val="21"/>
        </w:rPr>
      </w:pPr>
      <w:r>
        <w:rPr>
          <w:rFonts w:hint="eastAsia" w:ascii="宋体" w:hAnsi="宋体"/>
          <w:b/>
          <w:bCs/>
          <w:color w:val="000000"/>
          <w:kern w:val="0"/>
          <w:szCs w:val="21"/>
        </w:rPr>
        <w:t>下浮率的报价均应包含国家规定的税费；</w:t>
      </w:r>
    </w:p>
    <w:p w14:paraId="652D30BD">
      <w:pPr>
        <w:widowControl/>
        <w:numPr>
          <w:ilvl w:val="0"/>
          <w:numId w:val="17"/>
        </w:numPr>
        <w:spacing w:line="360" w:lineRule="auto"/>
        <w:ind w:left="284" w:hanging="284"/>
        <w:jc w:val="left"/>
        <w:rPr>
          <w:kern w:val="0"/>
          <w:sz w:val="20"/>
          <w:szCs w:val="20"/>
        </w:rPr>
      </w:pPr>
      <w:r>
        <w:rPr>
          <w:rFonts w:hint="eastAsia" w:ascii="宋体" w:hAnsi="宋体"/>
          <w:b/>
          <w:bCs/>
          <w:color w:val="000000"/>
          <w:kern w:val="0"/>
          <w:szCs w:val="21"/>
        </w:rPr>
        <w:t>本项目不接受有选择性的报价，只允许报一个下浮率，且所报的下浮率应当适用于该类别所有产品单品</w:t>
      </w:r>
      <w:r>
        <w:rPr>
          <w:rFonts w:hint="eastAsia" w:ascii="宋体" w:hAnsi="宋体"/>
          <w:b/>
          <w:bCs/>
          <w:kern w:val="0"/>
        </w:rPr>
        <w:t>。</w:t>
      </w:r>
    </w:p>
    <w:p w14:paraId="11B3A7E4">
      <w:pPr>
        <w:pStyle w:val="18"/>
        <w:shd w:val="clear" w:color="auto" w:fill="FFFFFF"/>
        <w:spacing w:before="0" w:beforeAutospacing="0" w:after="0" w:afterAutospacing="0" w:line="276" w:lineRule="auto"/>
        <w:ind w:left="420"/>
        <w:rPr>
          <w:rFonts w:hint="eastAsia"/>
          <w:b/>
          <w:sz w:val="21"/>
          <w:szCs w:val="21"/>
        </w:rPr>
      </w:pPr>
    </w:p>
    <w:p w14:paraId="343C9884">
      <w:pPr>
        <w:spacing w:line="360" w:lineRule="auto"/>
        <w:rPr>
          <w:rFonts w:hint="eastAsia" w:ascii="宋体" w:hAnsi="宋体" w:cs="宋体"/>
          <w:spacing w:val="4"/>
          <w:szCs w:val="21"/>
          <w:u w:val="single"/>
        </w:rPr>
      </w:pPr>
      <w:r>
        <w:rPr>
          <w:rFonts w:hint="eastAsia" w:ascii="宋体" w:hAnsi="宋体" w:cs="宋体"/>
          <w:spacing w:val="4"/>
          <w:szCs w:val="21"/>
        </w:rPr>
        <w:t>供应商名称（</w:t>
      </w:r>
      <w:r>
        <w:rPr>
          <w:rFonts w:hint="eastAsia" w:ascii="宋体" w:hAnsi="宋体" w:cs="宋体"/>
          <w:szCs w:val="21"/>
        </w:rPr>
        <w:t>单位盖</w:t>
      </w:r>
      <w:r>
        <w:rPr>
          <w:rFonts w:hint="eastAsia" w:ascii="宋体" w:hAnsi="宋体" w:cs="宋体"/>
          <w:spacing w:val="4"/>
          <w:szCs w:val="21"/>
        </w:rPr>
        <w:t>公章）：</w:t>
      </w:r>
      <w:r>
        <w:rPr>
          <w:rFonts w:hint="eastAsia" w:ascii="宋体" w:hAnsi="宋体" w:cs="宋体"/>
          <w:spacing w:val="4"/>
          <w:szCs w:val="21"/>
          <w:u w:val="single"/>
        </w:rPr>
        <w:t xml:space="preserve">                     </w:t>
      </w:r>
    </w:p>
    <w:p w14:paraId="13B3CCC2">
      <w:pPr>
        <w:pStyle w:val="21"/>
        <w:ind w:left="0" w:leftChars="0" w:firstLine="0" w:firstLineChars="0"/>
        <w:rPr>
          <w:rFonts w:hint="eastAsia" w:ascii="宋体" w:hAnsi="宋体" w:cs="宋体"/>
        </w:rPr>
      </w:pPr>
      <w:r>
        <w:rPr>
          <w:rFonts w:hint="eastAsia" w:ascii="宋体" w:hAnsi="宋体" w:cs="宋体"/>
        </w:rPr>
        <w:t>日期：</w:t>
      </w:r>
    </w:p>
    <w:p w14:paraId="73C2E8EB">
      <w:pPr>
        <w:spacing w:before="156" w:beforeLines="50" w:line="360" w:lineRule="auto"/>
        <w:jc w:val="center"/>
        <w:rPr>
          <w:rFonts w:hint="eastAsia" w:ascii="宋体" w:hAnsi="宋体" w:cs="宋体"/>
        </w:rPr>
      </w:pPr>
    </w:p>
    <w:p w14:paraId="176E734A">
      <w:pPr>
        <w:spacing w:before="156" w:beforeLines="50" w:line="360" w:lineRule="auto"/>
        <w:jc w:val="center"/>
        <w:rPr>
          <w:rFonts w:hint="eastAsia" w:ascii="宋体" w:hAnsi="宋体" w:cs="宋体"/>
        </w:rPr>
      </w:pPr>
    </w:p>
    <w:p w14:paraId="0349915D">
      <w:pPr>
        <w:spacing w:before="156" w:beforeLines="50" w:line="360" w:lineRule="auto"/>
        <w:jc w:val="center"/>
        <w:rPr>
          <w:rFonts w:hint="eastAsia" w:ascii="宋体" w:hAnsi="宋体" w:cs="宋体"/>
        </w:rPr>
      </w:pPr>
    </w:p>
    <w:p w14:paraId="385A4818">
      <w:pPr>
        <w:spacing w:before="156" w:beforeLines="50" w:line="360" w:lineRule="auto"/>
        <w:jc w:val="center"/>
        <w:rPr>
          <w:rFonts w:hint="eastAsia" w:ascii="宋体" w:hAnsi="宋体" w:cs="宋体"/>
        </w:rPr>
      </w:pPr>
    </w:p>
    <w:p w14:paraId="7A8C9A1B">
      <w:pPr>
        <w:spacing w:before="156" w:beforeLines="50" w:line="360" w:lineRule="auto"/>
        <w:jc w:val="center"/>
        <w:rPr>
          <w:rFonts w:hint="eastAsia" w:ascii="宋体" w:hAnsi="宋体" w:cs="宋体"/>
        </w:rPr>
      </w:pPr>
    </w:p>
    <w:p w14:paraId="7F010965">
      <w:pPr>
        <w:rPr>
          <w:rFonts w:hint="eastAsia" w:ascii="宋体" w:hAnsi="宋体" w:cs="宋体"/>
        </w:rPr>
      </w:pPr>
      <w:r>
        <w:rPr>
          <w:rFonts w:hint="eastAsia" w:ascii="宋体" w:hAnsi="宋体" w:cs="宋体"/>
        </w:rPr>
        <w:br w:type="page"/>
      </w:r>
    </w:p>
    <w:p w14:paraId="65D2772D">
      <w:pPr>
        <w:pStyle w:val="3"/>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5632F38E">
      <w:pPr>
        <w:rPr>
          <w:rFonts w:hint="eastAsia" w:ascii="宋体" w:hAnsi="宋体" w:cs="宋体"/>
          <w:b/>
          <w:color w:val="000000" w:themeColor="text1"/>
          <w:szCs w:val="24"/>
          <w14:textFill>
            <w14:solidFill>
              <w14:schemeClr w14:val="tx1"/>
            </w14:solidFill>
          </w14:textFill>
        </w:rPr>
      </w:pPr>
    </w:p>
    <w:p w14:paraId="7BB6723D">
      <w:pPr>
        <w:rPr>
          <w:rFonts w:hint="eastAsia"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致：</w:t>
      </w:r>
      <w:r>
        <w:rPr>
          <w:rFonts w:hint="eastAsia" w:ascii="宋体" w:hAnsi="宋体" w:cs="宋体"/>
          <w:b/>
          <w:color w:val="000000" w:themeColor="text1"/>
          <w:szCs w:val="24"/>
          <w14:textFill>
            <w14:solidFill>
              <w14:schemeClr w14:val="tx1"/>
            </w14:solidFill>
          </w14:textFill>
        </w:rPr>
        <w:t>广东省肇庆监狱、</w:t>
      </w:r>
      <w:r>
        <w:rPr>
          <w:rFonts w:hint="eastAsia" w:ascii="宋体" w:hAnsi="宋体" w:cs="宋体"/>
          <w:b/>
          <w:color w:val="000000" w:themeColor="text1"/>
          <w14:textFill>
            <w14:solidFill>
              <w14:schemeClr w14:val="tx1"/>
            </w14:solidFill>
          </w14:textFill>
        </w:rPr>
        <w:t>采联国际招标采购集团有限公司</w:t>
      </w:r>
      <w:r>
        <w:rPr>
          <w:rFonts w:hint="eastAsia" w:ascii="宋体" w:hAnsi="宋体" w:cs="宋体"/>
          <w:b/>
          <w:color w:val="000000" w:themeColor="text1"/>
          <w:szCs w:val="24"/>
          <w14:textFill>
            <w14:solidFill>
              <w14:schemeClr w14:val="tx1"/>
            </w14:solidFill>
          </w14:textFill>
        </w:rPr>
        <w:t>：</w:t>
      </w:r>
    </w:p>
    <w:p w14:paraId="21497E54">
      <w:pPr>
        <w:rPr>
          <w:rFonts w:hint="eastAsia" w:ascii="宋体" w:hAnsi="宋体" w:cs="宋体"/>
          <w:b/>
          <w:color w:val="000000" w:themeColor="text1"/>
          <w:szCs w:val="24"/>
          <w14:textFill>
            <w14:solidFill>
              <w14:schemeClr w14:val="tx1"/>
            </w14:solidFill>
          </w14:textFill>
        </w:rPr>
      </w:pPr>
    </w:p>
    <w:p w14:paraId="1B803336">
      <w:pPr>
        <w:snapToGrid w:val="0"/>
        <w:spacing w:line="360" w:lineRule="auto"/>
        <w:ind w:firstLine="424" w:firstLineChars="202"/>
        <w:rPr>
          <w:rFonts w:hint="eastAsia"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关于贵单位、贵司发布</w:t>
      </w:r>
      <w:r>
        <w:rPr>
          <w:rFonts w:hint="eastAsia" w:ascii="宋体" w:hAnsi="宋体" w:cs="宋体"/>
          <w:szCs w:val="21"/>
        </w:rPr>
        <w:t>发布</w:t>
      </w:r>
      <w:r>
        <w:rPr>
          <w:rFonts w:hint="eastAsia" w:ascii="宋体" w:hAnsi="宋体" w:cs="宋体"/>
          <w:b/>
          <w:szCs w:val="21"/>
          <w:u w:val="single"/>
        </w:rPr>
        <w:t>2025-2026年度广东省肇庆监狱视频拍摄项目</w:t>
      </w:r>
      <w:r>
        <w:rPr>
          <w:rFonts w:hint="eastAsia" w:ascii="宋体" w:hAnsi="宋体" w:cs="宋体"/>
          <w:color w:val="000000" w:themeColor="text1"/>
          <w:szCs w:val="24"/>
          <w14:textFill>
            <w14:solidFill>
              <w14:schemeClr w14:val="tx1"/>
            </w14:solidFill>
          </w14:textFill>
        </w:rPr>
        <w:t>的</w:t>
      </w:r>
      <w:r>
        <w:rPr>
          <w:rFonts w:hint="eastAsia" w:ascii="宋体" w:hAnsi="宋体" w:cs="宋体"/>
          <w:szCs w:val="24"/>
        </w:rPr>
        <w:t>评审公告</w:t>
      </w:r>
      <w:r>
        <w:rPr>
          <w:rFonts w:hint="eastAsia" w:ascii="宋体" w:hAnsi="宋体" w:cs="宋体"/>
          <w:color w:val="000000" w:themeColor="text1"/>
          <w:szCs w:val="24"/>
          <w14:textFill>
            <w14:solidFill>
              <w14:schemeClr w14:val="tx1"/>
            </w14:solidFill>
          </w14:textFill>
        </w:rPr>
        <w:t>，本公司（企业）愿意参加</w:t>
      </w:r>
      <w:r>
        <w:rPr>
          <w:rFonts w:hint="eastAsia" w:ascii="宋体" w:hAnsi="宋体" w:cs="宋体"/>
        </w:rPr>
        <w:t>综合评分</w:t>
      </w:r>
      <w:r>
        <w:rPr>
          <w:rFonts w:hint="eastAsia" w:ascii="宋体" w:hAnsi="宋体" w:cs="宋体"/>
          <w:color w:val="000000" w:themeColor="text1"/>
          <w:szCs w:val="24"/>
          <w14:textFill>
            <w14:solidFill>
              <w14:schemeClr w14:val="tx1"/>
            </w14:solidFill>
          </w14:textFill>
        </w:rPr>
        <w:t>，并作出如下声明：</w:t>
      </w:r>
    </w:p>
    <w:p w14:paraId="2039582A">
      <w:pPr>
        <w:snapToGrid w:val="0"/>
        <w:spacing w:line="360" w:lineRule="auto"/>
        <w:ind w:firstLine="420" w:firstLineChars="200"/>
        <w:rPr>
          <w:rFonts w:hint="eastAsia" w:ascii="宋体" w:hAnsi="宋体"/>
          <w:bCs/>
          <w:szCs w:val="20"/>
        </w:rPr>
      </w:pPr>
      <w:r>
        <w:rPr>
          <w:rFonts w:hint="eastAsia" w:ascii="宋体" w:hAnsi="宋体"/>
          <w:szCs w:val="24"/>
        </w:rPr>
        <w:t>一、本公司（企业）</w:t>
      </w:r>
      <w:r>
        <w:rPr>
          <w:rFonts w:hint="eastAsia" w:ascii="宋体" w:hAnsi="宋体"/>
          <w:bCs/>
          <w:szCs w:val="20"/>
        </w:rPr>
        <w:t>具备：</w:t>
      </w:r>
    </w:p>
    <w:p w14:paraId="52F809EA">
      <w:pPr>
        <w:widowControl/>
        <w:spacing w:line="360" w:lineRule="auto"/>
        <w:ind w:firstLine="360"/>
        <w:rPr>
          <w:rFonts w:hint="eastAsia" w:ascii="宋体" w:hAnsi="宋体" w:cs="宋体"/>
          <w:kern w:val="0"/>
          <w:szCs w:val="21"/>
        </w:rPr>
      </w:pPr>
      <w:r>
        <w:rPr>
          <w:rFonts w:hint="eastAsia" w:ascii="宋体" w:hAnsi="宋体" w:cs="宋体"/>
          <w:kern w:val="0"/>
          <w:szCs w:val="21"/>
        </w:rPr>
        <w:t>（一）具有独立承担民事责任的能力；</w:t>
      </w:r>
    </w:p>
    <w:p w14:paraId="10A13ADD">
      <w:pPr>
        <w:widowControl/>
        <w:spacing w:line="360" w:lineRule="auto"/>
        <w:ind w:firstLine="360"/>
        <w:rPr>
          <w:rFonts w:hint="eastAsia" w:ascii="宋体" w:hAnsi="宋体" w:cs="宋体"/>
          <w:kern w:val="0"/>
          <w:szCs w:val="21"/>
        </w:rPr>
      </w:pPr>
      <w:r>
        <w:rPr>
          <w:rFonts w:hint="eastAsia" w:ascii="宋体" w:hAnsi="宋体" w:cs="宋体"/>
          <w:kern w:val="0"/>
          <w:szCs w:val="21"/>
        </w:rPr>
        <w:t>（二）具有良好的商业信誉和健全的财务会计制度；</w:t>
      </w:r>
      <w:r>
        <w:rPr>
          <w:rFonts w:ascii="宋体" w:hAnsi="宋体" w:cs="宋体"/>
          <w:kern w:val="0"/>
          <w:szCs w:val="21"/>
        </w:rPr>
        <w:t xml:space="preserve"> </w:t>
      </w:r>
    </w:p>
    <w:p w14:paraId="145BF67F">
      <w:pPr>
        <w:widowControl/>
        <w:spacing w:line="360" w:lineRule="auto"/>
        <w:ind w:firstLine="360"/>
        <w:rPr>
          <w:rFonts w:hint="eastAsia" w:ascii="宋体" w:hAnsi="宋体" w:cs="宋体"/>
          <w:kern w:val="0"/>
          <w:szCs w:val="21"/>
        </w:rPr>
      </w:pPr>
      <w:r>
        <w:rPr>
          <w:rFonts w:hint="eastAsia" w:ascii="宋体" w:hAnsi="宋体" w:cs="宋体"/>
          <w:kern w:val="0"/>
          <w:szCs w:val="21"/>
        </w:rPr>
        <w:t>（三）具有履行合同所必需的设备和专业技术能力；</w:t>
      </w:r>
    </w:p>
    <w:p w14:paraId="270C212F">
      <w:pPr>
        <w:widowControl/>
        <w:spacing w:line="360" w:lineRule="auto"/>
        <w:ind w:firstLine="360"/>
        <w:rPr>
          <w:rFonts w:hint="eastAsia" w:ascii="宋体" w:hAnsi="宋体" w:cs="宋体"/>
          <w:kern w:val="0"/>
          <w:szCs w:val="21"/>
        </w:rPr>
      </w:pPr>
      <w:r>
        <w:rPr>
          <w:rFonts w:hint="eastAsia" w:ascii="宋体" w:hAnsi="宋体" w:cs="宋体"/>
          <w:kern w:val="0"/>
          <w:szCs w:val="21"/>
        </w:rPr>
        <w:t>（四）有依法缴纳税收和社会保障资金的良好记录；</w:t>
      </w:r>
    </w:p>
    <w:p w14:paraId="1761C0A6">
      <w:pPr>
        <w:widowControl/>
        <w:spacing w:line="360" w:lineRule="auto"/>
        <w:ind w:firstLine="360"/>
        <w:rPr>
          <w:rFonts w:hint="eastAsia" w:ascii="宋体" w:hAnsi="宋体" w:cs="宋体"/>
          <w:kern w:val="0"/>
          <w:szCs w:val="21"/>
        </w:rPr>
      </w:pPr>
      <w:r>
        <w:rPr>
          <w:rFonts w:hint="eastAsia" w:ascii="宋体" w:hAnsi="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cs="宋体"/>
          <w:kern w:val="0"/>
          <w:szCs w:val="21"/>
        </w:rPr>
        <w:t>；</w:t>
      </w:r>
    </w:p>
    <w:p w14:paraId="1C28591A">
      <w:pPr>
        <w:widowControl/>
        <w:spacing w:line="360" w:lineRule="auto"/>
        <w:ind w:firstLine="360"/>
        <w:rPr>
          <w:rFonts w:hint="eastAsia" w:ascii="宋体" w:hAnsi="宋体" w:cs="宋体"/>
          <w:kern w:val="0"/>
          <w:szCs w:val="21"/>
        </w:rPr>
      </w:pPr>
      <w:r>
        <w:rPr>
          <w:rFonts w:hint="eastAsia" w:ascii="宋体" w:hAnsi="宋体" w:cs="宋体"/>
          <w:kern w:val="0"/>
          <w:szCs w:val="21"/>
        </w:rPr>
        <w:t>（六）法律、行政法规规定的其他条件。</w:t>
      </w:r>
    </w:p>
    <w:p w14:paraId="52EF0825">
      <w:pPr>
        <w:snapToGrid w:val="0"/>
        <w:spacing w:line="360" w:lineRule="auto"/>
        <w:ind w:firstLine="424" w:firstLineChars="202"/>
        <w:rPr>
          <w:rFonts w:hint="eastAsia" w:ascii="宋体" w:hAnsi="宋体"/>
          <w:szCs w:val="24"/>
        </w:rPr>
      </w:pPr>
      <w:r>
        <w:rPr>
          <w:rFonts w:hint="eastAsia" w:ascii="宋体" w:hAnsi="宋体"/>
          <w:szCs w:val="24"/>
        </w:rPr>
        <w:t>二、本公司（企业）的法定代表人或单位负责人与所参投的本项目其他供应商的法定代表人或单位负责人不为同一人且与其他供应商之间不存在直接控股、管理关系。</w:t>
      </w:r>
    </w:p>
    <w:p w14:paraId="37185B25">
      <w:pPr>
        <w:snapToGrid w:val="0"/>
        <w:spacing w:line="360" w:lineRule="auto"/>
        <w:ind w:firstLine="424" w:firstLineChars="202"/>
        <w:rPr>
          <w:rFonts w:hint="eastAsia" w:ascii="宋体" w:hAnsi="宋体"/>
          <w:szCs w:val="24"/>
        </w:rPr>
      </w:pPr>
      <w:r>
        <w:rPr>
          <w:rFonts w:hint="eastAsia" w:ascii="宋体" w:hAnsi="宋体"/>
          <w:szCs w:val="24"/>
        </w:rPr>
        <w:t>三、本公司（企业）</w:t>
      </w:r>
      <w:r>
        <w:rPr>
          <w:rFonts w:ascii="宋体" w:hAnsi="宋体"/>
          <w:szCs w:val="24"/>
        </w:rPr>
        <w:t>在本项目中不转包分包且不联合</w:t>
      </w:r>
      <w:r>
        <w:rPr>
          <w:rFonts w:hint="eastAsia" w:ascii="宋体" w:hAnsi="宋体"/>
          <w:szCs w:val="24"/>
        </w:rPr>
        <w:t>参评</w:t>
      </w:r>
      <w:r>
        <w:rPr>
          <w:rFonts w:ascii="宋体" w:hAnsi="宋体"/>
          <w:szCs w:val="24"/>
        </w:rPr>
        <w:t>。</w:t>
      </w:r>
    </w:p>
    <w:p w14:paraId="3C6D5CE7">
      <w:pPr>
        <w:snapToGrid w:val="0"/>
        <w:spacing w:line="360" w:lineRule="auto"/>
        <w:ind w:firstLine="424" w:firstLineChars="202"/>
        <w:rPr>
          <w:rFonts w:hint="eastAsia" w:ascii="宋体" w:hAnsi="宋体"/>
          <w:szCs w:val="21"/>
        </w:rPr>
      </w:pPr>
      <w:r>
        <w:rPr>
          <w:rFonts w:hint="eastAsia" w:ascii="宋体" w:hAnsi="宋体"/>
          <w:szCs w:val="21"/>
        </w:rPr>
        <w:t>本公司（企业）承诺在本次采购活动中，如有违法、违规、弄虚作假行为，所造成的损失、不良后果及法律责任，一律由我公司（企业）承担。</w:t>
      </w:r>
    </w:p>
    <w:p w14:paraId="4A91E82D">
      <w:pPr>
        <w:spacing w:line="360" w:lineRule="auto"/>
        <w:ind w:firstLine="420"/>
        <w:rPr>
          <w:rFonts w:hint="eastAsia" w:ascii="宋体" w:hAnsi="宋体"/>
          <w:szCs w:val="21"/>
        </w:rPr>
      </w:pPr>
      <w:r>
        <w:rPr>
          <w:rFonts w:hint="eastAsia" w:ascii="宋体" w:hAnsi="宋体"/>
          <w:szCs w:val="21"/>
        </w:rPr>
        <w:t>特此声明！</w:t>
      </w:r>
    </w:p>
    <w:p w14:paraId="5A84F384">
      <w:pPr>
        <w:autoSpaceDE w:val="0"/>
        <w:autoSpaceDN w:val="0"/>
        <w:adjustRightInd w:val="0"/>
        <w:spacing w:line="360" w:lineRule="auto"/>
        <w:ind w:firstLine="413" w:firstLineChars="196"/>
        <w:rPr>
          <w:rFonts w:hint="eastAsia"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备注：</w:t>
      </w:r>
    </w:p>
    <w:p w14:paraId="397F01BE">
      <w:pPr>
        <w:pStyle w:val="79"/>
        <w:numPr>
          <w:ilvl w:val="0"/>
          <w:numId w:val="18"/>
        </w:numPr>
        <w:autoSpaceDE w:val="0"/>
        <w:autoSpaceDN w:val="0"/>
        <w:adjustRightIn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本声明函必须提供且内容不得擅自删改，否则视为响应无效。</w:t>
      </w:r>
    </w:p>
    <w:p w14:paraId="5872BA5A">
      <w:pPr>
        <w:pStyle w:val="79"/>
        <w:numPr>
          <w:ilvl w:val="0"/>
          <w:numId w:val="18"/>
        </w:numPr>
        <w:snapToGrid w:val="0"/>
        <w:spacing w:line="360" w:lineRule="auto"/>
        <w:ind w:firstLineChars="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本声明函如有虚假或与事实不符的，作无效报价处理。</w:t>
      </w:r>
    </w:p>
    <w:p w14:paraId="4463F0DA">
      <w:pPr>
        <w:pStyle w:val="79"/>
        <w:spacing w:line="360" w:lineRule="auto"/>
        <w:ind w:left="1200" w:right="218" w:firstLine="0" w:firstLineChars="0"/>
        <w:jc w:val="right"/>
        <w:rPr>
          <w:rFonts w:hint="eastAsia"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pacing w:val="4"/>
          <w:szCs w:val="21"/>
          <w14:textFill>
            <w14:solidFill>
              <w14:schemeClr w14:val="tx1"/>
            </w14:solidFill>
          </w14:textFill>
        </w:rPr>
        <w:t>供应商名称（</w:t>
      </w:r>
      <w:r>
        <w:rPr>
          <w:rFonts w:hint="eastAsia" w:ascii="宋体" w:hAnsi="宋体" w:cs="宋体"/>
          <w:color w:val="000000" w:themeColor="text1"/>
          <w:szCs w:val="21"/>
          <w14:textFill>
            <w14:solidFill>
              <w14:schemeClr w14:val="tx1"/>
            </w14:solidFill>
          </w14:textFill>
        </w:rPr>
        <w:t>单位盖</w:t>
      </w:r>
      <w:r>
        <w:rPr>
          <w:rFonts w:hint="eastAsia" w:ascii="宋体" w:hAnsi="宋体" w:cs="宋体"/>
          <w:color w:val="000000" w:themeColor="text1"/>
          <w:spacing w:val="4"/>
          <w:szCs w:val="21"/>
          <w14:textFill>
            <w14:solidFill>
              <w14:schemeClr w14:val="tx1"/>
            </w14:solidFill>
          </w14:textFill>
        </w:rPr>
        <w:t>公章）：</w:t>
      </w:r>
      <w:r>
        <w:rPr>
          <w:rFonts w:hint="eastAsia" w:ascii="宋体" w:hAnsi="宋体" w:cs="宋体"/>
          <w:color w:val="000000" w:themeColor="text1"/>
          <w:spacing w:val="4"/>
          <w:szCs w:val="21"/>
          <w:u w:val="single"/>
          <w14:textFill>
            <w14:solidFill>
              <w14:schemeClr w14:val="tx1"/>
            </w14:solidFill>
          </w14:textFill>
        </w:rPr>
        <w:t xml:space="preserve">          </w:t>
      </w:r>
    </w:p>
    <w:p w14:paraId="491BB316">
      <w:pPr>
        <w:spacing w:line="360" w:lineRule="auto"/>
        <w:ind w:firstLine="5232" w:firstLineChars="2400"/>
        <w:rPr>
          <w:rFonts w:hint="eastAsia" w:ascii="宋体" w:hAnsi="宋体" w:cs="宋体"/>
        </w:rPr>
      </w:pPr>
      <w:r>
        <w:rPr>
          <w:rFonts w:hint="eastAsia" w:ascii="宋体" w:hAnsi="宋体" w:cs="宋体"/>
          <w:color w:val="000000" w:themeColor="text1"/>
          <w:spacing w:val="4"/>
          <w:szCs w:val="21"/>
          <w14:textFill>
            <w14:solidFill>
              <w14:schemeClr w14:val="tx1"/>
            </w14:solidFill>
          </w14:textFill>
        </w:rPr>
        <w:t>日期：</w:t>
      </w:r>
      <w:r>
        <w:rPr>
          <w:rFonts w:hint="eastAsia" w:ascii="宋体" w:hAnsi="宋体" w:cs="宋体"/>
          <w:color w:val="000000" w:themeColor="text1"/>
          <w:spacing w:val="4"/>
          <w:szCs w:val="21"/>
          <w:u w:val="single"/>
          <w14:textFill>
            <w14:solidFill>
              <w14:schemeClr w14:val="tx1"/>
            </w14:solidFill>
          </w14:textFill>
        </w:rPr>
        <w:t xml:space="preserve">   </w:t>
      </w:r>
    </w:p>
    <w:p w14:paraId="46B22F4E">
      <w:pPr>
        <w:rPr>
          <w:rFonts w:hint="eastAsia" w:ascii="宋体" w:hAnsi="宋体" w:cs="宋体"/>
          <w:szCs w:val="21"/>
        </w:rPr>
      </w:pPr>
    </w:p>
    <w:p w14:paraId="3CCD94C9">
      <w:pPr>
        <w:jc w:val="center"/>
        <w:rPr>
          <w:rFonts w:hint="eastAsia" w:ascii="宋体" w:hAnsi="宋体" w:cs="宋体"/>
          <w:szCs w:val="21"/>
        </w:rPr>
      </w:pPr>
    </w:p>
    <w:p w14:paraId="35D1A781"/>
    <w:sectPr>
      <w:head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lotter">
    <w:altName w:val="Times New Roman"/>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长城仿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
    <w:altName w:val="Courier New"/>
    <w:panose1 w:val="00000000000000000000"/>
    <w:charset w:val="00"/>
    <w:family w:val="auto"/>
    <w:pitch w:val="default"/>
    <w:sig w:usb0="00000000" w:usb1="00000000" w:usb2="00000000" w:usb3="00000000" w:csb0="00000001" w:csb1="00000000"/>
  </w:font>
  <w:font w:name="方正小标宋_GBK">
    <w:altName w:val="微软雅黑"/>
    <w:panose1 w:val="00000000000000000000"/>
    <w:charset w:val="86"/>
    <w:family w:val="script"/>
    <w:pitch w:val="default"/>
    <w:sig w:usb0="00000000" w:usb1="00000000" w:usb2="00082016" w:usb3="00000000" w:csb0="00040001" w:csb1="00000000"/>
  </w:font>
  <w:font w:name="Microsoft YaHei UI">
    <w:panose1 w:val="020B0503020204020204"/>
    <w:charset w:val="86"/>
    <w:family w:val="swiss"/>
    <w:pitch w:val="default"/>
    <w:sig w:usb0="80000287" w:usb1="2ACF3C50" w:usb2="00000016" w:usb3="00000000" w:csb0="0004001F" w:csb1="00000000"/>
  </w:font>
  <w:font w:name="DejaVuSans">
    <w:altName w:val="Times New Roman"/>
    <w:panose1 w:val="00000000000000000000"/>
    <w:charset w:val="00"/>
    <w:family w:val="roman"/>
    <w:pitch w:val="default"/>
    <w:sig w:usb0="00000000" w:usb1="00000000" w:usb2="0000001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0A3C9">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24A192">
                          <w:pPr>
                            <w:pStyle w:val="15"/>
                          </w:pPr>
                          <w:r>
                            <w:fldChar w:fldCharType="begin"/>
                          </w:r>
                          <w:r>
                            <w:instrText xml:space="preserve"> PAGE  \* MERGEFORMAT </w:instrText>
                          </w:r>
                          <w:r>
                            <w:fldChar w:fldCharType="separate"/>
                          </w:r>
                          <w:r>
                            <w:t>10</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b5PcUBAACb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n5ijMrDD345eePy68/l9/f2TLJ&#10;03usqOreU10c3rmBlmaOIwUT66ENJn2JD6M8iXu+igtDZDJdWq/W65JSknKzQ/jFw3UfML4HZ1gy&#10;ah7o9bKo4vQR41g6l6Ru1t0prfMLavtPgDDHCOQVmG4nJuPEyYrDfpjo7V1zJnY9rUHNLW09Z/qD&#10;JZXTxsxGmI39ZKSO6G+PkcbI0yXUEYpYJYfeLPOb9istxWM/Vz38U9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Gu2+T3FAQAAmwMAAA4AAAAAAAAAAQAgAAAAHgEAAGRycy9lMm9Eb2MueG1s&#10;UEsFBgAAAAAGAAYAWQEAAFUFAAAAAA==&#10;">
              <v:fill on="f" focussize="0,0"/>
              <v:stroke on="f"/>
              <v:imagedata o:title=""/>
              <o:lock v:ext="edit" aspectratio="f"/>
              <v:textbox inset="0mm,0mm,0mm,0mm" style="mso-fit-shape-to-text:t;">
                <w:txbxContent>
                  <w:p w14:paraId="6024A192">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95F9A">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099A4">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03D86">
    <w:pPr>
      <w:pStyle w:val="16"/>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C814E">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DBB70">
    <w:pPr>
      <w:pStyle w:val="1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B05EC5">
    <w:pPr>
      <w:pStyle w:val="16"/>
      <w:pBdr>
        <w:bottom w:val="none" w:color="auto" w:sz="0" w:space="1"/>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BD4C62"/>
    <w:multiLevelType w:val="singleLevel"/>
    <w:tmpl w:val="B1BD4C62"/>
    <w:lvl w:ilvl="0" w:tentative="0">
      <w:start w:val="1"/>
      <w:numFmt w:val="decimal"/>
      <w:suff w:val="nothing"/>
      <w:lvlText w:val="%1."/>
      <w:lvlJc w:val="left"/>
      <w:pPr>
        <w:ind w:left="454" w:hanging="454"/>
      </w:pPr>
      <w:rPr>
        <w:rFonts w:hint="default"/>
      </w:rPr>
    </w:lvl>
  </w:abstractNum>
  <w:abstractNum w:abstractNumId="1">
    <w:nsid w:val="BE530A3B"/>
    <w:multiLevelType w:val="multilevel"/>
    <w:tmpl w:val="BE530A3B"/>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2">
    <w:nsid w:val="CC11411A"/>
    <w:multiLevelType w:val="multilevel"/>
    <w:tmpl w:val="CC11411A"/>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3">
    <w:nsid w:val="FBEDEB9F"/>
    <w:multiLevelType w:val="singleLevel"/>
    <w:tmpl w:val="FBEDEB9F"/>
    <w:lvl w:ilvl="0" w:tentative="0">
      <w:start w:val="1"/>
      <w:numFmt w:val="decimal"/>
      <w:lvlText w:val="%1."/>
      <w:lvlJc w:val="left"/>
      <w:pPr>
        <w:ind w:left="425" w:hanging="425"/>
      </w:pPr>
      <w:rPr>
        <w:rFonts w:hint="default"/>
      </w:rPr>
    </w:lvl>
  </w:abstractNum>
  <w:abstractNum w:abstractNumId="4">
    <w:nsid w:val="FE81E9B3"/>
    <w:multiLevelType w:val="multilevel"/>
    <w:tmpl w:val="FE81E9B3"/>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5">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53"/>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0000017"/>
    <w:multiLevelType w:val="multilevel"/>
    <w:tmpl w:val="00000017"/>
    <w:lvl w:ilvl="0" w:tentative="0">
      <w:start w:val="1"/>
      <w:numFmt w:val="decimal"/>
      <w:suff w:val="space"/>
      <w:lvlText w:val="%1."/>
      <w:lvlJc w:val="left"/>
      <w:pPr>
        <w:ind w:left="420" w:hanging="420"/>
      </w:pPr>
      <w:rPr>
        <w:rFonts w:hint="default" w:ascii="宋体" w:hAnsi="宋体" w:eastAsia="宋体"/>
        <w:b/>
        <w:bCs/>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4AD10DA"/>
    <w:multiLevelType w:val="multilevel"/>
    <w:tmpl w:val="04AD10DA"/>
    <w:lvl w:ilvl="0" w:tentative="0">
      <w:start w:val="1"/>
      <w:numFmt w:val="decimal"/>
      <w:lvlText w:val="(%1)"/>
      <w:lvlJc w:val="left"/>
      <w:pPr>
        <w:ind w:left="1203" w:hanging="420"/>
      </w:pPr>
      <w:rPr>
        <w:rFonts w:hint="eastAsia"/>
      </w:rPr>
    </w:lvl>
    <w:lvl w:ilvl="1" w:tentative="0">
      <w:start w:val="1"/>
      <w:numFmt w:val="lowerLetter"/>
      <w:lvlText w:val="%2)"/>
      <w:lvlJc w:val="left"/>
      <w:pPr>
        <w:ind w:left="1623" w:hanging="420"/>
      </w:pPr>
    </w:lvl>
    <w:lvl w:ilvl="2" w:tentative="0">
      <w:start w:val="1"/>
      <w:numFmt w:val="lowerRoman"/>
      <w:lvlText w:val="%3."/>
      <w:lvlJc w:val="right"/>
      <w:pPr>
        <w:ind w:left="2043" w:hanging="420"/>
      </w:pPr>
    </w:lvl>
    <w:lvl w:ilvl="3" w:tentative="0">
      <w:start w:val="1"/>
      <w:numFmt w:val="decimal"/>
      <w:lvlText w:val="%4."/>
      <w:lvlJc w:val="left"/>
      <w:pPr>
        <w:ind w:left="2463" w:hanging="420"/>
      </w:pPr>
    </w:lvl>
    <w:lvl w:ilvl="4" w:tentative="0">
      <w:start w:val="1"/>
      <w:numFmt w:val="lowerLetter"/>
      <w:lvlText w:val="%5)"/>
      <w:lvlJc w:val="left"/>
      <w:pPr>
        <w:ind w:left="2883" w:hanging="420"/>
      </w:pPr>
    </w:lvl>
    <w:lvl w:ilvl="5" w:tentative="0">
      <w:start w:val="1"/>
      <w:numFmt w:val="lowerRoman"/>
      <w:lvlText w:val="%6."/>
      <w:lvlJc w:val="right"/>
      <w:pPr>
        <w:ind w:left="3303" w:hanging="420"/>
      </w:pPr>
    </w:lvl>
    <w:lvl w:ilvl="6" w:tentative="0">
      <w:start w:val="1"/>
      <w:numFmt w:val="decimal"/>
      <w:lvlText w:val="%7."/>
      <w:lvlJc w:val="left"/>
      <w:pPr>
        <w:ind w:left="3723" w:hanging="420"/>
      </w:pPr>
    </w:lvl>
    <w:lvl w:ilvl="7" w:tentative="0">
      <w:start w:val="1"/>
      <w:numFmt w:val="lowerLetter"/>
      <w:lvlText w:val="%8)"/>
      <w:lvlJc w:val="left"/>
      <w:pPr>
        <w:ind w:left="4143" w:hanging="420"/>
      </w:pPr>
    </w:lvl>
    <w:lvl w:ilvl="8" w:tentative="0">
      <w:start w:val="1"/>
      <w:numFmt w:val="lowerRoman"/>
      <w:lvlText w:val="%9."/>
      <w:lvlJc w:val="right"/>
      <w:pPr>
        <w:ind w:left="4563" w:hanging="420"/>
      </w:pPr>
    </w:lvl>
  </w:abstractNum>
  <w:abstractNum w:abstractNumId="8">
    <w:nsid w:val="097AE043"/>
    <w:multiLevelType w:val="multilevel"/>
    <w:tmpl w:val="097AE043"/>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9">
    <w:nsid w:val="1FAE309A"/>
    <w:multiLevelType w:val="multilevel"/>
    <w:tmpl w:val="1FAE309A"/>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0">
    <w:nsid w:val="2CB96FCE"/>
    <w:multiLevelType w:val="multilevel"/>
    <w:tmpl w:val="2CB96FCE"/>
    <w:lvl w:ilvl="0" w:tentative="0">
      <w:start w:val="1"/>
      <w:numFmt w:val="chineseCountingThousand"/>
      <w:lvlText w:val="%1、"/>
      <w:lvlJc w:val="left"/>
      <w:pPr>
        <w:ind w:left="450" w:hanging="450"/>
      </w:pPr>
      <w:rPr>
        <w:rFonts w:hint="eastAsia" w:ascii="宋体" w:hAnsi="宋体" w:eastAsia="宋体" w:cs="宋体"/>
        <w:b/>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4433F59"/>
    <w:multiLevelType w:val="multilevel"/>
    <w:tmpl w:val="34433F59"/>
    <w:lvl w:ilvl="0" w:tentative="0">
      <w:start w:val="1"/>
      <w:numFmt w:val="chineseCountingThousand"/>
      <w:suff w:val="nothing"/>
      <w:lvlText w:val="(%1)"/>
      <w:lvlJc w:val="left"/>
      <w:pPr>
        <w:ind w:left="420" w:hanging="420"/>
      </w:pPr>
      <w:rPr>
        <w:rFonts w:hint="eastAsia" w:ascii="宋体" w:hAnsi="宋体" w:eastAsia="宋体" w:cs="宋体"/>
        <w:b/>
        <w:bCs/>
        <w:sz w:val="21"/>
        <w:szCs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
    <w:nsid w:val="3CE44964"/>
    <w:multiLevelType w:val="multilevel"/>
    <w:tmpl w:val="3CE44964"/>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suff w:val="nothing"/>
      <w:lvlText w:val="(%3)"/>
      <w:lvlJc w:val="left"/>
      <w:pPr>
        <w:ind w:left="119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A35656B"/>
    <w:multiLevelType w:val="singleLevel"/>
    <w:tmpl w:val="4A35656B"/>
    <w:lvl w:ilvl="0" w:tentative="0">
      <w:start w:val="1"/>
      <w:numFmt w:val="decimal"/>
      <w:suff w:val="nothing"/>
      <w:lvlText w:val="%1."/>
      <w:lvlJc w:val="left"/>
      <w:pPr>
        <w:ind w:left="454" w:hanging="454"/>
      </w:pPr>
      <w:rPr>
        <w:rFonts w:hint="default"/>
      </w:rPr>
    </w:lvl>
  </w:abstractNum>
  <w:abstractNum w:abstractNumId="15">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6">
    <w:nsid w:val="5D72B448"/>
    <w:multiLevelType w:val="multilevel"/>
    <w:tmpl w:val="5D72B448"/>
    <w:lvl w:ilvl="0" w:tentative="0">
      <w:start w:val="1"/>
      <w:numFmt w:val="decimal"/>
      <w:suff w:val="nothing"/>
      <w:lvlText w:val="%1."/>
      <w:lvlJc w:val="left"/>
      <w:pPr>
        <w:ind w:left="840" w:hanging="420"/>
      </w:pPr>
      <w:rPr>
        <w:rFonts w:hint="eastAsia"/>
      </w:rPr>
    </w:lvl>
    <w:lvl w:ilvl="1" w:tentative="0">
      <w:start w:val="1"/>
      <w:numFmt w:val="lowerLetter"/>
      <w:lvlText w:val="%2)"/>
      <w:lvlJc w:val="left"/>
      <w:pPr>
        <w:ind w:left="1680" w:hanging="420"/>
      </w:pPr>
      <w:rPr>
        <w:rFonts w:hint="eastAsia"/>
      </w:rPr>
    </w:lvl>
    <w:lvl w:ilvl="2" w:tentative="0">
      <w:start w:val="1"/>
      <w:numFmt w:val="lowerRoman"/>
      <w:lvlText w:val="%3."/>
      <w:lvlJc w:val="right"/>
      <w:pPr>
        <w:ind w:left="2100" w:hanging="420"/>
      </w:pPr>
      <w:rPr>
        <w:rFonts w:hint="eastAsia"/>
      </w:rPr>
    </w:lvl>
    <w:lvl w:ilvl="3" w:tentative="0">
      <w:start w:val="1"/>
      <w:numFmt w:val="decimal"/>
      <w:lvlText w:val="%4."/>
      <w:lvlJc w:val="left"/>
      <w:pPr>
        <w:ind w:left="2520" w:hanging="420"/>
      </w:pPr>
      <w:rPr>
        <w:rFonts w:hint="eastAsia"/>
      </w:rPr>
    </w:lvl>
    <w:lvl w:ilvl="4" w:tentative="0">
      <w:start w:val="1"/>
      <w:numFmt w:val="lowerLetter"/>
      <w:lvlText w:val="%5)"/>
      <w:lvlJc w:val="left"/>
      <w:pPr>
        <w:ind w:left="2940" w:hanging="420"/>
      </w:pPr>
      <w:rPr>
        <w:rFonts w:hint="eastAsia"/>
      </w:rPr>
    </w:lvl>
    <w:lvl w:ilvl="5" w:tentative="0">
      <w:start w:val="1"/>
      <w:numFmt w:val="lowerRoman"/>
      <w:lvlText w:val="%6."/>
      <w:lvlJc w:val="right"/>
      <w:pPr>
        <w:ind w:left="3360" w:hanging="420"/>
      </w:pPr>
      <w:rPr>
        <w:rFonts w:hint="eastAsia"/>
      </w:rPr>
    </w:lvl>
    <w:lvl w:ilvl="6" w:tentative="0">
      <w:start w:val="1"/>
      <w:numFmt w:val="decimal"/>
      <w:lvlText w:val="%7."/>
      <w:lvlJc w:val="left"/>
      <w:pPr>
        <w:ind w:left="3780" w:hanging="420"/>
      </w:pPr>
      <w:rPr>
        <w:rFonts w:hint="eastAsia"/>
      </w:rPr>
    </w:lvl>
    <w:lvl w:ilvl="7" w:tentative="0">
      <w:start w:val="1"/>
      <w:numFmt w:val="lowerLetter"/>
      <w:lvlText w:val="%8)"/>
      <w:lvlJc w:val="left"/>
      <w:pPr>
        <w:ind w:left="4200" w:hanging="420"/>
      </w:pPr>
      <w:rPr>
        <w:rFonts w:hint="eastAsia"/>
      </w:rPr>
    </w:lvl>
    <w:lvl w:ilvl="8" w:tentative="0">
      <w:start w:val="1"/>
      <w:numFmt w:val="lowerRoman"/>
      <w:lvlText w:val="%9."/>
      <w:lvlJc w:val="right"/>
      <w:pPr>
        <w:ind w:left="4620" w:hanging="420"/>
      </w:pPr>
      <w:rPr>
        <w:rFonts w:hint="eastAsia"/>
      </w:rPr>
    </w:lvl>
  </w:abstractNum>
  <w:abstractNum w:abstractNumId="17">
    <w:nsid w:val="63784A10"/>
    <w:multiLevelType w:val="multilevel"/>
    <w:tmpl w:val="63784A10"/>
    <w:lvl w:ilvl="0" w:tentative="0">
      <w:start w:val="1"/>
      <w:numFmt w:val="chineseCountingThousand"/>
      <w:suff w:val="nothing"/>
      <w:lvlText w:val="%1、"/>
      <w:lvlJc w:val="left"/>
      <w:pPr>
        <w:ind w:left="420" w:hanging="420"/>
      </w:pPr>
      <w:rPr>
        <w:rFonts w:hint="eastAsia" w:ascii="宋体" w:hAnsi="宋体" w:eastAsia="宋体" w:cs="宋体"/>
        <w:sz w:val="21"/>
        <w:szCs w:val="21"/>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7"/>
  </w:num>
  <w:num w:numId="3">
    <w:abstractNumId w:val="11"/>
  </w:num>
  <w:num w:numId="4">
    <w:abstractNumId w:val="12"/>
  </w:num>
  <w:num w:numId="5">
    <w:abstractNumId w:val="2"/>
  </w:num>
  <w:num w:numId="6">
    <w:abstractNumId w:val="16"/>
  </w:num>
  <w:num w:numId="7">
    <w:abstractNumId w:val="8"/>
  </w:num>
  <w:num w:numId="8">
    <w:abstractNumId w:val="1"/>
  </w:num>
  <w:num w:numId="9">
    <w:abstractNumId w:val="9"/>
  </w:num>
  <w:num w:numId="10">
    <w:abstractNumId w:val="13"/>
  </w:num>
  <w:num w:numId="11">
    <w:abstractNumId w:val="4"/>
  </w:num>
  <w:num w:numId="12">
    <w:abstractNumId w:val="7"/>
  </w:num>
  <w:num w:numId="13">
    <w:abstractNumId w:val="10"/>
  </w:num>
  <w:num w:numId="14">
    <w:abstractNumId w:val="3"/>
  </w:num>
  <w:num w:numId="15">
    <w:abstractNumId w:val="14"/>
  </w:num>
  <w:num w:numId="16">
    <w:abstractNumId w:val="0"/>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enforcement="0"/>
  <w:defaultTabStop w:val="420"/>
  <w:noPunctuationKerning w:val="1"/>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lMTQ1N2NiYWJhNmE3MmJmNjczYjE3MmE0Mzc5ZDEifQ=="/>
  </w:docVars>
  <w:rsids>
    <w:rsidRoot w:val="00172A27"/>
    <w:rsid w:val="00000682"/>
    <w:rsid w:val="000020B3"/>
    <w:rsid w:val="000037D9"/>
    <w:rsid w:val="00005AD0"/>
    <w:rsid w:val="00007A08"/>
    <w:rsid w:val="00014A2F"/>
    <w:rsid w:val="00027B08"/>
    <w:rsid w:val="00027EC0"/>
    <w:rsid w:val="00027F8F"/>
    <w:rsid w:val="000303B9"/>
    <w:rsid w:val="000325BC"/>
    <w:rsid w:val="0003302F"/>
    <w:rsid w:val="00035902"/>
    <w:rsid w:val="00041647"/>
    <w:rsid w:val="00041704"/>
    <w:rsid w:val="0004722E"/>
    <w:rsid w:val="00050814"/>
    <w:rsid w:val="00051B4E"/>
    <w:rsid w:val="00052AEC"/>
    <w:rsid w:val="0005305C"/>
    <w:rsid w:val="00053C13"/>
    <w:rsid w:val="00053E65"/>
    <w:rsid w:val="00055EB9"/>
    <w:rsid w:val="000572C2"/>
    <w:rsid w:val="00057C10"/>
    <w:rsid w:val="00060489"/>
    <w:rsid w:val="00061471"/>
    <w:rsid w:val="00061C96"/>
    <w:rsid w:val="00062192"/>
    <w:rsid w:val="00062B58"/>
    <w:rsid w:val="0006454B"/>
    <w:rsid w:val="000658A7"/>
    <w:rsid w:val="000704D1"/>
    <w:rsid w:val="00070FFC"/>
    <w:rsid w:val="00077E7C"/>
    <w:rsid w:val="00085652"/>
    <w:rsid w:val="0008750B"/>
    <w:rsid w:val="000A0168"/>
    <w:rsid w:val="000A03BA"/>
    <w:rsid w:val="000A2071"/>
    <w:rsid w:val="000A42C5"/>
    <w:rsid w:val="000B735F"/>
    <w:rsid w:val="000B7F82"/>
    <w:rsid w:val="000C0003"/>
    <w:rsid w:val="000C1D92"/>
    <w:rsid w:val="000C30F6"/>
    <w:rsid w:val="000C384F"/>
    <w:rsid w:val="000C607A"/>
    <w:rsid w:val="000C7C94"/>
    <w:rsid w:val="000C7D59"/>
    <w:rsid w:val="000D3629"/>
    <w:rsid w:val="000D4CC9"/>
    <w:rsid w:val="000D6308"/>
    <w:rsid w:val="000D6E7D"/>
    <w:rsid w:val="000E2962"/>
    <w:rsid w:val="000E649F"/>
    <w:rsid w:val="000F21C0"/>
    <w:rsid w:val="000F253A"/>
    <w:rsid w:val="000F4673"/>
    <w:rsid w:val="000F4AD5"/>
    <w:rsid w:val="0010166B"/>
    <w:rsid w:val="00101C32"/>
    <w:rsid w:val="0010493A"/>
    <w:rsid w:val="0011022C"/>
    <w:rsid w:val="0011060D"/>
    <w:rsid w:val="00114213"/>
    <w:rsid w:val="0012083E"/>
    <w:rsid w:val="0012415D"/>
    <w:rsid w:val="00127188"/>
    <w:rsid w:val="001341AB"/>
    <w:rsid w:val="00136AE9"/>
    <w:rsid w:val="00137C10"/>
    <w:rsid w:val="00142F9B"/>
    <w:rsid w:val="00145917"/>
    <w:rsid w:val="00150C8D"/>
    <w:rsid w:val="00150E08"/>
    <w:rsid w:val="00155252"/>
    <w:rsid w:val="0015796A"/>
    <w:rsid w:val="00162267"/>
    <w:rsid w:val="00162E32"/>
    <w:rsid w:val="0016767D"/>
    <w:rsid w:val="001707C3"/>
    <w:rsid w:val="00172A27"/>
    <w:rsid w:val="00175922"/>
    <w:rsid w:val="00181480"/>
    <w:rsid w:val="00183B2A"/>
    <w:rsid w:val="001844AC"/>
    <w:rsid w:val="00192079"/>
    <w:rsid w:val="0019340E"/>
    <w:rsid w:val="001958DE"/>
    <w:rsid w:val="00197D7A"/>
    <w:rsid w:val="001A254E"/>
    <w:rsid w:val="001A6334"/>
    <w:rsid w:val="001A722D"/>
    <w:rsid w:val="001B1F40"/>
    <w:rsid w:val="001B2441"/>
    <w:rsid w:val="001B5B1B"/>
    <w:rsid w:val="001D1833"/>
    <w:rsid w:val="001D3DAE"/>
    <w:rsid w:val="001D48BE"/>
    <w:rsid w:val="001D5DE7"/>
    <w:rsid w:val="001E05CA"/>
    <w:rsid w:val="001E2C05"/>
    <w:rsid w:val="001E5DCB"/>
    <w:rsid w:val="001F3153"/>
    <w:rsid w:val="001F62C2"/>
    <w:rsid w:val="001F7B38"/>
    <w:rsid w:val="002021C5"/>
    <w:rsid w:val="00205DD7"/>
    <w:rsid w:val="00211750"/>
    <w:rsid w:val="0021777C"/>
    <w:rsid w:val="00220C23"/>
    <w:rsid w:val="00222B6D"/>
    <w:rsid w:val="00222FFB"/>
    <w:rsid w:val="002315FB"/>
    <w:rsid w:val="00235B33"/>
    <w:rsid w:val="00236D8B"/>
    <w:rsid w:val="002413B3"/>
    <w:rsid w:val="00241D8A"/>
    <w:rsid w:val="002437B9"/>
    <w:rsid w:val="00243894"/>
    <w:rsid w:val="00243969"/>
    <w:rsid w:val="00244F46"/>
    <w:rsid w:val="00252156"/>
    <w:rsid w:val="00252B95"/>
    <w:rsid w:val="002624B8"/>
    <w:rsid w:val="00262F19"/>
    <w:rsid w:val="00266019"/>
    <w:rsid w:val="00271205"/>
    <w:rsid w:val="00271B82"/>
    <w:rsid w:val="002834E3"/>
    <w:rsid w:val="00283571"/>
    <w:rsid w:val="00283A25"/>
    <w:rsid w:val="0028686B"/>
    <w:rsid w:val="00286EC0"/>
    <w:rsid w:val="00293248"/>
    <w:rsid w:val="00293AF1"/>
    <w:rsid w:val="0029636E"/>
    <w:rsid w:val="00297DE4"/>
    <w:rsid w:val="002A052F"/>
    <w:rsid w:val="002B3743"/>
    <w:rsid w:val="002B596E"/>
    <w:rsid w:val="002C1ADC"/>
    <w:rsid w:val="002D42C1"/>
    <w:rsid w:val="002D658E"/>
    <w:rsid w:val="002E07FF"/>
    <w:rsid w:val="002E2594"/>
    <w:rsid w:val="002F01E7"/>
    <w:rsid w:val="002F157D"/>
    <w:rsid w:val="002F1D02"/>
    <w:rsid w:val="002F39C4"/>
    <w:rsid w:val="002F755B"/>
    <w:rsid w:val="002F7CAF"/>
    <w:rsid w:val="00303BFB"/>
    <w:rsid w:val="003061FA"/>
    <w:rsid w:val="00312BA0"/>
    <w:rsid w:val="00322397"/>
    <w:rsid w:val="00322F2B"/>
    <w:rsid w:val="00325B3A"/>
    <w:rsid w:val="00327A65"/>
    <w:rsid w:val="00331B8E"/>
    <w:rsid w:val="003324A5"/>
    <w:rsid w:val="003345D8"/>
    <w:rsid w:val="0033630E"/>
    <w:rsid w:val="00337CB4"/>
    <w:rsid w:val="00341A0C"/>
    <w:rsid w:val="003429B3"/>
    <w:rsid w:val="00347A1D"/>
    <w:rsid w:val="00351854"/>
    <w:rsid w:val="00351CE1"/>
    <w:rsid w:val="003535F0"/>
    <w:rsid w:val="003535F8"/>
    <w:rsid w:val="0035464B"/>
    <w:rsid w:val="00356DBF"/>
    <w:rsid w:val="00363083"/>
    <w:rsid w:val="00366398"/>
    <w:rsid w:val="00367FA3"/>
    <w:rsid w:val="00371B52"/>
    <w:rsid w:val="00371CFB"/>
    <w:rsid w:val="0037524D"/>
    <w:rsid w:val="00377D66"/>
    <w:rsid w:val="00380115"/>
    <w:rsid w:val="00383095"/>
    <w:rsid w:val="00384053"/>
    <w:rsid w:val="003840A5"/>
    <w:rsid w:val="0038428E"/>
    <w:rsid w:val="0038477F"/>
    <w:rsid w:val="00385FD9"/>
    <w:rsid w:val="00386F6E"/>
    <w:rsid w:val="00393AE4"/>
    <w:rsid w:val="00394C4F"/>
    <w:rsid w:val="0039577C"/>
    <w:rsid w:val="003958AA"/>
    <w:rsid w:val="00397064"/>
    <w:rsid w:val="003A2108"/>
    <w:rsid w:val="003A3871"/>
    <w:rsid w:val="003A41A1"/>
    <w:rsid w:val="003A4CB0"/>
    <w:rsid w:val="003A53F4"/>
    <w:rsid w:val="003B2081"/>
    <w:rsid w:val="003B2269"/>
    <w:rsid w:val="003B4CB1"/>
    <w:rsid w:val="003C3514"/>
    <w:rsid w:val="003C390F"/>
    <w:rsid w:val="003D00D4"/>
    <w:rsid w:val="003D0D30"/>
    <w:rsid w:val="003D4DE6"/>
    <w:rsid w:val="003F5C01"/>
    <w:rsid w:val="003F6EC1"/>
    <w:rsid w:val="003F76CF"/>
    <w:rsid w:val="004004E8"/>
    <w:rsid w:val="00407EA5"/>
    <w:rsid w:val="00415631"/>
    <w:rsid w:val="00417136"/>
    <w:rsid w:val="0042292F"/>
    <w:rsid w:val="00423FF9"/>
    <w:rsid w:val="00426095"/>
    <w:rsid w:val="004309D8"/>
    <w:rsid w:val="00430F50"/>
    <w:rsid w:val="00431A6B"/>
    <w:rsid w:val="0043695F"/>
    <w:rsid w:val="00437D29"/>
    <w:rsid w:val="004404CC"/>
    <w:rsid w:val="00440A26"/>
    <w:rsid w:val="0044457E"/>
    <w:rsid w:val="004578F3"/>
    <w:rsid w:val="00464C82"/>
    <w:rsid w:val="004679AA"/>
    <w:rsid w:val="0047152D"/>
    <w:rsid w:val="00476A55"/>
    <w:rsid w:val="004802CF"/>
    <w:rsid w:val="0048106F"/>
    <w:rsid w:val="00482B42"/>
    <w:rsid w:val="00482E9F"/>
    <w:rsid w:val="00483B44"/>
    <w:rsid w:val="00484E78"/>
    <w:rsid w:val="00485F2C"/>
    <w:rsid w:val="00492FFA"/>
    <w:rsid w:val="004B1863"/>
    <w:rsid w:val="004B2737"/>
    <w:rsid w:val="004B78B2"/>
    <w:rsid w:val="004C193B"/>
    <w:rsid w:val="004D059A"/>
    <w:rsid w:val="004D4E1E"/>
    <w:rsid w:val="004D5C4B"/>
    <w:rsid w:val="004E1817"/>
    <w:rsid w:val="004E1A62"/>
    <w:rsid w:val="004E3665"/>
    <w:rsid w:val="004E3CC3"/>
    <w:rsid w:val="004E50AD"/>
    <w:rsid w:val="004E7BBF"/>
    <w:rsid w:val="004F003F"/>
    <w:rsid w:val="004F008E"/>
    <w:rsid w:val="004F0D8F"/>
    <w:rsid w:val="004F1BF3"/>
    <w:rsid w:val="0050278C"/>
    <w:rsid w:val="00503D24"/>
    <w:rsid w:val="00504695"/>
    <w:rsid w:val="0051089F"/>
    <w:rsid w:val="00510EE4"/>
    <w:rsid w:val="00511845"/>
    <w:rsid w:val="0051397C"/>
    <w:rsid w:val="00522C50"/>
    <w:rsid w:val="0052630E"/>
    <w:rsid w:val="00526C41"/>
    <w:rsid w:val="00530F04"/>
    <w:rsid w:val="005333ED"/>
    <w:rsid w:val="00540E21"/>
    <w:rsid w:val="00551D04"/>
    <w:rsid w:val="005541CC"/>
    <w:rsid w:val="00554C2C"/>
    <w:rsid w:val="0055664B"/>
    <w:rsid w:val="005570CA"/>
    <w:rsid w:val="005611F8"/>
    <w:rsid w:val="00562B8A"/>
    <w:rsid w:val="00565A83"/>
    <w:rsid w:val="00566094"/>
    <w:rsid w:val="00572828"/>
    <w:rsid w:val="0058378A"/>
    <w:rsid w:val="00584537"/>
    <w:rsid w:val="005920F2"/>
    <w:rsid w:val="00592455"/>
    <w:rsid w:val="00595E59"/>
    <w:rsid w:val="00596D67"/>
    <w:rsid w:val="0059717B"/>
    <w:rsid w:val="005972AD"/>
    <w:rsid w:val="00597F49"/>
    <w:rsid w:val="005A1EF2"/>
    <w:rsid w:val="005A4B10"/>
    <w:rsid w:val="005A52D2"/>
    <w:rsid w:val="005A5BB2"/>
    <w:rsid w:val="005A75B4"/>
    <w:rsid w:val="005B0A79"/>
    <w:rsid w:val="005B0D73"/>
    <w:rsid w:val="005B1DE3"/>
    <w:rsid w:val="005B2F34"/>
    <w:rsid w:val="005C33A9"/>
    <w:rsid w:val="005C71F1"/>
    <w:rsid w:val="005D04E0"/>
    <w:rsid w:val="005D0AEA"/>
    <w:rsid w:val="005D3D63"/>
    <w:rsid w:val="005F0665"/>
    <w:rsid w:val="005F1A43"/>
    <w:rsid w:val="005F5D32"/>
    <w:rsid w:val="005F694A"/>
    <w:rsid w:val="00602B59"/>
    <w:rsid w:val="00602B61"/>
    <w:rsid w:val="00602F3D"/>
    <w:rsid w:val="0060437E"/>
    <w:rsid w:val="0061092C"/>
    <w:rsid w:val="006116ED"/>
    <w:rsid w:val="00614D40"/>
    <w:rsid w:val="00623EEA"/>
    <w:rsid w:val="00625DC1"/>
    <w:rsid w:val="00626C65"/>
    <w:rsid w:val="0063615D"/>
    <w:rsid w:val="00636EB3"/>
    <w:rsid w:val="00637144"/>
    <w:rsid w:val="00637242"/>
    <w:rsid w:val="006409EE"/>
    <w:rsid w:val="00641E04"/>
    <w:rsid w:val="00645338"/>
    <w:rsid w:val="00647E28"/>
    <w:rsid w:val="00655697"/>
    <w:rsid w:val="0066018E"/>
    <w:rsid w:val="00665178"/>
    <w:rsid w:val="0066531B"/>
    <w:rsid w:val="00666A22"/>
    <w:rsid w:val="00667A43"/>
    <w:rsid w:val="006723DB"/>
    <w:rsid w:val="0067347A"/>
    <w:rsid w:val="00674E76"/>
    <w:rsid w:val="00677405"/>
    <w:rsid w:val="00681262"/>
    <w:rsid w:val="00686717"/>
    <w:rsid w:val="00686BF2"/>
    <w:rsid w:val="006871AB"/>
    <w:rsid w:val="00690BD0"/>
    <w:rsid w:val="0069227A"/>
    <w:rsid w:val="00692407"/>
    <w:rsid w:val="00692D4D"/>
    <w:rsid w:val="00692FD6"/>
    <w:rsid w:val="006934D2"/>
    <w:rsid w:val="00695867"/>
    <w:rsid w:val="0069716C"/>
    <w:rsid w:val="00697631"/>
    <w:rsid w:val="006A11EB"/>
    <w:rsid w:val="006A3C2D"/>
    <w:rsid w:val="006A444B"/>
    <w:rsid w:val="006A7E72"/>
    <w:rsid w:val="006B15AF"/>
    <w:rsid w:val="006B2ACB"/>
    <w:rsid w:val="006B30F7"/>
    <w:rsid w:val="006B6BC0"/>
    <w:rsid w:val="006B744F"/>
    <w:rsid w:val="006C1EEE"/>
    <w:rsid w:val="006C262B"/>
    <w:rsid w:val="006C61C6"/>
    <w:rsid w:val="006D6E77"/>
    <w:rsid w:val="006E07C1"/>
    <w:rsid w:val="006E453D"/>
    <w:rsid w:val="006E4DB7"/>
    <w:rsid w:val="006E5471"/>
    <w:rsid w:val="006E60C2"/>
    <w:rsid w:val="006F5C4A"/>
    <w:rsid w:val="006F734C"/>
    <w:rsid w:val="006F7B71"/>
    <w:rsid w:val="00707753"/>
    <w:rsid w:val="00707AFA"/>
    <w:rsid w:val="00713D18"/>
    <w:rsid w:val="00726A30"/>
    <w:rsid w:val="00734961"/>
    <w:rsid w:val="007364CF"/>
    <w:rsid w:val="00736E42"/>
    <w:rsid w:val="00737EB3"/>
    <w:rsid w:val="007448A9"/>
    <w:rsid w:val="00744CC6"/>
    <w:rsid w:val="00751D6C"/>
    <w:rsid w:val="00754F1A"/>
    <w:rsid w:val="00764333"/>
    <w:rsid w:val="00765D39"/>
    <w:rsid w:val="0076700B"/>
    <w:rsid w:val="00767DD7"/>
    <w:rsid w:val="00772F5C"/>
    <w:rsid w:val="00781718"/>
    <w:rsid w:val="0078253E"/>
    <w:rsid w:val="00786B73"/>
    <w:rsid w:val="007877EB"/>
    <w:rsid w:val="00790252"/>
    <w:rsid w:val="007925D5"/>
    <w:rsid w:val="007938A9"/>
    <w:rsid w:val="00797300"/>
    <w:rsid w:val="007A2C23"/>
    <w:rsid w:val="007B3BD0"/>
    <w:rsid w:val="007B5F30"/>
    <w:rsid w:val="007C23EE"/>
    <w:rsid w:val="007C28EC"/>
    <w:rsid w:val="007C515B"/>
    <w:rsid w:val="007C64C3"/>
    <w:rsid w:val="007C779F"/>
    <w:rsid w:val="007D0AB0"/>
    <w:rsid w:val="007D1CD3"/>
    <w:rsid w:val="007D251F"/>
    <w:rsid w:val="007D33F9"/>
    <w:rsid w:val="007D576F"/>
    <w:rsid w:val="007D595B"/>
    <w:rsid w:val="007D73C5"/>
    <w:rsid w:val="007D74AB"/>
    <w:rsid w:val="007D753D"/>
    <w:rsid w:val="007E1CB7"/>
    <w:rsid w:val="007E1E5D"/>
    <w:rsid w:val="007E2A49"/>
    <w:rsid w:val="007E4617"/>
    <w:rsid w:val="007F0FDE"/>
    <w:rsid w:val="007F2E1E"/>
    <w:rsid w:val="007F56A7"/>
    <w:rsid w:val="007F7403"/>
    <w:rsid w:val="007F7D70"/>
    <w:rsid w:val="008010E4"/>
    <w:rsid w:val="008058B5"/>
    <w:rsid w:val="00805C1D"/>
    <w:rsid w:val="00813399"/>
    <w:rsid w:val="00813E23"/>
    <w:rsid w:val="008161F7"/>
    <w:rsid w:val="0081688C"/>
    <w:rsid w:val="00816D19"/>
    <w:rsid w:val="00817DFB"/>
    <w:rsid w:val="00825522"/>
    <w:rsid w:val="008348C0"/>
    <w:rsid w:val="008422AE"/>
    <w:rsid w:val="00844F48"/>
    <w:rsid w:val="008453C8"/>
    <w:rsid w:val="00846A34"/>
    <w:rsid w:val="008504C4"/>
    <w:rsid w:val="00854E4A"/>
    <w:rsid w:val="00855BB9"/>
    <w:rsid w:val="00856734"/>
    <w:rsid w:val="00857D2F"/>
    <w:rsid w:val="00862775"/>
    <w:rsid w:val="00866AB8"/>
    <w:rsid w:val="00866B18"/>
    <w:rsid w:val="008670FB"/>
    <w:rsid w:val="008671B5"/>
    <w:rsid w:val="00867E20"/>
    <w:rsid w:val="00867ED3"/>
    <w:rsid w:val="008715E8"/>
    <w:rsid w:val="00875E22"/>
    <w:rsid w:val="008765E7"/>
    <w:rsid w:val="008775A2"/>
    <w:rsid w:val="008816A3"/>
    <w:rsid w:val="0088183F"/>
    <w:rsid w:val="0088442A"/>
    <w:rsid w:val="0088547C"/>
    <w:rsid w:val="008914D4"/>
    <w:rsid w:val="0089324A"/>
    <w:rsid w:val="00893501"/>
    <w:rsid w:val="00894CE0"/>
    <w:rsid w:val="008A2613"/>
    <w:rsid w:val="008A334C"/>
    <w:rsid w:val="008A53A5"/>
    <w:rsid w:val="008A5E2A"/>
    <w:rsid w:val="008A6A9D"/>
    <w:rsid w:val="008B1062"/>
    <w:rsid w:val="008B36BC"/>
    <w:rsid w:val="008B7599"/>
    <w:rsid w:val="008B7E34"/>
    <w:rsid w:val="008C600A"/>
    <w:rsid w:val="008D0B40"/>
    <w:rsid w:val="008D2AF2"/>
    <w:rsid w:val="008D6258"/>
    <w:rsid w:val="008D63D2"/>
    <w:rsid w:val="008D7CC0"/>
    <w:rsid w:val="008E07DB"/>
    <w:rsid w:val="008E0D39"/>
    <w:rsid w:val="008F0616"/>
    <w:rsid w:val="008F0A14"/>
    <w:rsid w:val="008F1571"/>
    <w:rsid w:val="008F5171"/>
    <w:rsid w:val="0090691F"/>
    <w:rsid w:val="00910875"/>
    <w:rsid w:val="00910C11"/>
    <w:rsid w:val="00914900"/>
    <w:rsid w:val="009250B3"/>
    <w:rsid w:val="0092691A"/>
    <w:rsid w:val="00931299"/>
    <w:rsid w:val="00933603"/>
    <w:rsid w:val="00933EA0"/>
    <w:rsid w:val="00934BF8"/>
    <w:rsid w:val="00943753"/>
    <w:rsid w:val="009459AF"/>
    <w:rsid w:val="00946B9A"/>
    <w:rsid w:val="00946E0D"/>
    <w:rsid w:val="009475DE"/>
    <w:rsid w:val="00950990"/>
    <w:rsid w:val="00955402"/>
    <w:rsid w:val="00956E23"/>
    <w:rsid w:val="00957AAD"/>
    <w:rsid w:val="00960E29"/>
    <w:rsid w:val="00961834"/>
    <w:rsid w:val="0097005F"/>
    <w:rsid w:val="00971A96"/>
    <w:rsid w:val="00972426"/>
    <w:rsid w:val="009757C8"/>
    <w:rsid w:val="00976F70"/>
    <w:rsid w:val="009774DC"/>
    <w:rsid w:val="00985C1D"/>
    <w:rsid w:val="0098791F"/>
    <w:rsid w:val="00990F8C"/>
    <w:rsid w:val="009915B5"/>
    <w:rsid w:val="00991820"/>
    <w:rsid w:val="0099223E"/>
    <w:rsid w:val="009A2301"/>
    <w:rsid w:val="009A2C3A"/>
    <w:rsid w:val="009A3174"/>
    <w:rsid w:val="009A57BE"/>
    <w:rsid w:val="009A5859"/>
    <w:rsid w:val="009A6666"/>
    <w:rsid w:val="009A6A3D"/>
    <w:rsid w:val="009B0357"/>
    <w:rsid w:val="009B4E27"/>
    <w:rsid w:val="009C0498"/>
    <w:rsid w:val="009C08D9"/>
    <w:rsid w:val="009C0F3B"/>
    <w:rsid w:val="009C3B2D"/>
    <w:rsid w:val="009D29AF"/>
    <w:rsid w:val="009D69C1"/>
    <w:rsid w:val="009E0452"/>
    <w:rsid w:val="009E2C8D"/>
    <w:rsid w:val="009E3766"/>
    <w:rsid w:val="009E7931"/>
    <w:rsid w:val="009E7D30"/>
    <w:rsid w:val="009F09A9"/>
    <w:rsid w:val="009F237B"/>
    <w:rsid w:val="009F2E0F"/>
    <w:rsid w:val="009F564C"/>
    <w:rsid w:val="009F5892"/>
    <w:rsid w:val="00A04530"/>
    <w:rsid w:val="00A109F8"/>
    <w:rsid w:val="00A140F9"/>
    <w:rsid w:val="00A176C9"/>
    <w:rsid w:val="00A269EC"/>
    <w:rsid w:val="00A3337C"/>
    <w:rsid w:val="00A37377"/>
    <w:rsid w:val="00A4173C"/>
    <w:rsid w:val="00A426F9"/>
    <w:rsid w:val="00A44E01"/>
    <w:rsid w:val="00A46F69"/>
    <w:rsid w:val="00A50686"/>
    <w:rsid w:val="00A53FC8"/>
    <w:rsid w:val="00A54F61"/>
    <w:rsid w:val="00A553FB"/>
    <w:rsid w:val="00A576FB"/>
    <w:rsid w:val="00A5788F"/>
    <w:rsid w:val="00A57F82"/>
    <w:rsid w:val="00A63B5E"/>
    <w:rsid w:val="00A665E7"/>
    <w:rsid w:val="00A67B94"/>
    <w:rsid w:val="00A74689"/>
    <w:rsid w:val="00A76AF1"/>
    <w:rsid w:val="00A802FE"/>
    <w:rsid w:val="00A83006"/>
    <w:rsid w:val="00A87027"/>
    <w:rsid w:val="00A90431"/>
    <w:rsid w:val="00A90E4F"/>
    <w:rsid w:val="00A9192D"/>
    <w:rsid w:val="00A95F2F"/>
    <w:rsid w:val="00AA080E"/>
    <w:rsid w:val="00AA1983"/>
    <w:rsid w:val="00AA5A88"/>
    <w:rsid w:val="00AA63F7"/>
    <w:rsid w:val="00AB0712"/>
    <w:rsid w:val="00AB2602"/>
    <w:rsid w:val="00AB3AB0"/>
    <w:rsid w:val="00AB598A"/>
    <w:rsid w:val="00AB59BB"/>
    <w:rsid w:val="00AB7684"/>
    <w:rsid w:val="00AC35DF"/>
    <w:rsid w:val="00AC5D8D"/>
    <w:rsid w:val="00AD6ED5"/>
    <w:rsid w:val="00AE0050"/>
    <w:rsid w:val="00AE3C4B"/>
    <w:rsid w:val="00AE4A6E"/>
    <w:rsid w:val="00AE5C4E"/>
    <w:rsid w:val="00AE729D"/>
    <w:rsid w:val="00AF3169"/>
    <w:rsid w:val="00AF3654"/>
    <w:rsid w:val="00AF37AA"/>
    <w:rsid w:val="00B03E98"/>
    <w:rsid w:val="00B04395"/>
    <w:rsid w:val="00B063BA"/>
    <w:rsid w:val="00B06BFE"/>
    <w:rsid w:val="00B10AF3"/>
    <w:rsid w:val="00B121DA"/>
    <w:rsid w:val="00B17E1C"/>
    <w:rsid w:val="00B20BC5"/>
    <w:rsid w:val="00B23611"/>
    <w:rsid w:val="00B23D74"/>
    <w:rsid w:val="00B25F94"/>
    <w:rsid w:val="00B31CB1"/>
    <w:rsid w:val="00B3216F"/>
    <w:rsid w:val="00B35965"/>
    <w:rsid w:val="00B37995"/>
    <w:rsid w:val="00B437ED"/>
    <w:rsid w:val="00B43A4D"/>
    <w:rsid w:val="00B516DB"/>
    <w:rsid w:val="00B5257B"/>
    <w:rsid w:val="00B53A82"/>
    <w:rsid w:val="00B5668B"/>
    <w:rsid w:val="00B62DCD"/>
    <w:rsid w:val="00B65F57"/>
    <w:rsid w:val="00B66C17"/>
    <w:rsid w:val="00B705C0"/>
    <w:rsid w:val="00B71D2B"/>
    <w:rsid w:val="00B7467D"/>
    <w:rsid w:val="00B8046F"/>
    <w:rsid w:val="00B82585"/>
    <w:rsid w:val="00B83F70"/>
    <w:rsid w:val="00B86130"/>
    <w:rsid w:val="00B905CE"/>
    <w:rsid w:val="00BA1BB4"/>
    <w:rsid w:val="00BA3284"/>
    <w:rsid w:val="00BA3AC0"/>
    <w:rsid w:val="00BA3CFB"/>
    <w:rsid w:val="00BA4901"/>
    <w:rsid w:val="00BB1C39"/>
    <w:rsid w:val="00BB4425"/>
    <w:rsid w:val="00BC12AC"/>
    <w:rsid w:val="00BC4CF2"/>
    <w:rsid w:val="00BC571F"/>
    <w:rsid w:val="00BC769E"/>
    <w:rsid w:val="00BD0F2B"/>
    <w:rsid w:val="00BD16A4"/>
    <w:rsid w:val="00BD3294"/>
    <w:rsid w:val="00BD5D7F"/>
    <w:rsid w:val="00BE4D61"/>
    <w:rsid w:val="00BE567E"/>
    <w:rsid w:val="00BE633C"/>
    <w:rsid w:val="00BE6372"/>
    <w:rsid w:val="00BE6627"/>
    <w:rsid w:val="00BF0CDC"/>
    <w:rsid w:val="00BF137B"/>
    <w:rsid w:val="00BF27A3"/>
    <w:rsid w:val="00BF4688"/>
    <w:rsid w:val="00BF474B"/>
    <w:rsid w:val="00BF6E8B"/>
    <w:rsid w:val="00BF713D"/>
    <w:rsid w:val="00C00209"/>
    <w:rsid w:val="00C03BD1"/>
    <w:rsid w:val="00C048DF"/>
    <w:rsid w:val="00C07180"/>
    <w:rsid w:val="00C075DD"/>
    <w:rsid w:val="00C11DA7"/>
    <w:rsid w:val="00C1202D"/>
    <w:rsid w:val="00C1531B"/>
    <w:rsid w:val="00C257FA"/>
    <w:rsid w:val="00C263FA"/>
    <w:rsid w:val="00C311D1"/>
    <w:rsid w:val="00C34391"/>
    <w:rsid w:val="00C35DD3"/>
    <w:rsid w:val="00C40016"/>
    <w:rsid w:val="00C43075"/>
    <w:rsid w:val="00C43432"/>
    <w:rsid w:val="00C44787"/>
    <w:rsid w:val="00C52215"/>
    <w:rsid w:val="00C53A15"/>
    <w:rsid w:val="00C53EBB"/>
    <w:rsid w:val="00C5549C"/>
    <w:rsid w:val="00C55C59"/>
    <w:rsid w:val="00C61AB3"/>
    <w:rsid w:val="00C67353"/>
    <w:rsid w:val="00C6797E"/>
    <w:rsid w:val="00C739F1"/>
    <w:rsid w:val="00C7673A"/>
    <w:rsid w:val="00C905B6"/>
    <w:rsid w:val="00C929EC"/>
    <w:rsid w:val="00C93766"/>
    <w:rsid w:val="00C953EF"/>
    <w:rsid w:val="00C95A5F"/>
    <w:rsid w:val="00C96EB6"/>
    <w:rsid w:val="00CA10F2"/>
    <w:rsid w:val="00CA654E"/>
    <w:rsid w:val="00CA774B"/>
    <w:rsid w:val="00CA7ACE"/>
    <w:rsid w:val="00CB34AE"/>
    <w:rsid w:val="00CB7F2A"/>
    <w:rsid w:val="00CC412F"/>
    <w:rsid w:val="00CD327C"/>
    <w:rsid w:val="00CD379F"/>
    <w:rsid w:val="00CD7262"/>
    <w:rsid w:val="00CD73FD"/>
    <w:rsid w:val="00CE0459"/>
    <w:rsid w:val="00CE0591"/>
    <w:rsid w:val="00CE193B"/>
    <w:rsid w:val="00CE6023"/>
    <w:rsid w:val="00CE6ED7"/>
    <w:rsid w:val="00CE726B"/>
    <w:rsid w:val="00CF0770"/>
    <w:rsid w:val="00CF0C7D"/>
    <w:rsid w:val="00CF11BB"/>
    <w:rsid w:val="00CF1509"/>
    <w:rsid w:val="00CF3C3D"/>
    <w:rsid w:val="00CF40C7"/>
    <w:rsid w:val="00CF431B"/>
    <w:rsid w:val="00D01CF8"/>
    <w:rsid w:val="00D02A8C"/>
    <w:rsid w:val="00D02FAF"/>
    <w:rsid w:val="00D0369D"/>
    <w:rsid w:val="00D03A05"/>
    <w:rsid w:val="00D04E9D"/>
    <w:rsid w:val="00D06F2B"/>
    <w:rsid w:val="00D10668"/>
    <w:rsid w:val="00D119F0"/>
    <w:rsid w:val="00D11D79"/>
    <w:rsid w:val="00D13DB6"/>
    <w:rsid w:val="00D16480"/>
    <w:rsid w:val="00D167C6"/>
    <w:rsid w:val="00D213FB"/>
    <w:rsid w:val="00D23678"/>
    <w:rsid w:val="00D2783E"/>
    <w:rsid w:val="00D3017E"/>
    <w:rsid w:val="00D31BF8"/>
    <w:rsid w:val="00D32813"/>
    <w:rsid w:val="00D37A03"/>
    <w:rsid w:val="00D41C74"/>
    <w:rsid w:val="00D44CFF"/>
    <w:rsid w:val="00D4621D"/>
    <w:rsid w:val="00D57CB8"/>
    <w:rsid w:val="00D604B8"/>
    <w:rsid w:val="00D60E01"/>
    <w:rsid w:val="00D62177"/>
    <w:rsid w:val="00D62D28"/>
    <w:rsid w:val="00D64BD0"/>
    <w:rsid w:val="00D652AD"/>
    <w:rsid w:val="00D70EBC"/>
    <w:rsid w:val="00D71402"/>
    <w:rsid w:val="00D71812"/>
    <w:rsid w:val="00D7223C"/>
    <w:rsid w:val="00D7236F"/>
    <w:rsid w:val="00D766D7"/>
    <w:rsid w:val="00D851CA"/>
    <w:rsid w:val="00D86C14"/>
    <w:rsid w:val="00D87616"/>
    <w:rsid w:val="00D9055F"/>
    <w:rsid w:val="00D94B77"/>
    <w:rsid w:val="00DA000D"/>
    <w:rsid w:val="00DA58F6"/>
    <w:rsid w:val="00DA65B7"/>
    <w:rsid w:val="00DB00C5"/>
    <w:rsid w:val="00DB20DE"/>
    <w:rsid w:val="00DB571A"/>
    <w:rsid w:val="00DC0C40"/>
    <w:rsid w:val="00DC21DA"/>
    <w:rsid w:val="00DC3684"/>
    <w:rsid w:val="00DC5DB3"/>
    <w:rsid w:val="00DD3FE9"/>
    <w:rsid w:val="00DD45FD"/>
    <w:rsid w:val="00DD48E4"/>
    <w:rsid w:val="00DD74C4"/>
    <w:rsid w:val="00DE06D6"/>
    <w:rsid w:val="00DE115C"/>
    <w:rsid w:val="00DE3C7C"/>
    <w:rsid w:val="00DF4676"/>
    <w:rsid w:val="00DF5E97"/>
    <w:rsid w:val="00DF5F66"/>
    <w:rsid w:val="00DF5F6C"/>
    <w:rsid w:val="00DF7BD9"/>
    <w:rsid w:val="00DF7CC7"/>
    <w:rsid w:val="00E00D91"/>
    <w:rsid w:val="00E0293A"/>
    <w:rsid w:val="00E0389B"/>
    <w:rsid w:val="00E052B0"/>
    <w:rsid w:val="00E103A9"/>
    <w:rsid w:val="00E11F75"/>
    <w:rsid w:val="00E12920"/>
    <w:rsid w:val="00E129BD"/>
    <w:rsid w:val="00E23795"/>
    <w:rsid w:val="00E24AB9"/>
    <w:rsid w:val="00E32119"/>
    <w:rsid w:val="00E36962"/>
    <w:rsid w:val="00E4122E"/>
    <w:rsid w:val="00E426F5"/>
    <w:rsid w:val="00E42C0A"/>
    <w:rsid w:val="00E4324A"/>
    <w:rsid w:val="00E455C7"/>
    <w:rsid w:val="00E50C4C"/>
    <w:rsid w:val="00E556F1"/>
    <w:rsid w:val="00E559D8"/>
    <w:rsid w:val="00E564EE"/>
    <w:rsid w:val="00E5700B"/>
    <w:rsid w:val="00E603B4"/>
    <w:rsid w:val="00E65E66"/>
    <w:rsid w:val="00E670A1"/>
    <w:rsid w:val="00E67ED6"/>
    <w:rsid w:val="00E7163D"/>
    <w:rsid w:val="00E717DA"/>
    <w:rsid w:val="00E7308E"/>
    <w:rsid w:val="00E733C6"/>
    <w:rsid w:val="00E7505F"/>
    <w:rsid w:val="00E75715"/>
    <w:rsid w:val="00E75BC7"/>
    <w:rsid w:val="00E85543"/>
    <w:rsid w:val="00E8667F"/>
    <w:rsid w:val="00E86877"/>
    <w:rsid w:val="00E919DF"/>
    <w:rsid w:val="00E9791C"/>
    <w:rsid w:val="00E97DBC"/>
    <w:rsid w:val="00EA2A3A"/>
    <w:rsid w:val="00EA3B55"/>
    <w:rsid w:val="00EA3DBA"/>
    <w:rsid w:val="00EA7474"/>
    <w:rsid w:val="00EB2F47"/>
    <w:rsid w:val="00EB58B5"/>
    <w:rsid w:val="00EB7472"/>
    <w:rsid w:val="00EC0F7F"/>
    <w:rsid w:val="00EC4601"/>
    <w:rsid w:val="00EC62D3"/>
    <w:rsid w:val="00EC735A"/>
    <w:rsid w:val="00ED0CAF"/>
    <w:rsid w:val="00ED2013"/>
    <w:rsid w:val="00ED2398"/>
    <w:rsid w:val="00ED744A"/>
    <w:rsid w:val="00ED7FE9"/>
    <w:rsid w:val="00EE329B"/>
    <w:rsid w:val="00EE4A8A"/>
    <w:rsid w:val="00EE5717"/>
    <w:rsid w:val="00EF00F2"/>
    <w:rsid w:val="00EF159C"/>
    <w:rsid w:val="00EF2A2E"/>
    <w:rsid w:val="00EF2AE3"/>
    <w:rsid w:val="00EF2CCA"/>
    <w:rsid w:val="00F0119C"/>
    <w:rsid w:val="00F04D37"/>
    <w:rsid w:val="00F04E75"/>
    <w:rsid w:val="00F10E93"/>
    <w:rsid w:val="00F1173A"/>
    <w:rsid w:val="00F14149"/>
    <w:rsid w:val="00F14887"/>
    <w:rsid w:val="00F15671"/>
    <w:rsid w:val="00F1635E"/>
    <w:rsid w:val="00F20BBB"/>
    <w:rsid w:val="00F22D89"/>
    <w:rsid w:val="00F25F70"/>
    <w:rsid w:val="00F26169"/>
    <w:rsid w:val="00F278B3"/>
    <w:rsid w:val="00F30E40"/>
    <w:rsid w:val="00F31981"/>
    <w:rsid w:val="00F32B86"/>
    <w:rsid w:val="00F4134D"/>
    <w:rsid w:val="00F422F9"/>
    <w:rsid w:val="00F44D15"/>
    <w:rsid w:val="00F4603C"/>
    <w:rsid w:val="00F51702"/>
    <w:rsid w:val="00F55963"/>
    <w:rsid w:val="00F574D6"/>
    <w:rsid w:val="00F627E4"/>
    <w:rsid w:val="00F6377E"/>
    <w:rsid w:val="00F63F8E"/>
    <w:rsid w:val="00F652F0"/>
    <w:rsid w:val="00F66B07"/>
    <w:rsid w:val="00F766CC"/>
    <w:rsid w:val="00F77535"/>
    <w:rsid w:val="00F85B6D"/>
    <w:rsid w:val="00FA15EE"/>
    <w:rsid w:val="00FA7091"/>
    <w:rsid w:val="00FA731D"/>
    <w:rsid w:val="00FC1ADB"/>
    <w:rsid w:val="00FC1BD9"/>
    <w:rsid w:val="00FC2734"/>
    <w:rsid w:val="00FC4ABF"/>
    <w:rsid w:val="00FC705B"/>
    <w:rsid w:val="00FD6FFF"/>
    <w:rsid w:val="00FE4187"/>
    <w:rsid w:val="00FE6128"/>
    <w:rsid w:val="00FF0B54"/>
    <w:rsid w:val="00FF0D48"/>
    <w:rsid w:val="00FF2EA8"/>
    <w:rsid w:val="00FF40C8"/>
    <w:rsid w:val="00FF43E1"/>
    <w:rsid w:val="00FF6F8C"/>
    <w:rsid w:val="015E0223"/>
    <w:rsid w:val="017B2F92"/>
    <w:rsid w:val="018605C8"/>
    <w:rsid w:val="01F114A6"/>
    <w:rsid w:val="02081B34"/>
    <w:rsid w:val="022C6BFD"/>
    <w:rsid w:val="029F6E8A"/>
    <w:rsid w:val="02A46519"/>
    <w:rsid w:val="02CB1CF7"/>
    <w:rsid w:val="02DA63DE"/>
    <w:rsid w:val="02F86E50"/>
    <w:rsid w:val="031E1CD6"/>
    <w:rsid w:val="03C86237"/>
    <w:rsid w:val="0402799B"/>
    <w:rsid w:val="041F498B"/>
    <w:rsid w:val="04C904B8"/>
    <w:rsid w:val="05015EA4"/>
    <w:rsid w:val="054E09BE"/>
    <w:rsid w:val="05544114"/>
    <w:rsid w:val="05920982"/>
    <w:rsid w:val="05A50F26"/>
    <w:rsid w:val="06103B1C"/>
    <w:rsid w:val="06125EF8"/>
    <w:rsid w:val="065B2377"/>
    <w:rsid w:val="06816112"/>
    <w:rsid w:val="069B572F"/>
    <w:rsid w:val="06D47025"/>
    <w:rsid w:val="06E96C8C"/>
    <w:rsid w:val="07265417"/>
    <w:rsid w:val="07281774"/>
    <w:rsid w:val="07B23486"/>
    <w:rsid w:val="07C8765C"/>
    <w:rsid w:val="080463DB"/>
    <w:rsid w:val="08086FD9"/>
    <w:rsid w:val="080D4392"/>
    <w:rsid w:val="09811B61"/>
    <w:rsid w:val="099E0166"/>
    <w:rsid w:val="09C17B5A"/>
    <w:rsid w:val="0A065D32"/>
    <w:rsid w:val="0A3B3F26"/>
    <w:rsid w:val="0A611BF8"/>
    <w:rsid w:val="0AAB2D53"/>
    <w:rsid w:val="0AF0679F"/>
    <w:rsid w:val="0B5B0731"/>
    <w:rsid w:val="0C4E72D9"/>
    <w:rsid w:val="0C6F5DE9"/>
    <w:rsid w:val="0D015662"/>
    <w:rsid w:val="0D072871"/>
    <w:rsid w:val="0D3368D8"/>
    <w:rsid w:val="0D821B4C"/>
    <w:rsid w:val="0DAB2E51"/>
    <w:rsid w:val="0E095E94"/>
    <w:rsid w:val="0E1E0FBF"/>
    <w:rsid w:val="0E8E019B"/>
    <w:rsid w:val="0E976B30"/>
    <w:rsid w:val="0F0412FE"/>
    <w:rsid w:val="0F483F12"/>
    <w:rsid w:val="102E4162"/>
    <w:rsid w:val="106122C9"/>
    <w:rsid w:val="10703CAE"/>
    <w:rsid w:val="10CB7366"/>
    <w:rsid w:val="111C30D4"/>
    <w:rsid w:val="11317B11"/>
    <w:rsid w:val="11827CB5"/>
    <w:rsid w:val="12916B05"/>
    <w:rsid w:val="1331518B"/>
    <w:rsid w:val="13527E24"/>
    <w:rsid w:val="13631AD8"/>
    <w:rsid w:val="138F1705"/>
    <w:rsid w:val="139100A5"/>
    <w:rsid w:val="13995836"/>
    <w:rsid w:val="13D70E28"/>
    <w:rsid w:val="13D71183"/>
    <w:rsid w:val="14017C96"/>
    <w:rsid w:val="14B532C3"/>
    <w:rsid w:val="14CA0061"/>
    <w:rsid w:val="14CB202B"/>
    <w:rsid w:val="155F7C57"/>
    <w:rsid w:val="15BA4FC5"/>
    <w:rsid w:val="1631173C"/>
    <w:rsid w:val="165322D8"/>
    <w:rsid w:val="16557DFE"/>
    <w:rsid w:val="16677B31"/>
    <w:rsid w:val="1674297A"/>
    <w:rsid w:val="16D675DC"/>
    <w:rsid w:val="17030DB9"/>
    <w:rsid w:val="173206F1"/>
    <w:rsid w:val="1784669F"/>
    <w:rsid w:val="17932C71"/>
    <w:rsid w:val="17D4177E"/>
    <w:rsid w:val="18057602"/>
    <w:rsid w:val="182934AF"/>
    <w:rsid w:val="194A5C14"/>
    <w:rsid w:val="197B7B7C"/>
    <w:rsid w:val="19FB6F0E"/>
    <w:rsid w:val="1A4421DD"/>
    <w:rsid w:val="1AB104E2"/>
    <w:rsid w:val="1ACB42AA"/>
    <w:rsid w:val="1AEB0716"/>
    <w:rsid w:val="1AFD3BB0"/>
    <w:rsid w:val="1B2028FE"/>
    <w:rsid w:val="1B895053"/>
    <w:rsid w:val="1C057370"/>
    <w:rsid w:val="1CBC73CE"/>
    <w:rsid w:val="1D0A21C5"/>
    <w:rsid w:val="1DA022A7"/>
    <w:rsid w:val="1E6E0DF3"/>
    <w:rsid w:val="1EB76530"/>
    <w:rsid w:val="1EC46E32"/>
    <w:rsid w:val="1F4443A5"/>
    <w:rsid w:val="1F721A21"/>
    <w:rsid w:val="1F805CAB"/>
    <w:rsid w:val="1FC22C61"/>
    <w:rsid w:val="1FE12520"/>
    <w:rsid w:val="20857532"/>
    <w:rsid w:val="20D1106D"/>
    <w:rsid w:val="20D2101F"/>
    <w:rsid w:val="212D3A88"/>
    <w:rsid w:val="21337C4D"/>
    <w:rsid w:val="2190618E"/>
    <w:rsid w:val="21944694"/>
    <w:rsid w:val="21B952E7"/>
    <w:rsid w:val="21D55BFC"/>
    <w:rsid w:val="229323DA"/>
    <w:rsid w:val="22D15D8C"/>
    <w:rsid w:val="23046E34"/>
    <w:rsid w:val="23B048C6"/>
    <w:rsid w:val="23F11EF5"/>
    <w:rsid w:val="24016AA8"/>
    <w:rsid w:val="24CF3471"/>
    <w:rsid w:val="252C08C4"/>
    <w:rsid w:val="25786DC9"/>
    <w:rsid w:val="25902B17"/>
    <w:rsid w:val="25F976E5"/>
    <w:rsid w:val="265D07B3"/>
    <w:rsid w:val="266320C3"/>
    <w:rsid w:val="269336DA"/>
    <w:rsid w:val="26966FC6"/>
    <w:rsid w:val="26BF0015"/>
    <w:rsid w:val="26F24B6A"/>
    <w:rsid w:val="274C5493"/>
    <w:rsid w:val="27637EA1"/>
    <w:rsid w:val="27962024"/>
    <w:rsid w:val="27B5694E"/>
    <w:rsid w:val="280B3C47"/>
    <w:rsid w:val="28832592"/>
    <w:rsid w:val="28F72945"/>
    <w:rsid w:val="296C416D"/>
    <w:rsid w:val="29A16A53"/>
    <w:rsid w:val="2A3C1343"/>
    <w:rsid w:val="2A6D0022"/>
    <w:rsid w:val="2B3A2CED"/>
    <w:rsid w:val="2B5E690F"/>
    <w:rsid w:val="2B6F1D08"/>
    <w:rsid w:val="2C424529"/>
    <w:rsid w:val="2CF61B50"/>
    <w:rsid w:val="2D35408E"/>
    <w:rsid w:val="2D5B3C82"/>
    <w:rsid w:val="2D8047C3"/>
    <w:rsid w:val="2E245D4E"/>
    <w:rsid w:val="2E2747C2"/>
    <w:rsid w:val="2E530ADF"/>
    <w:rsid w:val="2EB2380A"/>
    <w:rsid w:val="2ED94AA6"/>
    <w:rsid w:val="2F7421E8"/>
    <w:rsid w:val="2FB96D04"/>
    <w:rsid w:val="2FDB352E"/>
    <w:rsid w:val="302D6B7D"/>
    <w:rsid w:val="30DD0CC4"/>
    <w:rsid w:val="31A12389"/>
    <w:rsid w:val="33185FE3"/>
    <w:rsid w:val="33456600"/>
    <w:rsid w:val="335A70DF"/>
    <w:rsid w:val="33965C92"/>
    <w:rsid w:val="33B17E6B"/>
    <w:rsid w:val="341A7804"/>
    <w:rsid w:val="34557F1B"/>
    <w:rsid w:val="346C3430"/>
    <w:rsid w:val="34C73392"/>
    <w:rsid w:val="35867971"/>
    <w:rsid w:val="359C6581"/>
    <w:rsid w:val="35E709E1"/>
    <w:rsid w:val="35ED7BFB"/>
    <w:rsid w:val="35F965A0"/>
    <w:rsid w:val="36033620"/>
    <w:rsid w:val="374F3D14"/>
    <w:rsid w:val="37553C89"/>
    <w:rsid w:val="37E8067A"/>
    <w:rsid w:val="38034893"/>
    <w:rsid w:val="387B14EE"/>
    <w:rsid w:val="387B72E9"/>
    <w:rsid w:val="38992D84"/>
    <w:rsid w:val="389D0A3E"/>
    <w:rsid w:val="38AC17E4"/>
    <w:rsid w:val="39587A49"/>
    <w:rsid w:val="39D17C44"/>
    <w:rsid w:val="3A1727D8"/>
    <w:rsid w:val="3A35391F"/>
    <w:rsid w:val="3A7F7049"/>
    <w:rsid w:val="3ACA4067"/>
    <w:rsid w:val="3B0C034B"/>
    <w:rsid w:val="3BBC7B80"/>
    <w:rsid w:val="3BED2703"/>
    <w:rsid w:val="3C4A30C0"/>
    <w:rsid w:val="3C7B030D"/>
    <w:rsid w:val="3CA91A21"/>
    <w:rsid w:val="3D041F85"/>
    <w:rsid w:val="3DB8289D"/>
    <w:rsid w:val="3DC83C6D"/>
    <w:rsid w:val="3DF37A29"/>
    <w:rsid w:val="3E2F44CC"/>
    <w:rsid w:val="3E306B73"/>
    <w:rsid w:val="3E35092F"/>
    <w:rsid w:val="3EB13B0E"/>
    <w:rsid w:val="3EBD644A"/>
    <w:rsid w:val="3ECA3A3B"/>
    <w:rsid w:val="3FC364C0"/>
    <w:rsid w:val="3FE8128C"/>
    <w:rsid w:val="40392451"/>
    <w:rsid w:val="403D6FCA"/>
    <w:rsid w:val="40EF4A1C"/>
    <w:rsid w:val="40F550CA"/>
    <w:rsid w:val="411279D6"/>
    <w:rsid w:val="41196C0F"/>
    <w:rsid w:val="41345E57"/>
    <w:rsid w:val="417C09B1"/>
    <w:rsid w:val="41FB36A0"/>
    <w:rsid w:val="433834C4"/>
    <w:rsid w:val="43561FD2"/>
    <w:rsid w:val="43E4263E"/>
    <w:rsid w:val="43F7653E"/>
    <w:rsid w:val="44315157"/>
    <w:rsid w:val="447F2366"/>
    <w:rsid w:val="45157006"/>
    <w:rsid w:val="452A73EA"/>
    <w:rsid w:val="45433394"/>
    <w:rsid w:val="458A65E5"/>
    <w:rsid w:val="45AC24BE"/>
    <w:rsid w:val="45F329B6"/>
    <w:rsid w:val="460D5750"/>
    <w:rsid w:val="464078D3"/>
    <w:rsid w:val="465C606C"/>
    <w:rsid w:val="46BF122B"/>
    <w:rsid w:val="46DA0A18"/>
    <w:rsid w:val="46EA3D2C"/>
    <w:rsid w:val="4754598B"/>
    <w:rsid w:val="47930F57"/>
    <w:rsid w:val="47D76015"/>
    <w:rsid w:val="47E32093"/>
    <w:rsid w:val="48072BD5"/>
    <w:rsid w:val="482254E2"/>
    <w:rsid w:val="48D84D8B"/>
    <w:rsid w:val="49547BE5"/>
    <w:rsid w:val="498A3CD8"/>
    <w:rsid w:val="49D95435"/>
    <w:rsid w:val="4A453053"/>
    <w:rsid w:val="4AC01CCD"/>
    <w:rsid w:val="4AE72A13"/>
    <w:rsid w:val="4AFB201B"/>
    <w:rsid w:val="4B3B6A90"/>
    <w:rsid w:val="4B536483"/>
    <w:rsid w:val="4B554CA4"/>
    <w:rsid w:val="4BB81C37"/>
    <w:rsid w:val="4BD96800"/>
    <w:rsid w:val="4C231AEE"/>
    <w:rsid w:val="4C653BF0"/>
    <w:rsid w:val="4CB638DA"/>
    <w:rsid w:val="4CCD0192"/>
    <w:rsid w:val="4D2C0BB1"/>
    <w:rsid w:val="4D8F05CA"/>
    <w:rsid w:val="4DA22566"/>
    <w:rsid w:val="4E666B3F"/>
    <w:rsid w:val="4E727FFC"/>
    <w:rsid w:val="4EDB7A25"/>
    <w:rsid w:val="4F17499D"/>
    <w:rsid w:val="4F3B447E"/>
    <w:rsid w:val="4F7223AC"/>
    <w:rsid w:val="4F764366"/>
    <w:rsid w:val="4FA47C16"/>
    <w:rsid w:val="4FEC5A6F"/>
    <w:rsid w:val="502C3AEB"/>
    <w:rsid w:val="50510A8B"/>
    <w:rsid w:val="50B500BB"/>
    <w:rsid w:val="5108206D"/>
    <w:rsid w:val="513E0EB3"/>
    <w:rsid w:val="514476F1"/>
    <w:rsid w:val="51D8251F"/>
    <w:rsid w:val="52470FC5"/>
    <w:rsid w:val="530D784A"/>
    <w:rsid w:val="534E7AD3"/>
    <w:rsid w:val="53BF237A"/>
    <w:rsid w:val="53E7405A"/>
    <w:rsid w:val="54EB3100"/>
    <w:rsid w:val="54FF2488"/>
    <w:rsid w:val="572D7A00"/>
    <w:rsid w:val="576F626A"/>
    <w:rsid w:val="578856A2"/>
    <w:rsid w:val="57A06424"/>
    <w:rsid w:val="57A51EF7"/>
    <w:rsid w:val="57F10A2D"/>
    <w:rsid w:val="580F1D5A"/>
    <w:rsid w:val="58167FAD"/>
    <w:rsid w:val="585F1730"/>
    <w:rsid w:val="591A7E3E"/>
    <w:rsid w:val="596C5F73"/>
    <w:rsid w:val="599B49C4"/>
    <w:rsid w:val="59F37EAD"/>
    <w:rsid w:val="59FF13B5"/>
    <w:rsid w:val="5A4A2A6D"/>
    <w:rsid w:val="5A817694"/>
    <w:rsid w:val="5A927E0B"/>
    <w:rsid w:val="5AAB5BF8"/>
    <w:rsid w:val="5AB74A27"/>
    <w:rsid w:val="5ADF7263"/>
    <w:rsid w:val="5B886408"/>
    <w:rsid w:val="5BD448EE"/>
    <w:rsid w:val="5BE623AA"/>
    <w:rsid w:val="5BE663CF"/>
    <w:rsid w:val="5C141416"/>
    <w:rsid w:val="5C7C274C"/>
    <w:rsid w:val="5CAD46A1"/>
    <w:rsid w:val="5CAF0E58"/>
    <w:rsid w:val="5CEB382D"/>
    <w:rsid w:val="5D7A3273"/>
    <w:rsid w:val="5D943EC6"/>
    <w:rsid w:val="5DB70E56"/>
    <w:rsid w:val="5DF349AE"/>
    <w:rsid w:val="5DFD71D0"/>
    <w:rsid w:val="5E011217"/>
    <w:rsid w:val="5E562035"/>
    <w:rsid w:val="5E781F9E"/>
    <w:rsid w:val="5ED03A14"/>
    <w:rsid w:val="5EE42CE2"/>
    <w:rsid w:val="5F1957A0"/>
    <w:rsid w:val="5F855B9D"/>
    <w:rsid w:val="5F9578D1"/>
    <w:rsid w:val="5FC218BE"/>
    <w:rsid w:val="60254A1C"/>
    <w:rsid w:val="60CB24E1"/>
    <w:rsid w:val="60FA6BA5"/>
    <w:rsid w:val="6238021F"/>
    <w:rsid w:val="63290C53"/>
    <w:rsid w:val="633914DA"/>
    <w:rsid w:val="639F3A33"/>
    <w:rsid w:val="63B472ED"/>
    <w:rsid w:val="63BD05A6"/>
    <w:rsid w:val="63DC4FB9"/>
    <w:rsid w:val="63E60BAF"/>
    <w:rsid w:val="644071BD"/>
    <w:rsid w:val="646F54C7"/>
    <w:rsid w:val="64740D42"/>
    <w:rsid w:val="64F34037"/>
    <w:rsid w:val="65734736"/>
    <w:rsid w:val="65884D22"/>
    <w:rsid w:val="65C57F70"/>
    <w:rsid w:val="65D46ED4"/>
    <w:rsid w:val="662353F5"/>
    <w:rsid w:val="662B5A52"/>
    <w:rsid w:val="66407A06"/>
    <w:rsid w:val="666024CC"/>
    <w:rsid w:val="666E3875"/>
    <w:rsid w:val="67252D95"/>
    <w:rsid w:val="674053B4"/>
    <w:rsid w:val="676B4D8A"/>
    <w:rsid w:val="68500709"/>
    <w:rsid w:val="685328D2"/>
    <w:rsid w:val="68784853"/>
    <w:rsid w:val="688556E8"/>
    <w:rsid w:val="696E63A6"/>
    <w:rsid w:val="697F3D61"/>
    <w:rsid w:val="69A0397D"/>
    <w:rsid w:val="69CE7382"/>
    <w:rsid w:val="6A546A81"/>
    <w:rsid w:val="6AAD5669"/>
    <w:rsid w:val="6AF72513"/>
    <w:rsid w:val="6B2D1F57"/>
    <w:rsid w:val="6BC90267"/>
    <w:rsid w:val="6C5D382A"/>
    <w:rsid w:val="6C664248"/>
    <w:rsid w:val="6D4C4D39"/>
    <w:rsid w:val="6DEF5C2B"/>
    <w:rsid w:val="6DF90490"/>
    <w:rsid w:val="6E4F6056"/>
    <w:rsid w:val="6E797E0F"/>
    <w:rsid w:val="6FA50623"/>
    <w:rsid w:val="6FAC3760"/>
    <w:rsid w:val="6FCE2708"/>
    <w:rsid w:val="703D10D4"/>
    <w:rsid w:val="7055244F"/>
    <w:rsid w:val="70985873"/>
    <w:rsid w:val="70C04C9E"/>
    <w:rsid w:val="710F6A23"/>
    <w:rsid w:val="71306613"/>
    <w:rsid w:val="7132393E"/>
    <w:rsid w:val="716623A6"/>
    <w:rsid w:val="7168503D"/>
    <w:rsid w:val="71D24B33"/>
    <w:rsid w:val="71EB1615"/>
    <w:rsid w:val="72E15309"/>
    <w:rsid w:val="72EB3E1C"/>
    <w:rsid w:val="73474017"/>
    <w:rsid w:val="7395104B"/>
    <w:rsid w:val="73C60B68"/>
    <w:rsid w:val="743D52CE"/>
    <w:rsid w:val="744E7A65"/>
    <w:rsid w:val="744F5002"/>
    <w:rsid w:val="74674908"/>
    <w:rsid w:val="74F344EC"/>
    <w:rsid w:val="75764812"/>
    <w:rsid w:val="7593263E"/>
    <w:rsid w:val="75BB56C3"/>
    <w:rsid w:val="76350FB7"/>
    <w:rsid w:val="765E32DA"/>
    <w:rsid w:val="76944F4E"/>
    <w:rsid w:val="76B963D7"/>
    <w:rsid w:val="76EE28B0"/>
    <w:rsid w:val="771A0A72"/>
    <w:rsid w:val="77B91F4B"/>
    <w:rsid w:val="780C0319"/>
    <w:rsid w:val="78312B64"/>
    <w:rsid w:val="783F1245"/>
    <w:rsid w:val="789254BD"/>
    <w:rsid w:val="78C10F9A"/>
    <w:rsid w:val="790370A9"/>
    <w:rsid w:val="79352A18"/>
    <w:rsid w:val="7A4E14A8"/>
    <w:rsid w:val="7AD76B4E"/>
    <w:rsid w:val="7B694BFB"/>
    <w:rsid w:val="7BA10DE3"/>
    <w:rsid w:val="7BAB59E9"/>
    <w:rsid w:val="7BB51BEE"/>
    <w:rsid w:val="7C1320FB"/>
    <w:rsid w:val="7C266648"/>
    <w:rsid w:val="7C6C0A70"/>
    <w:rsid w:val="7C964471"/>
    <w:rsid w:val="7CA11C62"/>
    <w:rsid w:val="7CB0319E"/>
    <w:rsid w:val="7D060AB1"/>
    <w:rsid w:val="7DC4364F"/>
    <w:rsid w:val="7E5366B9"/>
    <w:rsid w:val="7E95670C"/>
    <w:rsid w:val="7F143C8D"/>
    <w:rsid w:val="7F2D53D8"/>
    <w:rsid w:val="7F6754C4"/>
    <w:rsid w:val="7FA71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7"/>
    <w:qFormat/>
    <w:uiPriority w:val="0"/>
    <w:pPr>
      <w:keepNext/>
      <w:keepLines/>
      <w:spacing w:line="360" w:lineRule="auto"/>
      <w:outlineLvl w:val="0"/>
    </w:pPr>
    <w:rPr>
      <w:rFonts w:ascii="Calibri" w:hAnsi="Calibri"/>
      <w:b/>
      <w:kern w:val="44"/>
      <w:sz w:val="44"/>
    </w:rPr>
  </w:style>
  <w:style w:type="paragraph" w:styleId="3">
    <w:name w:val="heading 2"/>
    <w:basedOn w:val="1"/>
    <w:next w:val="1"/>
    <w:link w:val="7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9"/>
    <w:qFormat/>
    <w:uiPriority w:val="0"/>
    <w:pPr>
      <w:keepNext/>
      <w:keepLines/>
      <w:spacing w:before="260" w:after="260" w:line="416" w:lineRule="auto"/>
      <w:outlineLvl w:val="2"/>
    </w:pPr>
    <w:rPr>
      <w:rFonts w:eastAsia="仿宋"/>
      <w:b/>
      <w:bCs/>
      <w:sz w:val="32"/>
      <w:szCs w:val="32"/>
    </w:rPr>
  </w:style>
  <w:style w:type="paragraph" w:styleId="5">
    <w:name w:val="heading 4"/>
    <w:basedOn w:val="1"/>
    <w:next w:val="1"/>
    <w:link w:val="30"/>
    <w:qFormat/>
    <w:uiPriority w:val="0"/>
    <w:pPr>
      <w:keepNext/>
      <w:keepLines/>
      <w:spacing w:before="280" w:after="290" w:line="376" w:lineRule="auto"/>
      <w:outlineLvl w:val="3"/>
    </w:pPr>
    <w:rPr>
      <w:rFonts w:ascii="Cambria" w:hAnsi="Cambria"/>
      <w:b/>
      <w:bCs/>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table of authorities"/>
    <w:basedOn w:val="1"/>
    <w:next w:val="1"/>
    <w:qFormat/>
    <w:uiPriority w:val="0"/>
    <w:pPr>
      <w:spacing w:line="360" w:lineRule="auto"/>
      <w:ind w:left="420" w:leftChars="200"/>
    </w:pPr>
    <w:rPr>
      <w:rFonts w:ascii="Plotter" w:hAnsi="Plotter"/>
      <w:szCs w:val="21"/>
    </w:rPr>
  </w:style>
  <w:style w:type="paragraph" w:styleId="7">
    <w:name w:val="Normal Indent"/>
    <w:basedOn w:val="1"/>
    <w:link w:val="31"/>
    <w:qFormat/>
    <w:uiPriority w:val="99"/>
    <w:pPr>
      <w:ind w:firstLine="420"/>
    </w:pPr>
    <w:rPr>
      <w:kern w:val="0"/>
      <w:sz w:val="20"/>
      <w:szCs w:val="20"/>
    </w:rPr>
  </w:style>
  <w:style w:type="paragraph" w:styleId="8">
    <w:name w:val="Document Map"/>
    <w:basedOn w:val="1"/>
    <w:semiHidden/>
    <w:qFormat/>
    <w:uiPriority w:val="0"/>
    <w:pPr>
      <w:shd w:val="clear" w:color="auto" w:fill="000080"/>
    </w:pPr>
    <w:rPr>
      <w:sz w:val="44"/>
    </w:rPr>
  </w:style>
  <w:style w:type="paragraph" w:styleId="9">
    <w:name w:val="annotation text"/>
    <w:basedOn w:val="1"/>
    <w:link w:val="72"/>
    <w:unhideWhenUsed/>
    <w:qFormat/>
    <w:uiPriority w:val="0"/>
    <w:pPr>
      <w:jc w:val="left"/>
    </w:pPr>
    <w:rPr>
      <w:rFonts w:ascii="Calibri" w:hAnsi="Calibri"/>
    </w:rPr>
  </w:style>
  <w:style w:type="paragraph" w:styleId="10">
    <w:name w:val="Body Text"/>
    <w:basedOn w:val="1"/>
    <w:next w:val="1"/>
    <w:link w:val="33"/>
    <w:qFormat/>
    <w:uiPriority w:val="0"/>
    <w:pPr>
      <w:adjustRightInd w:val="0"/>
      <w:spacing w:after="120" w:line="360" w:lineRule="atLeast"/>
      <w:textAlignment w:val="baseline"/>
    </w:pPr>
    <w:rPr>
      <w:kern w:val="0"/>
      <w:sz w:val="20"/>
      <w:szCs w:val="24"/>
    </w:rPr>
  </w:style>
  <w:style w:type="paragraph" w:styleId="11">
    <w:name w:val="Body Text Indent"/>
    <w:basedOn w:val="1"/>
    <w:next w:val="12"/>
    <w:link w:val="76"/>
    <w:unhideWhenUsed/>
    <w:qFormat/>
    <w:uiPriority w:val="0"/>
    <w:pPr>
      <w:spacing w:after="120"/>
      <w:ind w:left="420" w:leftChars="200"/>
    </w:pPr>
  </w:style>
  <w:style w:type="paragraph" w:styleId="12">
    <w:name w:val="envelope return"/>
    <w:basedOn w:val="1"/>
    <w:qFormat/>
    <w:uiPriority w:val="0"/>
    <w:pPr>
      <w:snapToGrid w:val="0"/>
    </w:pPr>
    <w:rPr>
      <w:rFonts w:ascii="Arial" w:hAnsi="Arial"/>
    </w:rPr>
  </w:style>
  <w:style w:type="paragraph" w:styleId="13">
    <w:name w:val="Plain Text"/>
    <w:basedOn w:val="1"/>
    <w:link w:val="34"/>
    <w:qFormat/>
    <w:uiPriority w:val="0"/>
    <w:rPr>
      <w:rFonts w:ascii="宋体" w:hAnsi="Courier New"/>
      <w:kern w:val="0"/>
      <w:sz w:val="20"/>
      <w:szCs w:val="21"/>
    </w:rPr>
  </w:style>
  <w:style w:type="paragraph" w:styleId="14">
    <w:name w:val="Balloon Text"/>
    <w:basedOn w:val="1"/>
    <w:link w:val="35"/>
    <w:qFormat/>
    <w:uiPriority w:val="99"/>
    <w:rPr>
      <w:sz w:val="18"/>
      <w:szCs w:val="18"/>
    </w:rPr>
  </w:style>
  <w:style w:type="paragraph" w:styleId="15">
    <w:name w:val="footer"/>
    <w:basedOn w:val="1"/>
    <w:link w:val="36"/>
    <w:qFormat/>
    <w:uiPriority w:val="0"/>
    <w:pPr>
      <w:tabs>
        <w:tab w:val="center" w:pos="4153"/>
        <w:tab w:val="right" w:pos="8306"/>
      </w:tabs>
      <w:snapToGrid w:val="0"/>
      <w:jc w:val="left"/>
    </w:pPr>
    <w:rPr>
      <w:sz w:val="18"/>
      <w:szCs w:val="18"/>
    </w:rPr>
  </w:style>
  <w:style w:type="paragraph" w:styleId="16">
    <w:name w:val="header"/>
    <w:basedOn w:val="1"/>
    <w:link w:val="77"/>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Normal (Web)"/>
    <w:basedOn w:val="1"/>
    <w:link w:val="37"/>
    <w:unhideWhenUsed/>
    <w:qFormat/>
    <w:uiPriority w:val="99"/>
    <w:pPr>
      <w:widowControl/>
      <w:spacing w:before="100" w:beforeAutospacing="1" w:after="100" w:afterAutospacing="1"/>
      <w:jc w:val="left"/>
    </w:pPr>
    <w:rPr>
      <w:rFonts w:ascii="宋体" w:hAnsi="宋体" w:cs="宋体"/>
      <w:kern w:val="0"/>
      <w:sz w:val="24"/>
      <w:szCs w:val="24"/>
    </w:rPr>
  </w:style>
  <w:style w:type="paragraph" w:styleId="19">
    <w:name w:val="Title"/>
    <w:basedOn w:val="1"/>
    <w:next w:val="1"/>
    <w:qFormat/>
    <w:uiPriority w:val="0"/>
    <w:pPr>
      <w:spacing w:before="240" w:after="60"/>
      <w:jc w:val="center"/>
      <w:outlineLvl w:val="0"/>
    </w:pPr>
    <w:rPr>
      <w:rFonts w:ascii="Calibri Light" w:hAnsi="Calibri Light"/>
      <w:b/>
      <w:bCs/>
      <w:sz w:val="32"/>
      <w:szCs w:val="32"/>
    </w:rPr>
  </w:style>
  <w:style w:type="paragraph" w:styleId="20">
    <w:name w:val="annotation subject"/>
    <w:basedOn w:val="9"/>
    <w:next w:val="9"/>
    <w:link w:val="38"/>
    <w:qFormat/>
    <w:uiPriority w:val="0"/>
    <w:rPr>
      <w:b/>
      <w:bCs/>
    </w:rPr>
  </w:style>
  <w:style w:type="paragraph" w:styleId="21">
    <w:name w:val="Body Text First Indent 2"/>
    <w:basedOn w:val="11"/>
    <w:next w:val="1"/>
    <w:unhideWhenUsed/>
    <w:qFormat/>
    <w:uiPriority w:val="0"/>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qFormat/>
    <w:uiPriority w:val="22"/>
    <w:rPr>
      <w:b/>
      <w:bCs/>
    </w:rPr>
  </w:style>
  <w:style w:type="character" w:styleId="26">
    <w:name w:val="annotation reference"/>
    <w:unhideWhenUsed/>
    <w:qFormat/>
    <w:uiPriority w:val="0"/>
    <w:rPr>
      <w:sz w:val="21"/>
      <w:szCs w:val="21"/>
    </w:rPr>
  </w:style>
  <w:style w:type="character" w:customStyle="1" w:styleId="27">
    <w:name w:val="标题 1 字符"/>
    <w:link w:val="2"/>
    <w:qFormat/>
    <w:uiPriority w:val="0"/>
    <w:rPr>
      <w:rFonts w:ascii="Calibri" w:hAnsi="Calibri"/>
      <w:b/>
      <w:kern w:val="44"/>
      <w:sz w:val="44"/>
      <w:szCs w:val="22"/>
    </w:rPr>
  </w:style>
  <w:style w:type="character" w:customStyle="1" w:styleId="28">
    <w:name w:val="标题 2 字符1"/>
    <w:qFormat/>
    <w:uiPriority w:val="0"/>
    <w:rPr>
      <w:rFonts w:ascii="Arial" w:hAnsi="Arial" w:eastAsia="黑体"/>
      <w:b/>
      <w:bCs/>
      <w:kern w:val="2"/>
      <w:sz w:val="32"/>
      <w:szCs w:val="32"/>
    </w:rPr>
  </w:style>
  <w:style w:type="character" w:customStyle="1" w:styleId="29">
    <w:name w:val="标题 3 字符"/>
    <w:link w:val="4"/>
    <w:qFormat/>
    <w:uiPriority w:val="0"/>
    <w:rPr>
      <w:rFonts w:ascii="Times New Roman" w:hAnsi="Times New Roman" w:eastAsia="仿宋"/>
      <w:b/>
      <w:bCs/>
      <w:kern w:val="2"/>
      <w:sz w:val="32"/>
      <w:szCs w:val="32"/>
    </w:rPr>
  </w:style>
  <w:style w:type="character" w:customStyle="1" w:styleId="30">
    <w:name w:val="标题 4 字符"/>
    <w:link w:val="5"/>
    <w:qFormat/>
    <w:uiPriority w:val="0"/>
    <w:rPr>
      <w:rFonts w:ascii="Cambria" w:hAnsi="Cambria" w:eastAsia="宋体" w:cs="Times New Roman"/>
      <w:b/>
      <w:bCs/>
      <w:kern w:val="2"/>
      <w:sz w:val="28"/>
      <w:szCs w:val="28"/>
    </w:rPr>
  </w:style>
  <w:style w:type="character" w:customStyle="1" w:styleId="31">
    <w:name w:val="正文缩进 字符"/>
    <w:link w:val="7"/>
    <w:qFormat/>
    <w:uiPriority w:val="0"/>
    <w:rPr>
      <w:rFonts w:ascii="Times New Roman" w:hAnsi="Times New Roman"/>
    </w:rPr>
  </w:style>
  <w:style w:type="character" w:customStyle="1" w:styleId="32">
    <w:name w:val="批注文字 字符"/>
    <w:qFormat/>
    <w:uiPriority w:val="0"/>
    <w:rPr>
      <w:kern w:val="2"/>
      <w:sz w:val="21"/>
      <w:szCs w:val="22"/>
    </w:rPr>
  </w:style>
  <w:style w:type="character" w:customStyle="1" w:styleId="33">
    <w:name w:val="正文文本 字符"/>
    <w:link w:val="10"/>
    <w:qFormat/>
    <w:uiPriority w:val="0"/>
    <w:rPr>
      <w:rFonts w:ascii="Times New Roman" w:hAnsi="Times New Roman"/>
      <w:szCs w:val="24"/>
    </w:rPr>
  </w:style>
  <w:style w:type="character" w:customStyle="1" w:styleId="34">
    <w:name w:val="纯文本 字符"/>
    <w:link w:val="13"/>
    <w:qFormat/>
    <w:uiPriority w:val="0"/>
    <w:rPr>
      <w:rFonts w:ascii="宋体" w:hAnsi="Courier New"/>
      <w:szCs w:val="21"/>
    </w:rPr>
  </w:style>
  <w:style w:type="character" w:customStyle="1" w:styleId="35">
    <w:name w:val="批注框文本 字符"/>
    <w:link w:val="14"/>
    <w:qFormat/>
    <w:uiPriority w:val="99"/>
    <w:rPr>
      <w:kern w:val="2"/>
      <w:sz w:val="18"/>
      <w:szCs w:val="18"/>
    </w:rPr>
  </w:style>
  <w:style w:type="character" w:customStyle="1" w:styleId="36">
    <w:name w:val="页脚 字符"/>
    <w:link w:val="15"/>
    <w:qFormat/>
    <w:uiPriority w:val="0"/>
    <w:rPr>
      <w:kern w:val="2"/>
      <w:sz w:val="18"/>
      <w:szCs w:val="18"/>
    </w:rPr>
  </w:style>
  <w:style w:type="character" w:customStyle="1" w:styleId="37">
    <w:name w:val="普通(网站) 字符"/>
    <w:link w:val="18"/>
    <w:qFormat/>
    <w:uiPriority w:val="99"/>
    <w:rPr>
      <w:rFonts w:ascii="宋体" w:hAnsi="宋体" w:eastAsia="宋体" w:cs="宋体"/>
      <w:kern w:val="0"/>
      <w:sz w:val="24"/>
      <w:szCs w:val="24"/>
    </w:rPr>
  </w:style>
  <w:style w:type="character" w:customStyle="1" w:styleId="38">
    <w:name w:val="批注主题 字符"/>
    <w:link w:val="20"/>
    <w:qFormat/>
    <w:uiPriority w:val="0"/>
    <w:rPr>
      <w:b/>
      <w:bCs/>
      <w:kern w:val="2"/>
      <w:sz w:val="21"/>
      <w:szCs w:val="22"/>
    </w:rPr>
  </w:style>
  <w:style w:type="character" w:customStyle="1" w:styleId="39">
    <w:name w:val="标题 2 字符"/>
    <w:semiHidden/>
    <w:qFormat/>
    <w:uiPriority w:val="9"/>
    <w:rPr>
      <w:rFonts w:ascii="等线 Light" w:hAnsi="等线 Light" w:eastAsia="等线 Light" w:cs="Times New Roman"/>
      <w:b/>
      <w:bCs/>
      <w:kern w:val="2"/>
      <w:sz w:val="32"/>
      <w:szCs w:val="32"/>
    </w:rPr>
  </w:style>
  <w:style w:type="character" w:customStyle="1" w:styleId="40">
    <w:name w:val="普通(网站) Char"/>
    <w:qFormat/>
    <w:uiPriority w:val="99"/>
    <w:rPr>
      <w:rFonts w:ascii="宋体" w:hAnsi="宋体" w:cs="宋体"/>
      <w:sz w:val="24"/>
      <w:szCs w:val="24"/>
    </w:rPr>
  </w:style>
  <w:style w:type="character" w:customStyle="1" w:styleId="41">
    <w:name w:val="纯文本 字符2"/>
    <w:qFormat/>
    <w:uiPriority w:val="0"/>
    <w:rPr>
      <w:rFonts w:ascii="宋体" w:hAnsi="Courier New"/>
      <w:szCs w:val="21"/>
      <w:lang w:val="zh-CN"/>
    </w:rPr>
  </w:style>
  <w:style w:type="character" w:customStyle="1" w:styleId="42">
    <w:name w:val="List Paragraph Char"/>
    <w:link w:val="43"/>
    <w:qFormat/>
    <w:locked/>
    <w:uiPriority w:val="99"/>
    <w:rPr>
      <w:rFonts w:cs="Calibri"/>
      <w:kern w:val="2"/>
      <w:sz w:val="21"/>
      <w:szCs w:val="21"/>
    </w:rPr>
  </w:style>
  <w:style w:type="paragraph" w:customStyle="1" w:styleId="43">
    <w:name w:val="列出段落1"/>
    <w:basedOn w:val="1"/>
    <w:link w:val="42"/>
    <w:qFormat/>
    <w:uiPriority w:val="99"/>
    <w:pPr>
      <w:ind w:firstLine="420" w:firstLineChars="200"/>
    </w:pPr>
    <w:rPr>
      <w:rFonts w:cs="Calibri"/>
      <w:szCs w:val="21"/>
    </w:rPr>
  </w:style>
  <w:style w:type="character" w:customStyle="1" w:styleId="44">
    <w:name w:val="NormalCharacter"/>
    <w:qFormat/>
    <w:uiPriority w:val="0"/>
    <w:rPr>
      <w:kern w:val="2"/>
      <w:sz w:val="21"/>
      <w:szCs w:val="22"/>
      <w:lang w:val="en-US" w:eastAsia="zh-CN" w:bidi="ar-SA"/>
    </w:rPr>
  </w:style>
  <w:style w:type="character" w:customStyle="1" w:styleId="45">
    <w:name w:val="正文缩进2格 Char"/>
    <w:link w:val="46"/>
    <w:qFormat/>
    <w:uiPriority w:val="0"/>
    <w:rPr>
      <w:rFonts w:ascii="仿宋_GB2312" w:hAnsi="宋体" w:eastAsia="仿宋_GB2312"/>
      <w:kern w:val="2"/>
      <w:sz w:val="31"/>
      <w:szCs w:val="28"/>
    </w:rPr>
  </w:style>
  <w:style w:type="paragraph" w:customStyle="1" w:styleId="46">
    <w:name w:val="正文缩进2格"/>
    <w:basedOn w:val="1"/>
    <w:link w:val="45"/>
    <w:qFormat/>
    <w:uiPriority w:val="0"/>
    <w:pPr>
      <w:spacing w:after="120" w:line="600" w:lineRule="exact"/>
      <w:ind w:firstLine="639" w:firstLineChars="206"/>
    </w:pPr>
    <w:rPr>
      <w:rFonts w:ascii="仿宋_GB2312" w:hAnsi="宋体" w:eastAsia="仿宋_GB2312"/>
      <w:sz w:val="31"/>
      <w:szCs w:val="28"/>
    </w:rPr>
  </w:style>
  <w:style w:type="character" w:customStyle="1" w:styleId="47">
    <w:name w:val="批注文字 Char1"/>
    <w:qFormat/>
    <w:uiPriority w:val="0"/>
    <w:rPr>
      <w:szCs w:val="24"/>
    </w:rPr>
  </w:style>
  <w:style w:type="character" w:customStyle="1" w:styleId="48">
    <w:name w:val="列出段落 Char2"/>
    <w:qFormat/>
    <w:uiPriority w:val="99"/>
    <w:rPr>
      <w:kern w:val="2"/>
      <w:sz w:val="21"/>
      <w:szCs w:val="22"/>
    </w:rPr>
  </w:style>
  <w:style w:type="character" w:customStyle="1" w:styleId="49">
    <w:name w:val="列表段落 字符"/>
    <w:link w:val="50"/>
    <w:qFormat/>
    <w:uiPriority w:val="34"/>
    <w:rPr>
      <w:kern w:val="2"/>
      <w:sz w:val="21"/>
      <w:szCs w:val="22"/>
    </w:rPr>
  </w:style>
  <w:style w:type="paragraph" w:customStyle="1" w:styleId="50">
    <w:name w:val="列出段落2"/>
    <w:basedOn w:val="1"/>
    <w:link w:val="49"/>
    <w:qFormat/>
    <w:uiPriority w:val="34"/>
    <w:pPr>
      <w:ind w:firstLine="420" w:firstLineChars="200"/>
    </w:pPr>
  </w:style>
  <w:style w:type="paragraph" w:customStyle="1" w:styleId="51">
    <w:name w:val="_Style 5"/>
    <w:basedOn w:val="1"/>
    <w:next w:val="50"/>
    <w:qFormat/>
    <w:uiPriority w:val="34"/>
    <w:pPr>
      <w:ind w:firstLine="420" w:firstLineChars="200"/>
    </w:pPr>
  </w:style>
  <w:style w:type="paragraph" w:customStyle="1" w:styleId="52">
    <w:name w:val="List Paragraph1"/>
    <w:basedOn w:val="1"/>
    <w:qFormat/>
    <w:uiPriority w:val="0"/>
    <w:pPr>
      <w:spacing w:line="360" w:lineRule="auto"/>
      <w:ind w:firstLine="420" w:firstLineChars="200"/>
    </w:pPr>
  </w:style>
  <w:style w:type="paragraph" w:customStyle="1" w:styleId="53">
    <w:name w:val="样式4"/>
    <w:basedOn w:val="1"/>
    <w:qFormat/>
    <w:uiPriority w:val="0"/>
    <w:pPr>
      <w:numPr>
        <w:ilvl w:val="3"/>
        <w:numId w:val="1"/>
      </w:numPr>
      <w:tabs>
        <w:tab w:val="left" w:pos="425"/>
        <w:tab w:val="left" w:pos="1984"/>
        <w:tab w:val="clear" w:pos="851"/>
      </w:tabs>
    </w:pPr>
    <w:rPr>
      <w:szCs w:val="24"/>
    </w:rPr>
  </w:style>
  <w:style w:type="paragraph" w:customStyle="1" w:styleId="54">
    <w:name w:val="保留正文"/>
    <w:basedOn w:val="10"/>
    <w:qFormat/>
    <w:uiPriority w:val="0"/>
    <w:pPr>
      <w:keepNext/>
      <w:adjustRightInd/>
      <w:spacing w:after="160" w:line="240" w:lineRule="auto"/>
      <w:textAlignment w:val="auto"/>
    </w:pPr>
    <w:rPr>
      <w:rFonts w:hAnsi="Calibri"/>
      <w:kern w:val="2"/>
      <w:sz w:val="21"/>
      <w:szCs w:val="22"/>
    </w:rPr>
  </w:style>
  <w:style w:type="paragraph" w:customStyle="1" w:styleId="55">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56">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57">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8">
    <w:name w:val="_Style 57"/>
    <w:unhideWhenUsed/>
    <w:qFormat/>
    <w:uiPriority w:val="99"/>
    <w:rPr>
      <w:rFonts w:ascii="Times New Roman" w:hAnsi="Times New Roman" w:eastAsia="宋体" w:cs="Times New Roman"/>
      <w:kern w:val="2"/>
      <w:sz w:val="21"/>
      <w:szCs w:val="22"/>
      <w:lang w:val="en-US" w:eastAsia="zh-CN" w:bidi="ar-SA"/>
    </w:rPr>
  </w:style>
  <w:style w:type="paragraph" w:customStyle="1" w:styleId="59">
    <w:name w:val="样式 首行缩进:  2 字符"/>
    <w:basedOn w:val="1"/>
    <w:qFormat/>
    <w:uiPriority w:val="99"/>
    <w:pPr>
      <w:spacing w:line="360" w:lineRule="auto"/>
      <w:ind w:firstLine="480" w:firstLineChars="200"/>
      <w:jc w:val="left"/>
    </w:pPr>
    <w:rPr>
      <w:rFonts w:ascii="??" w:hAnsi="??" w:cs="??"/>
      <w:color w:val="000000"/>
      <w:sz w:val="24"/>
      <w:szCs w:val="20"/>
    </w:rPr>
  </w:style>
  <w:style w:type="paragraph" w:customStyle="1" w:styleId="60">
    <w:name w:val="Table Paragraph"/>
    <w:basedOn w:val="1"/>
    <w:qFormat/>
    <w:uiPriority w:val="1"/>
  </w:style>
  <w:style w:type="paragraph" w:customStyle="1" w:styleId="61">
    <w:name w:val="Default"/>
    <w:next w:val="1"/>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62">
    <w:name w:val="列出段落11"/>
    <w:basedOn w:val="1"/>
    <w:qFormat/>
    <w:uiPriority w:val="34"/>
    <w:pPr>
      <w:ind w:firstLine="420" w:firstLineChars="200"/>
    </w:pPr>
    <w:rPr>
      <w:kern w:val="0"/>
      <w:sz w:val="20"/>
      <w:szCs w:val="20"/>
    </w:rPr>
  </w:style>
  <w:style w:type="paragraph" w:customStyle="1" w:styleId="63">
    <w:name w:val="Body text|1"/>
    <w:basedOn w:val="1"/>
    <w:qFormat/>
    <w:uiPriority w:val="0"/>
    <w:pPr>
      <w:spacing w:line="386" w:lineRule="auto"/>
      <w:ind w:firstLine="400"/>
    </w:pPr>
    <w:rPr>
      <w:rFonts w:ascii="宋体" w:hAnsi="宋体" w:cs="宋体"/>
      <w:lang w:val="zh-TW" w:eastAsia="zh-TW" w:bidi="zh-TW"/>
    </w:rPr>
  </w:style>
  <w:style w:type="paragraph" w:customStyle="1" w:styleId="64">
    <w:name w:val="USE 1"/>
    <w:basedOn w:val="1"/>
    <w:qFormat/>
    <w:uiPriority w:val="0"/>
    <w:pPr>
      <w:spacing w:line="200" w:lineRule="atLeast"/>
      <w:jc w:val="left"/>
    </w:pPr>
    <w:rPr>
      <w:rFonts w:ascii="宋体" w:hAnsi="宋体"/>
      <w:b/>
      <w:sz w:val="24"/>
      <w:szCs w:val="28"/>
    </w:rPr>
  </w:style>
  <w:style w:type="character" w:customStyle="1" w:styleId="65">
    <w:name w:val="cf01"/>
    <w:qFormat/>
    <w:uiPriority w:val="0"/>
    <w:rPr>
      <w:rFonts w:hint="eastAsia" w:ascii="Microsoft YaHei UI" w:hAnsi="Microsoft YaHei UI" w:eastAsia="Microsoft YaHei UI"/>
      <w:sz w:val="18"/>
      <w:szCs w:val="18"/>
    </w:rPr>
  </w:style>
  <w:style w:type="paragraph" w:customStyle="1" w:styleId="66">
    <w:name w:val="列出段落21"/>
    <w:basedOn w:val="1"/>
    <w:next w:val="50"/>
    <w:qFormat/>
    <w:uiPriority w:val="34"/>
    <w:pPr>
      <w:ind w:firstLine="420" w:firstLineChars="200"/>
    </w:pPr>
    <w:rPr>
      <w:rFonts w:ascii="Calibri" w:hAnsi="Calibri" w:eastAsia="黑体"/>
      <w:bCs/>
      <w:sz w:val="30"/>
      <w:szCs w:val="30"/>
    </w:rPr>
  </w:style>
  <w:style w:type="paragraph" w:customStyle="1" w:styleId="67">
    <w:name w:val="msolistparagraph"/>
    <w:basedOn w:val="1"/>
    <w:qFormat/>
    <w:uiPriority w:val="0"/>
    <w:pPr>
      <w:ind w:firstLine="420" w:firstLineChars="200"/>
    </w:pPr>
    <w:rPr>
      <w:rFonts w:ascii="Calibri" w:hAnsi="Calibri"/>
    </w:rPr>
  </w:style>
  <w:style w:type="paragraph" w:customStyle="1" w:styleId="68">
    <w:name w:val="_Style 143"/>
    <w:basedOn w:val="1"/>
    <w:next w:val="50"/>
    <w:qFormat/>
    <w:uiPriority w:val="99"/>
    <w:pPr>
      <w:ind w:firstLine="420" w:firstLineChars="200"/>
    </w:pPr>
    <w:rPr>
      <w:kern w:val="0"/>
      <w:sz w:val="20"/>
      <w:szCs w:val="20"/>
    </w:rPr>
  </w:style>
  <w:style w:type="character" w:customStyle="1" w:styleId="69">
    <w:name w:val="列表段落 字符3"/>
    <w:basedOn w:val="24"/>
    <w:qFormat/>
    <w:uiPriority w:val="0"/>
    <w:rPr>
      <w:rFonts w:hint="default" w:ascii="Calibri" w:hAnsi="Calibri" w:eastAsia="宋体" w:cs="Times New Roman"/>
      <w:kern w:val="2"/>
      <w:sz w:val="21"/>
      <w:szCs w:val="22"/>
    </w:rPr>
  </w:style>
  <w:style w:type="character" w:customStyle="1" w:styleId="70">
    <w:name w:val="列出段落 Char"/>
    <w:basedOn w:val="24"/>
    <w:qFormat/>
    <w:uiPriority w:val="0"/>
    <w:rPr>
      <w:kern w:val="2"/>
      <w:sz w:val="21"/>
      <w:szCs w:val="22"/>
    </w:rPr>
  </w:style>
  <w:style w:type="character" w:customStyle="1" w:styleId="71">
    <w:name w:val="标题 2 字符2"/>
    <w:basedOn w:val="24"/>
    <w:link w:val="3"/>
    <w:qFormat/>
    <w:uiPriority w:val="0"/>
    <w:rPr>
      <w:rFonts w:hint="default" w:ascii="Arial" w:hAnsi="Arial" w:eastAsia="黑体" w:cs="Times New Roman"/>
      <w:b/>
      <w:bCs/>
      <w:kern w:val="2"/>
      <w:sz w:val="32"/>
      <w:szCs w:val="32"/>
    </w:rPr>
  </w:style>
  <w:style w:type="character" w:customStyle="1" w:styleId="72">
    <w:name w:val="批注文字 字符1"/>
    <w:basedOn w:val="24"/>
    <w:link w:val="9"/>
    <w:qFormat/>
    <w:uiPriority w:val="0"/>
    <w:rPr>
      <w:kern w:val="2"/>
      <w:sz w:val="21"/>
      <w:szCs w:val="22"/>
    </w:rPr>
  </w:style>
  <w:style w:type="character" w:customStyle="1" w:styleId="73">
    <w:name w:val="列表段落 字符4"/>
    <w:basedOn w:val="24"/>
    <w:qFormat/>
    <w:uiPriority w:val="0"/>
    <w:rPr>
      <w:rFonts w:hint="default" w:ascii="Calibri" w:hAnsi="Calibri" w:cs="Calibri"/>
      <w:kern w:val="2"/>
      <w:sz w:val="21"/>
      <w:szCs w:val="22"/>
    </w:rPr>
  </w:style>
  <w:style w:type="paragraph" w:customStyle="1" w:styleId="74">
    <w:name w:val="列表段落1"/>
    <w:basedOn w:val="1"/>
    <w:qFormat/>
    <w:uiPriority w:val="0"/>
    <w:pPr>
      <w:ind w:firstLine="420" w:firstLineChars="200"/>
    </w:pPr>
    <w:rPr>
      <w:rFonts w:ascii="Calibri" w:hAnsi="Calibri"/>
    </w:rPr>
  </w:style>
  <w:style w:type="character" w:customStyle="1" w:styleId="75">
    <w:name w:val="正文文本首行缩进 2 字符"/>
    <w:basedOn w:val="76"/>
    <w:qFormat/>
    <w:uiPriority w:val="0"/>
    <w:rPr>
      <w:rFonts w:hint="default" w:ascii="Times New Roman" w:hAnsi="Times New Roman" w:cs="Times New Roman"/>
      <w:kern w:val="2"/>
      <w:sz w:val="21"/>
      <w:szCs w:val="22"/>
    </w:rPr>
  </w:style>
  <w:style w:type="character" w:customStyle="1" w:styleId="76">
    <w:name w:val="正文文本缩进 字符"/>
    <w:basedOn w:val="24"/>
    <w:link w:val="11"/>
    <w:qFormat/>
    <w:uiPriority w:val="0"/>
    <w:rPr>
      <w:rFonts w:hint="default" w:ascii="Times New Roman" w:hAnsi="Times New Roman" w:cs="Times New Roman"/>
      <w:kern w:val="2"/>
      <w:sz w:val="21"/>
      <w:szCs w:val="22"/>
    </w:rPr>
  </w:style>
  <w:style w:type="character" w:customStyle="1" w:styleId="77">
    <w:name w:val="页眉 字符"/>
    <w:basedOn w:val="24"/>
    <w:link w:val="16"/>
    <w:qFormat/>
    <w:uiPriority w:val="0"/>
    <w:rPr>
      <w:kern w:val="2"/>
      <w:sz w:val="18"/>
      <w:szCs w:val="18"/>
    </w:rPr>
  </w:style>
  <w:style w:type="paragraph" w:customStyle="1" w:styleId="78">
    <w:name w:val="_Style 3"/>
    <w:unhideWhenUsed/>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9">
    <w:name w:val="List Paragraph"/>
    <w:basedOn w:val="1"/>
    <w:qFormat/>
    <w:uiPriority w:val="34"/>
    <w:pPr>
      <w:ind w:firstLine="420" w:firstLineChars="200"/>
    </w:pPr>
  </w:style>
  <w:style w:type="paragraph" w:customStyle="1" w:styleId="80">
    <w:name w:val="表格文字"/>
    <w:basedOn w:val="81"/>
    <w:next w:val="10"/>
    <w:qFormat/>
    <w:uiPriority w:val="0"/>
    <w:pPr>
      <w:spacing w:before="25" w:after="25"/>
      <w:jc w:val="left"/>
    </w:pPr>
    <w:rPr>
      <w:bCs/>
      <w:spacing w:val="10"/>
      <w:kern w:val="0"/>
      <w:sz w:val="24"/>
    </w:rPr>
  </w:style>
  <w:style w:type="paragraph" w:customStyle="1" w:styleId="81">
    <w:name w:val="表格文字（两侧对齐）"/>
    <w:basedOn w:val="1"/>
    <w:qFormat/>
    <w:uiPriority w:val="0"/>
    <w:pPr>
      <w:snapToGrid w:val="0"/>
    </w:pPr>
    <w:rPr>
      <w:rFonts w:ascii="Calibri" w:hAnsi="Calibri"/>
      <w:sz w:val="20"/>
    </w:rPr>
  </w:style>
  <w:style w:type="paragraph" w:customStyle="1" w:styleId="82">
    <w:name w:val="null3"/>
    <w:hidden/>
    <w:qFormat/>
    <w:uiPriority w:val="0"/>
    <w:rPr>
      <w:rFonts w:hint="eastAsia" w:asciiTheme="minorHAnsi" w:hAnsiTheme="minorHAnsi" w:eastAsiaTheme="minorEastAsia" w:cstheme="minorBidi"/>
      <w:lang w:val="en-US" w:eastAsia="zh-Hans" w:bidi="ar-SA"/>
    </w:rPr>
  </w:style>
  <w:style w:type="character" w:customStyle="1" w:styleId="83">
    <w:name w:val="fontstyle01"/>
    <w:qFormat/>
    <w:uiPriority w:val="0"/>
    <w:rPr>
      <w:rFonts w:hint="eastAsia" w:ascii="宋体" w:hAnsi="宋体" w:eastAsia="宋体"/>
      <w:color w:val="000000"/>
      <w:sz w:val="20"/>
      <w:szCs w:val="20"/>
    </w:rPr>
  </w:style>
  <w:style w:type="character" w:customStyle="1" w:styleId="84">
    <w:name w:val="fontstyle21"/>
    <w:qFormat/>
    <w:uiPriority w:val="0"/>
    <w:rPr>
      <w:rFonts w:hint="default" w:ascii="DejaVuSans" w:hAnsi="DejaVuSans"/>
      <w:color w:val="000000"/>
      <w:sz w:val="20"/>
      <w:szCs w:val="20"/>
    </w:rPr>
  </w:style>
  <w:style w:type="paragraph" w:customStyle="1" w:styleId="85">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86">
    <w:name w:val="修订2"/>
    <w:hidden/>
    <w:unhideWhenUsed/>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3BA85B-A540-4BB2-8F87-AA259E466CF3}">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20</Pages>
  <Words>8303</Words>
  <Characters>8488</Characters>
  <Lines>364</Lines>
  <Paragraphs>350</Paragraphs>
  <TotalTime>4</TotalTime>
  <ScaleCrop>false</ScaleCrop>
  <LinksUpToDate>false</LinksUpToDate>
  <CharactersWithSpaces>8498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2025-03-31T05:18:00Z</dcterms:created>
  <dc:creator>ZZD</dc:creator>
  <cp:lastModifiedBy>代理机构</cp:lastModifiedBy>
  <cp:lastPrinted>2025-03-28T09:44:00Z</cp:lastPrinted>
  <dcterms:modified xsi:type="dcterms:W3CDTF">2025-03-31T09:20:56Z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C1DCDB5B6B4D4C218F7A94FB207ADC14_13</vt:lpwstr>
  </property>
  <property fmtid="{D5CDD505-2E9C-101B-9397-08002B2CF9AE}" pid="4" name="KSOTemplateDocerSaveRecord">
    <vt:lpwstr>eyJoZGlkIjoiNjllMTQ1N2NiYWJhNmE3MmJmNjczYjE3MmE0Mzc5ZDEiLCJ1c2VySWQiOiIyNzgxOTkwNjUifQ==</vt:lpwstr>
  </property>
</Properties>
</file>