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19FA7" w14:textId="77777777" w:rsidR="00315D68" w:rsidRDefault="00315D68">
      <w:pPr>
        <w:spacing w:line="440" w:lineRule="exact"/>
        <w:jc w:val="center"/>
        <w:rPr>
          <w:rFonts w:ascii="宋体" w:cs="宋体"/>
        </w:rPr>
      </w:pPr>
    </w:p>
    <w:p w14:paraId="53E68097" w14:textId="77777777" w:rsidR="00315D68" w:rsidRDefault="00315D68">
      <w:pPr>
        <w:spacing w:line="440" w:lineRule="exact"/>
        <w:jc w:val="center"/>
        <w:rPr>
          <w:rFonts w:ascii="宋体" w:cs="宋体"/>
        </w:rPr>
      </w:pPr>
    </w:p>
    <w:p w14:paraId="4CE0002A" w14:textId="77777777" w:rsidR="00315D68" w:rsidRDefault="00000000">
      <w:pPr>
        <w:spacing w:line="360" w:lineRule="auto"/>
        <w:jc w:val="center"/>
        <w:rPr>
          <w:rFonts w:ascii="宋体" w:hAnsi="宋体" w:hint="eastAsia"/>
          <w:b/>
          <w:sz w:val="72"/>
          <w:szCs w:val="72"/>
        </w:rPr>
      </w:pPr>
      <w:r>
        <w:rPr>
          <w:rFonts w:ascii="宋体" w:hAnsi="宋体" w:hint="eastAsia"/>
          <w:b/>
          <w:sz w:val="72"/>
          <w:szCs w:val="72"/>
        </w:rPr>
        <w:t>合　同　书</w:t>
      </w:r>
    </w:p>
    <w:p w14:paraId="487326E5" w14:textId="77777777" w:rsidR="00315D68" w:rsidRDefault="00315D68">
      <w:pPr>
        <w:tabs>
          <w:tab w:val="left" w:pos="720"/>
        </w:tabs>
        <w:spacing w:line="440" w:lineRule="exact"/>
        <w:jc w:val="center"/>
        <w:rPr>
          <w:rFonts w:ascii="宋体" w:hAnsi="宋体" w:hint="eastAsia"/>
          <w:b/>
          <w:sz w:val="36"/>
          <w:szCs w:val="36"/>
        </w:rPr>
      </w:pPr>
    </w:p>
    <w:p w14:paraId="04A7FEA7" w14:textId="77777777" w:rsidR="00315D68" w:rsidRDefault="00315D68">
      <w:pPr>
        <w:tabs>
          <w:tab w:val="left" w:pos="720"/>
        </w:tabs>
        <w:spacing w:line="440" w:lineRule="exact"/>
        <w:rPr>
          <w:rFonts w:ascii="宋体" w:hAnsi="宋体" w:hint="eastAsia"/>
          <w:b/>
          <w:szCs w:val="21"/>
        </w:rPr>
      </w:pPr>
    </w:p>
    <w:p w14:paraId="3BE10FE1" w14:textId="77777777" w:rsidR="00315D68" w:rsidRDefault="00315D68">
      <w:pPr>
        <w:tabs>
          <w:tab w:val="left" w:pos="720"/>
        </w:tabs>
        <w:spacing w:line="440" w:lineRule="exact"/>
        <w:rPr>
          <w:rFonts w:ascii="宋体" w:hAnsi="宋体" w:hint="eastAsia"/>
          <w:b/>
          <w:szCs w:val="21"/>
        </w:rPr>
      </w:pPr>
    </w:p>
    <w:p w14:paraId="442B01F4" w14:textId="77777777" w:rsidR="00315D68" w:rsidRDefault="00315D68">
      <w:pPr>
        <w:tabs>
          <w:tab w:val="left" w:pos="720"/>
        </w:tabs>
        <w:spacing w:line="440" w:lineRule="exact"/>
        <w:rPr>
          <w:rFonts w:ascii="宋体" w:hAnsi="宋体" w:hint="eastAsia"/>
          <w:b/>
          <w:szCs w:val="21"/>
        </w:rPr>
      </w:pPr>
    </w:p>
    <w:p w14:paraId="40F6D7F7" w14:textId="77777777" w:rsidR="00315D68" w:rsidRDefault="00315D68">
      <w:pPr>
        <w:tabs>
          <w:tab w:val="left" w:pos="720"/>
        </w:tabs>
        <w:spacing w:line="440" w:lineRule="exact"/>
        <w:rPr>
          <w:rFonts w:ascii="宋体" w:hAnsi="宋体" w:hint="eastAsia"/>
          <w:b/>
          <w:szCs w:val="21"/>
        </w:rPr>
      </w:pPr>
    </w:p>
    <w:tbl>
      <w:tblPr>
        <w:tblpPr w:leftFromText="180" w:rightFromText="180" w:vertAnchor="text" w:horzAnchor="page" w:tblpX="2095" w:tblpY="422"/>
        <w:tblOverlap w:val="never"/>
        <w:tblW w:w="8080" w:type="dxa"/>
        <w:tblLayout w:type="fixed"/>
        <w:tblLook w:val="04A0" w:firstRow="1" w:lastRow="0" w:firstColumn="1" w:lastColumn="0" w:noHBand="0" w:noVBand="1"/>
      </w:tblPr>
      <w:tblGrid>
        <w:gridCol w:w="8080"/>
      </w:tblGrid>
      <w:tr w:rsidR="00315D68" w14:paraId="0924FB66" w14:textId="77777777">
        <w:trPr>
          <w:trHeight w:val="659"/>
        </w:trPr>
        <w:tc>
          <w:tcPr>
            <w:tcW w:w="8080" w:type="dxa"/>
          </w:tcPr>
          <w:p w14:paraId="58C7EEE7" w14:textId="77777777" w:rsidR="00315D68" w:rsidRDefault="00000000">
            <w:pPr>
              <w:tabs>
                <w:tab w:val="left" w:pos="720"/>
              </w:tabs>
              <w:spacing w:line="440" w:lineRule="exact"/>
              <w:rPr>
                <w:rFonts w:ascii="宋体" w:hAnsi="宋体" w:hint="eastAsia"/>
                <w:b/>
                <w:sz w:val="24"/>
                <w:u w:val="single"/>
              </w:rPr>
            </w:pPr>
            <w:r>
              <w:rPr>
                <w:rFonts w:ascii="宋体" w:hAnsi="宋体" w:hint="eastAsia"/>
                <w:b/>
                <w:sz w:val="24"/>
              </w:rPr>
              <w:t>项目编号：</w:t>
            </w:r>
          </w:p>
        </w:tc>
      </w:tr>
      <w:tr w:rsidR="00315D68" w14:paraId="5B28BC4B" w14:textId="77777777">
        <w:trPr>
          <w:trHeight w:val="639"/>
        </w:trPr>
        <w:tc>
          <w:tcPr>
            <w:tcW w:w="8080" w:type="dxa"/>
          </w:tcPr>
          <w:p w14:paraId="6ACD259C" w14:textId="77777777" w:rsidR="00315D68" w:rsidRDefault="00000000">
            <w:pPr>
              <w:tabs>
                <w:tab w:val="left" w:pos="720"/>
                <w:tab w:val="left" w:pos="2164"/>
              </w:tabs>
              <w:spacing w:line="440" w:lineRule="exact"/>
              <w:ind w:left="1205" w:hangingChars="500" w:hanging="1205"/>
              <w:rPr>
                <w:rFonts w:ascii="宋体" w:hAnsi="宋体" w:hint="eastAsia"/>
                <w:b/>
                <w:sz w:val="24"/>
                <w:u w:val="single"/>
              </w:rPr>
            </w:pPr>
            <w:r>
              <w:rPr>
                <w:rFonts w:ascii="宋体" w:hAnsi="宋体" w:hint="eastAsia"/>
                <w:b/>
                <w:sz w:val="24"/>
              </w:rPr>
              <w:t>项目名称：肇庆监狱2025年服刑人员图书采购项目</w:t>
            </w:r>
          </w:p>
        </w:tc>
      </w:tr>
      <w:tr w:rsidR="00315D68" w14:paraId="72BF751B" w14:textId="77777777">
        <w:trPr>
          <w:trHeight w:val="625"/>
        </w:trPr>
        <w:tc>
          <w:tcPr>
            <w:tcW w:w="8080" w:type="dxa"/>
          </w:tcPr>
          <w:p w14:paraId="44CC755E" w14:textId="77777777" w:rsidR="00315D68" w:rsidRDefault="00000000">
            <w:pPr>
              <w:spacing w:line="440" w:lineRule="exact"/>
              <w:rPr>
                <w:rFonts w:ascii="宋体" w:hAnsi="宋体" w:hint="eastAsia"/>
                <w:b/>
                <w:szCs w:val="21"/>
              </w:rPr>
            </w:pPr>
            <w:r>
              <w:rPr>
                <w:rFonts w:ascii="宋体" w:hAnsi="宋体" w:cs="宋体" w:hint="eastAsia"/>
                <w:b/>
                <w:sz w:val="24"/>
              </w:rPr>
              <w:t>甲方（采购人）：</w:t>
            </w:r>
          </w:p>
        </w:tc>
      </w:tr>
      <w:tr w:rsidR="00315D68" w14:paraId="3372CC95" w14:textId="77777777">
        <w:trPr>
          <w:trHeight w:val="659"/>
        </w:trPr>
        <w:tc>
          <w:tcPr>
            <w:tcW w:w="8080" w:type="dxa"/>
          </w:tcPr>
          <w:p w14:paraId="35FC8478" w14:textId="77777777" w:rsidR="00315D68" w:rsidRDefault="00000000">
            <w:pPr>
              <w:spacing w:line="440" w:lineRule="exact"/>
              <w:rPr>
                <w:rFonts w:ascii="宋体" w:hAnsi="宋体" w:hint="eastAsia"/>
                <w:b/>
                <w:szCs w:val="21"/>
              </w:rPr>
            </w:pPr>
            <w:r>
              <w:rPr>
                <w:rFonts w:ascii="宋体" w:hAnsi="宋体" w:cs="宋体" w:hint="eastAsia"/>
                <w:b/>
                <w:sz w:val="24"/>
              </w:rPr>
              <w:t>乙方（供应商）：</w:t>
            </w:r>
          </w:p>
        </w:tc>
      </w:tr>
    </w:tbl>
    <w:p w14:paraId="561F3390" w14:textId="77777777" w:rsidR="00315D68" w:rsidRDefault="00315D68">
      <w:pPr>
        <w:tabs>
          <w:tab w:val="left" w:pos="720"/>
        </w:tabs>
        <w:spacing w:line="440" w:lineRule="exact"/>
        <w:rPr>
          <w:rFonts w:ascii="宋体" w:hAnsi="宋体" w:hint="eastAsia"/>
          <w:b/>
          <w:szCs w:val="21"/>
        </w:rPr>
      </w:pPr>
    </w:p>
    <w:p w14:paraId="060A0770" w14:textId="77777777" w:rsidR="00315D68" w:rsidRDefault="00315D68">
      <w:pPr>
        <w:spacing w:line="440" w:lineRule="exact"/>
        <w:rPr>
          <w:rFonts w:ascii="宋体" w:hAnsi="宋体" w:hint="eastAsia"/>
          <w:szCs w:val="21"/>
        </w:rPr>
      </w:pPr>
    </w:p>
    <w:p w14:paraId="49CC0B49" w14:textId="77777777" w:rsidR="00315D68" w:rsidRDefault="00315D68">
      <w:pPr>
        <w:spacing w:line="440" w:lineRule="exact"/>
        <w:rPr>
          <w:rFonts w:ascii="宋体" w:hAnsi="宋体" w:hint="eastAsia"/>
          <w:szCs w:val="21"/>
        </w:rPr>
      </w:pPr>
    </w:p>
    <w:p w14:paraId="33D9C0D1" w14:textId="77777777" w:rsidR="00315D68" w:rsidRDefault="00315D68">
      <w:pPr>
        <w:spacing w:line="440" w:lineRule="exact"/>
        <w:rPr>
          <w:rFonts w:ascii="宋体" w:hAnsi="宋体" w:hint="eastAsia"/>
          <w:szCs w:val="21"/>
        </w:rPr>
      </w:pPr>
    </w:p>
    <w:p w14:paraId="43C6EED6" w14:textId="77777777" w:rsidR="00315D68" w:rsidRDefault="00315D68">
      <w:pPr>
        <w:spacing w:line="440" w:lineRule="exact"/>
        <w:rPr>
          <w:rFonts w:ascii="宋体" w:hAnsi="宋体" w:hint="eastAsia"/>
          <w:szCs w:val="21"/>
        </w:rPr>
      </w:pPr>
    </w:p>
    <w:p w14:paraId="41C56A93" w14:textId="77777777" w:rsidR="00315D68" w:rsidRDefault="00315D68">
      <w:pPr>
        <w:spacing w:line="440" w:lineRule="exact"/>
        <w:rPr>
          <w:rFonts w:ascii="宋体" w:hAnsi="宋体" w:hint="eastAsia"/>
          <w:b/>
          <w:szCs w:val="21"/>
        </w:rPr>
      </w:pPr>
    </w:p>
    <w:p w14:paraId="4D965348" w14:textId="77777777" w:rsidR="00315D68" w:rsidRDefault="00315D68">
      <w:pPr>
        <w:spacing w:line="440" w:lineRule="exact"/>
        <w:rPr>
          <w:rFonts w:ascii="宋体" w:hAnsi="宋体" w:hint="eastAsia"/>
          <w:b/>
          <w:szCs w:val="21"/>
        </w:rPr>
      </w:pPr>
    </w:p>
    <w:p w14:paraId="1B05CEBF" w14:textId="77777777" w:rsidR="00315D68" w:rsidRDefault="00315D68">
      <w:pPr>
        <w:spacing w:line="440" w:lineRule="exact"/>
        <w:rPr>
          <w:rFonts w:ascii="宋体" w:hAnsi="宋体" w:hint="eastAsia"/>
          <w:b/>
          <w:szCs w:val="21"/>
        </w:rPr>
      </w:pPr>
    </w:p>
    <w:p w14:paraId="48D923D8" w14:textId="77777777" w:rsidR="00315D68" w:rsidRDefault="00315D68">
      <w:pPr>
        <w:spacing w:line="440" w:lineRule="exact"/>
        <w:rPr>
          <w:rFonts w:ascii="宋体" w:hAnsi="宋体" w:hint="eastAsia"/>
          <w:b/>
          <w:szCs w:val="21"/>
        </w:rPr>
      </w:pPr>
    </w:p>
    <w:p w14:paraId="4D40E09F" w14:textId="77777777" w:rsidR="00315D68" w:rsidRDefault="00000000" w:rsidP="00EE2837">
      <w:pPr>
        <w:spacing w:after="0" w:line="360" w:lineRule="auto"/>
        <w:rPr>
          <w:rFonts w:asciiTheme="minorEastAsia" w:eastAsiaTheme="minorEastAsia" w:hAnsiTheme="minorEastAsia" w:cs="宋体" w:hint="eastAsia"/>
          <w:b/>
          <w:sz w:val="24"/>
          <w:u w:val="single"/>
        </w:rPr>
      </w:pPr>
      <w:r>
        <w:rPr>
          <w:rFonts w:ascii="宋体" w:hAnsi="宋体"/>
          <w:b/>
          <w:szCs w:val="21"/>
        </w:rPr>
        <w:br w:type="page"/>
      </w:r>
      <w:r>
        <w:rPr>
          <w:rFonts w:asciiTheme="minorEastAsia" w:eastAsiaTheme="minorEastAsia" w:hAnsiTheme="minorEastAsia" w:cs="宋体" w:hint="eastAsia"/>
          <w:b/>
          <w:sz w:val="24"/>
        </w:rPr>
        <w:lastRenderedPageBreak/>
        <w:t>甲方（采购人）：</w:t>
      </w:r>
    </w:p>
    <w:p w14:paraId="4CF614B8" w14:textId="77777777" w:rsidR="00315D68" w:rsidRDefault="00000000" w:rsidP="00EE2837">
      <w:pPr>
        <w:spacing w:after="0" w:line="360" w:lineRule="auto"/>
        <w:rPr>
          <w:rFonts w:asciiTheme="minorEastAsia" w:eastAsiaTheme="minorEastAsia" w:hAnsiTheme="minorEastAsia" w:cs="宋体" w:hint="eastAsia"/>
          <w:b/>
          <w:sz w:val="24"/>
          <w:u w:val="single"/>
        </w:rPr>
      </w:pPr>
      <w:r>
        <w:rPr>
          <w:rFonts w:asciiTheme="minorEastAsia" w:eastAsiaTheme="minorEastAsia" w:hAnsiTheme="minorEastAsia" w:cs="宋体" w:hint="eastAsia"/>
          <w:b/>
          <w:sz w:val="24"/>
        </w:rPr>
        <w:t>乙方（供应商）：</w:t>
      </w:r>
    </w:p>
    <w:p w14:paraId="1785B256"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为了保护供需双方合法权益，根据《中华人民共和国政府采购法》《中华人民共和国民法典》等相关法律法规，并严格遵守政府采购协议供货承诺书中的相关规定，签订本合同，并共同遵守。</w:t>
      </w:r>
    </w:p>
    <w:p w14:paraId="7F173866"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第一条</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ab/>
        <w:t>项目的名称、单价、合同期限、总价，项目所包含货物的清单（名称、数量、规格、单价）</w:t>
      </w:r>
    </w:p>
    <w:p w14:paraId="38DB92DF"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1.项目名称：</w:t>
      </w:r>
      <w:r>
        <w:rPr>
          <w:rFonts w:asciiTheme="minorEastAsia" w:eastAsiaTheme="minorEastAsia" w:hAnsiTheme="minorEastAsia" w:cs="宋体" w:hint="eastAsia"/>
          <w:bCs/>
          <w:sz w:val="24"/>
          <w:u w:val="single"/>
        </w:rPr>
        <w:t xml:space="preserve"> 肇庆监狱2025年服刑人员图书采购项目  </w:t>
      </w:r>
      <w:r>
        <w:rPr>
          <w:rFonts w:asciiTheme="minorEastAsia" w:eastAsiaTheme="minorEastAsia" w:hAnsiTheme="minorEastAsia" w:cs="宋体" w:hint="eastAsia"/>
          <w:bCs/>
          <w:sz w:val="24"/>
        </w:rPr>
        <w:t>；</w:t>
      </w:r>
    </w:p>
    <w:p w14:paraId="5A9E4B8D"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2.折扣率：</w:t>
      </w:r>
      <w:r>
        <w:rPr>
          <w:rFonts w:asciiTheme="minorEastAsia" w:eastAsiaTheme="minorEastAsia" w:hAnsiTheme="minorEastAsia" w:cs="宋体" w:hint="eastAsia"/>
          <w:bCs/>
          <w:sz w:val="24"/>
          <w:u w:val="single"/>
        </w:rPr>
        <w:t xml:space="preserve">      </w:t>
      </w:r>
      <w:r>
        <w:rPr>
          <w:rFonts w:asciiTheme="minorEastAsia" w:eastAsiaTheme="minorEastAsia" w:hAnsiTheme="minorEastAsia" w:cs="宋体" w:hint="eastAsia"/>
          <w:bCs/>
          <w:sz w:val="24"/>
        </w:rPr>
        <w:t>；</w:t>
      </w:r>
    </w:p>
    <w:p w14:paraId="05C55890"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3.合同期限：</w:t>
      </w:r>
      <w:r>
        <w:rPr>
          <w:rFonts w:asciiTheme="minorEastAsia" w:eastAsiaTheme="minorEastAsia" w:hAnsiTheme="minorEastAsia" w:cs="宋体" w:hint="eastAsia"/>
          <w:sz w:val="24"/>
          <w:u w:val="single"/>
        </w:rPr>
        <w:t>自合同签订之日起1年（项目终止时间以达到预算总金额或合同到期两者任意一个条件为准）</w:t>
      </w:r>
      <w:r>
        <w:rPr>
          <w:rFonts w:asciiTheme="minorEastAsia" w:eastAsiaTheme="minorEastAsia" w:hAnsiTheme="minorEastAsia" w:cs="宋体" w:hint="eastAsia"/>
          <w:sz w:val="24"/>
        </w:rPr>
        <w:t>；</w:t>
      </w:r>
    </w:p>
    <w:p w14:paraId="7EE334D8"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4.合同总额：人民币</w:t>
      </w:r>
      <w:r>
        <w:rPr>
          <w:rFonts w:asciiTheme="minorEastAsia" w:eastAsiaTheme="minorEastAsia" w:hAnsiTheme="minorEastAsia" w:cs="宋体" w:hint="eastAsia"/>
          <w:bCs/>
          <w:sz w:val="24"/>
          <w:u w:val="single"/>
        </w:rPr>
        <w:t>50万元</w:t>
      </w:r>
      <w:r>
        <w:rPr>
          <w:rFonts w:asciiTheme="minorEastAsia" w:eastAsiaTheme="minorEastAsia" w:hAnsiTheme="minorEastAsia" w:cs="宋体" w:hint="eastAsia"/>
          <w:bCs/>
          <w:sz w:val="24"/>
        </w:rPr>
        <w:t>；</w:t>
      </w:r>
    </w:p>
    <w:p w14:paraId="6D6F4CEF"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bCs/>
          <w:sz w:val="24"/>
        </w:rPr>
        <w:t>5.货物清单：</w:t>
      </w:r>
      <w:r>
        <w:rPr>
          <w:rFonts w:asciiTheme="minorEastAsia" w:eastAsiaTheme="minorEastAsia" w:hAnsiTheme="minorEastAsia" w:cs="宋体" w:hint="eastAsia"/>
          <w:bCs/>
          <w:sz w:val="24"/>
          <w:u w:val="single"/>
        </w:rPr>
        <w:t>书籍及其目录（具体要求见第二条）</w:t>
      </w:r>
      <w:r>
        <w:rPr>
          <w:rFonts w:asciiTheme="minorEastAsia" w:eastAsiaTheme="minorEastAsia" w:hAnsiTheme="minorEastAsia" w:cs="宋体" w:hint="eastAsia"/>
          <w:bCs/>
          <w:sz w:val="24"/>
        </w:rPr>
        <w:t>；</w:t>
      </w:r>
    </w:p>
    <w:p w14:paraId="61E76070"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甲方不再另付任何费用。项目总价为完成项目含税的全包价。合同总额达到人民币50万元或者合同履行满</w:t>
      </w:r>
      <w:r>
        <w:rPr>
          <w:rFonts w:asciiTheme="minorEastAsia" w:eastAsiaTheme="minorEastAsia" w:hAnsiTheme="minorEastAsia" w:cs="宋体" w:hint="eastAsia"/>
          <w:sz w:val="24"/>
        </w:rPr>
        <w:t>一年</w:t>
      </w:r>
      <w:r>
        <w:rPr>
          <w:rFonts w:asciiTheme="minorEastAsia" w:eastAsiaTheme="minorEastAsia" w:hAnsiTheme="minorEastAsia" w:cs="宋体" w:hint="eastAsia"/>
          <w:bCs/>
          <w:sz w:val="24"/>
        </w:rPr>
        <w:t>，满足条件之一即视为合同履行完毕。</w:t>
      </w:r>
    </w:p>
    <w:p w14:paraId="046B8D05"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第二条</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bCs/>
          <w:sz w:val="24"/>
        </w:rPr>
        <w:tab/>
        <w:t>货物的质量要求、售后服务.</w:t>
      </w:r>
    </w:p>
    <w:p w14:paraId="2D0DB49C" w14:textId="77777777" w:rsidR="00315D68" w:rsidRDefault="00000000" w:rsidP="00EE2837">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提供的图书必须为正规出版社出版、有国内统一刊号、完整无破损、无脱页、无划痕、无字迹、印刷清晰的全新正版图书，符合国家质量检测标准。严禁提供含有情色、暴力以及影响监管安全和不利于服刑人员改造等内容的图书，禁止在供应的图书中夹带光盘、刀片、U盘等违禁、违规及其它影响监管安全的物品。</w:t>
      </w:r>
    </w:p>
    <w:p w14:paraId="01D69C91" w14:textId="77777777" w:rsidR="00315D68" w:rsidRDefault="00000000" w:rsidP="00EE2837">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2.每次图书采购时，乙方需根据甲方提供的书籍类别、指定表格模板，提供不少于8000册的书籍目录及详细清单（注明书籍类别、册、价格、折后价格等信息）。当当、</w:t>
      </w:r>
      <w:proofErr w:type="gramStart"/>
      <w:r>
        <w:rPr>
          <w:rFonts w:asciiTheme="minorEastAsia" w:eastAsiaTheme="minorEastAsia" w:hAnsiTheme="minorEastAsia" w:cs="宋体" w:hint="eastAsia"/>
          <w:sz w:val="24"/>
        </w:rPr>
        <w:t>京东等电商</w:t>
      </w:r>
      <w:proofErr w:type="gramEnd"/>
      <w:r>
        <w:rPr>
          <w:rFonts w:asciiTheme="minorEastAsia" w:eastAsiaTheme="minorEastAsia" w:hAnsiTheme="minorEastAsia" w:cs="宋体" w:hint="eastAsia"/>
          <w:sz w:val="24"/>
        </w:rPr>
        <w:t>平台上可以找到的书目，而乙方提供的书籍目录没有，甲方有权要求乙方列入书籍目录。</w:t>
      </w:r>
    </w:p>
    <w:p w14:paraId="21411CA0" w14:textId="77777777" w:rsidR="00315D68" w:rsidRDefault="00000000" w:rsidP="00EE2837">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3.甲方所购图书，在收到货之日起七日内认为有必要退换货的其他情况，乙方应予以无偿随时退换。</w:t>
      </w:r>
    </w:p>
    <w:p w14:paraId="59F3F793" w14:textId="77777777" w:rsidR="00315D68" w:rsidRDefault="00000000" w:rsidP="00EE2837">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4.甲方有权对图书进行检测，一旦发现盗版图书，将取消乙方供书资格，并处以正版书价100倍罚款，同时保留追究相关责任的权利。若乙方不能按时交付</w:t>
      </w:r>
      <w:r>
        <w:rPr>
          <w:rFonts w:asciiTheme="minorEastAsia" w:eastAsiaTheme="minorEastAsia" w:hAnsiTheme="minorEastAsia" w:cs="宋体" w:hint="eastAsia"/>
          <w:sz w:val="24"/>
        </w:rPr>
        <w:lastRenderedPageBreak/>
        <w:t>图书，将视为不能履行合同。</w:t>
      </w:r>
    </w:p>
    <w:p w14:paraId="7F6D9DE3" w14:textId="77777777" w:rsidR="00315D68" w:rsidRDefault="00000000" w:rsidP="00EE2837">
      <w:pPr>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5.乙方需保证图书内容质量，保证提供每次供货的书目中近两年内（合同签订之日起算）出版的书籍占50%以上。</w:t>
      </w:r>
    </w:p>
    <w:p w14:paraId="2B4F055A" w14:textId="77777777" w:rsidR="00315D68" w:rsidRDefault="00000000" w:rsidP="00EE2837">
      <w:pPr>
        <w:pStyle w:val="2"/>
        <w:spacing w:after="0" w:line="360" w:lineRule="auto"/>
        <w:ind w:firstLine="482"/>
        <w:rPr>
          <w:b/>
          <w:bCs/>
          <w:sz w:val="24"/>
          <w:szCs w:val="24"/>
        </w:rPr>
      </w:pPr>
      <w:r>
        <w:rPr>
          <w:rFonts w:hint="eastAsia"/>
          <w:b/>
          <w:bCs/>
          <w:sz w:val="24"/>
          <w:szCs w:val="24"/>
        </w:rPr>
        <w:t>以上要求，如发现一处不满足，即予乙方无效处理。</w:t>
      </w:r>
    </w:p>
    <w:p w14:paraId="4B40516F"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第三条</w:t>
      </w:r>
      <w:r>
        <w:rPr>
          <w:rFonts w:asciiTheme="minorEastAsia" w:eastAsiaTheme="minorEastAsia" w:hAnsiTheme="minorEastAsia" w:cs="宋体" w:hint="eastAsia"/>
          <w:bCs/>
          <w:sz w:val="24"/>
        </w:rPr>
        <w:tab/>
        <w:t>交货和合同货物验收</w:t>
      </w:r>
    </w:p>
    <w:p w14:paraId="7D80E26B"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1.交货地点：</w:t>
      </w:r>
      <w:r>
        <w:rPr>
          <w:rFonts w:asciiTheme="minorEastAsia" w:eastAsiaTheme="minorEastAsia" w:hAnsiTheme="minorEastAsia" w:cs="宋体" w:hint="eastAsia"/>
          <w:sz w:val="24"/>
          <w:u w:val="single"/>
        </w:rPr>
        <w:t>广东肇庆市四会市城中街道办城北</w:t>
      </w:r>
      <w:proofErr w:type="gramStart"/>
      <w:r>
        <w:rPr>
          <w:rFonts w:asciiTheme="minorEastAsia" w:eastAsiaTheme="minorEastAsia" w:hAnsiTheme="minorEastAsia" w:cs="宋体" w:hint="eastAsia"/>
          <w:sz w:val="24"/>
          <w:u w:val="single"/>
        </w:rPr>
        <w:t>社区汶塘路</w:t>
      </w:r>
      <w:proofErr w:type="gramEnd"/>
      <w:r>
        <w:rPr>
          <w:rFonts w:asciiTheme="minorEastAsia" w:eastAsiaTheme="minorEastAsia" w:hAnsiTheme="minorEastAsia" w:cs="宋体" w:hint="eastAsia"/>
          <w:sz w:val="24"/>
          <w:u w:val="single"/>
        </w:rPr>
        <w:t>一号。</w:t>
      </w:r>
    </w:p>
    <w:p w14:paraId="547B0D91"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bookmarkStart w:id="0" w:name="_Hlk192609371"/>
      <w:r>
        <w:rPr>
          <w:rFonts w:asciiTheme="minorEastAsia" w:eastAsiaTheme="minorEastAsia" w:hAnsiTheme="minorEastAsia" w:cs="宋体" w:hint="eastAsia"/>
          <w:bCs/>
          <w:sz w:val="24"/>
        </w:rPr>
        <w:t>2.货物验收在甲方和乙方双方共同参与下按国家有关的规定、规范进行</w:t>
      </w:r>
      <w:bookmarkEnd w:id="0"/>
      <w:r>
        <w:rPr>
          <w:rFonts w:asciiTheme="minorEastAsia" w:eastAsiaTheme="minorEastAsia" w:hAnsiTheme="minorEastAsia" w:cs="宋体" w:hint="eastAsia"/>
          <w:bCs/>
          <w:sz w:val="24"/>
        </w:rPr>
        <w:t>。</w:t>
      </w:r>
    </w:p>
    <w:p w14:paraId="4A16D8C7"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3.首次供应时，乙方应提供《营业执照》、《中华人民共和国出版物经营许可证》等证照复印件予甲方存档。每次供应时应向甲方提供加盖公章的图书清单（送货单）。</w:t>
      </w:r>
    </w:p>
    <w:p w14:paraId="69872361"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 xml:space="preserve">4.合同签订后，甲方根据实际需求，每次购书提前将需求通知乙方，乙方在收到需求清单后15个工作日内完成配送，并按照甲方关于进出监管区相关审批的相关规定，配合将书籍配送至监管区特定位置，乙方自行负担配送费用和承担分发过程中产生的遗失、缺漏成本   </w:t>
      </w:r>
    </w:p>
    <w:p w14:paraId="00653F52"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bookmarkStart w:id="1" w:name="_Hlk192609385"/>
      <w:r>
        <w:rPr>
          <w:rFonts w:asciiTheme="minorEastAsia" w:eastAsiaTheme="minorEastAsia" w:hAnsiTheme="minorEastAsia" w:cs="宋体" w:hint="eastAsia"/>
          <w:bCs/>
          <w:sz w:val="24"/>
        </w:rPr>
        <w:t>5.验收时如发现所交付的设备有短装、次品、损坏或其它不符合本合同规定之情形者，</w:t>
      </w:r>
      <w:r>
        <w:rPr>
          <w:rFonts w:asciiTheme="minorEastAsia" w:eastAsiaTheme="minorEastAsia" w:hAnsiTheme="minorEastAsia" w:cs="宋体" w:hint="eastAsia"/>
          <w:sz w:val="24"/>
        </w:rPr>
        <w:t>甲方</w:t>
      </w:r>
      <w:r>
        <w:rPr>
          <w:rFonts w:asciiTheme="minorEastAsia" w:eastAsiaTheme="minorEastAsia" w:hAnsiTheme="minorEastAsia" w:cs="宋体" w:hint="eastAsia"/>
          <w:bCs/>
          <w:sz w:val="24"/>
        </w:rPr>
        <w:t>应</w:t>
      </w:r>
      <w:proofErr w:type="gramStart"/>
      <w:r>
        <w:rPr>
          <w:rFonts w:asciiTheme="minorEastAsia" w:eastAsiaTheme="minorEastAsia" w:hAnsiTheme="minorEastAsia" w:cs="宋体" w:hint="eastAsia"/>
          <w:bCs/>
          <w:sz w:val="24"/>
        </w:rPr>
        <w:t>作出</w:t>
      </w:r>
      <w:proofErr w:type="gramEnd"/>
      <w:r>
        <w:rPr>
          <w:rFonts w:asciiTheme="minorEastAsia" w:eastAsiaTheme="minorEastAsia" w:hAnsiTheme="minorEastAsia" w:cs="宋体" w:hint="eastAsia"/>
          <w:bCs/>
          <w:sz w:val="24"/>
        </w:rPr>
        <w:t>详尽的现场记录，此现场记录可用作补充、缺失和更换损坏部件的有效证据，</w:t>
      </w:r>
      <w:r>
        <w:rPr>
          <w:rFonts w:asciiTheme="minorEastAsia" w:eastAsiaTheme="minorEastAsia" w:hAnsiTheme="minorEastAsia" w:cs="宋体" w:hint="eastAsia"/>
          <w:sz w:val="24"/>
        </w:rPr>
        <w:t>乙方</w:t>
      </w:r>
      <w:r>
        <w:rPr>
          <w:rFonts w:asciiTheme="minorEastAsia" w:eastAsiaTheme="minorEastAsia" w:hAnsiTheme="minorEastAsia" w:cs="宋体" w:hint="eastAsia"/>
          <w:bCs/>
          <w:sz w:val="24"/>
        </w:rPr>
        <w:t>应及时安排补货、换货，因此产生的有关费用由</w:t>
      </w:r>
      <w:r>
        <w:rPr>
          <w:rFonts w:asciiTheme="minorEastAsia" w:eastAsiaTheme="minorEastAsia" w:hAnsiTheme="minorEastAsia" w:cs="宋体" w:hint="eastAsia"/>
          <w:sz w:val="24"/>
        </w:rPr>
        <w:t>乙方</w:t>
      </w:r>
      <w:r>
        <w:rPr>
          <w:rFonts w:asciiTheme="minorEastAsia" w:eastAsiaTheme="minorEastAsia" w:hAnsiTheme="minorEastAsia" w:cs="宋体" w:hint="eastAsia"/>
          <w:bCs/>
          <w:sz w:val="24"/>
        </w:rPr>
        <w:t>承担。</w:t>
      </w:r>
    </w:p>
    <w:p w14:paraId="473AE2AA" w14:textId="77777777" w:rsidR="00315D68" w:rsidRDefault="00000000" w:rsidP="00EE2837">
      <w:pPr>
        <w:tabs>
          <w:tab w:val="left" w:pos="1004"/>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6.</w:t>
      </w:r>
      <w:r>
        <w:rPr>
          <w:rFonts w:asciiTheme="minorEastAsia" w:eastAsiaTheme="minorEastAsia" w:hAnsiTheme="minorEastAsia" w:cs="宋体" w:hint="eastAsia"/>
          <w:sz w:val="24"/>
        </w:rPr>
        <w:t>乙方</w:t>
      </w:r>
      <w:r>
        <w:rPr>
          <w:rFonts w:asciiTheme="minorEastAsia" w:eastAsiaTheme="minorEastAsia" w:hAnsiTheme="minorEastAsia" w:cs="宋体" w:hint="eastAsia"/>
          <w:bCs/>
          <w:sz w:val="24"/>
        </w:rPr>
        <w:t>保证合同项下提供的设备不侵犯任何第三方的专利、商标或版权。否则，</w:t>
      </w:r>
      <w:r>
        <w:rPr>
          <w:rFonts w:asciiTheme="minorEastAsia" w:eastAsiaTheme="minorEastAsia" w:hAnsiTheme="minorEastAsia" w:cs="宋体" w:hint="eastAsia"/>
          <w:sz w:val="24"/>
        </w:rPr>
        <w:t>乙方</w:t>
      </w:r>
      <w:r>
        <w:rPr>
          <w:rFonts w:asciiTheme="minorEastAsia" w:eastAsiaTheme="minorEastAsia" w:hAnsiTheme="minorEastAsia" w:cs="宋体" w:hint="eastAsia"/>
          <w:bCs/>
          <w:sz w:val="24"/>
        </w:rPr>
        <w:t>须承担对第三方的专利或版权的侵权责任并承担因此而发生的所有费用。</w:t>
      </w:r>
      <w:bookmarkEnd w:id="1"/>
    </w:p>
    <w:p w14:paraId="7AC24E4F" w14:textId="3E779083" w:rsidR="005C0F6F" w:rsidRPr="005C0F6F" w:rsidRDefault="005C0F6F" w:rsidP="00EE2837">
      <w:pPr>
        <w:pStyle w:val="2"/>
        <w:spacing w:after="0" w:line="360" w:lineRule="auto"/>
        <w:ind w:firstLine="480"/>
        <w:rPr>
          <w:rFonts w:ascii="宋体" w:hAnsi="宋体" w:hint="eastAsia"/>
          <w:sz w:val="24"/>
          <w:szCs w:val="24"/>
        </w:rPr>
      </w:pPr>
      <w:r w:rsidRPr="005C0F6F">
        <w:rPr>
          <w:rFonts w:ascii="宋体" w:hAnsi="宋体" w:hint="eastAsia"/>
          <w:sz w:val="24"/>
          <w:szCs w:val="24"/>
        </w:rPr>
        <w:t>7. 打包方式：配送图书时，打包方式统一先按监区类别再按服刑人员的方式，以便配送。</w:t>
      </w:r>
    </w:p>
    <w:p w14:paraId="39165E3D" w14:textId="77777777" w:rsidR="00315D68" w:rsidRDefault="00000000" w:rsidP="00EE2837">
      <w:pPr>
        <w:tabs>
          <w:tab w:val="left" w:pos="1004"/>
        </w:tabs>
        <w:spacing w:after="0" w:line="360" w:lineRule="auto"/>
        <w:rPr>
          <w:rFonts w:asciiTheme="minorEastAsia" w:eastAsiaTheme="minorEastAsia" w:hAnsiTheme="minorEastAsia" w:cs="宋体" w:hint="eastAsia"/>
          <w:sz w:val="24"/>
        </w:rPr>
      </w:pPr>
      <w:r>
        <w:rPr>
          <w:rFonts w:asciiTheme="minorEastAsia" w:eastAsiaTheme="minorEastAsia" w:hAnsiTheme="minorEastAsia" w:cs="宋体" w:hint="eastAsia"/>
          <w:b/>
          <w:sz w:val="24"/>
        </w:rPr>
        <w:t>第四条</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合同款支付、支付时间：</w:t>
      </w:r>
    </w:p>
    <w:p w14:paraId="2A2A2127" w14:textId="06DAC882"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sz w:val="24"/>
        </w:rPr>
        <w:t>1.乙方按照甲方相关部门选购的书籍订单完成全部配送，并经验收合格后，乙方提供本次</w:t>
      </w:r>
      <w:r w:rsidRPr="00EE2837">
        <w:rPr>
          <w:rFonts w:asciiTheme="minorEastAsia" w:eastAsiaTheme="minorEastAsia" w:hAnsiTheme="minorEastAsia" w:cs="宋体" w:hint="eastAsia"/>
          <w:bCs/>
          <w:sz w:val="24"/>
        </w:rPr>
        <w:t>购书</w:t>
      </w:r>
      <w:r>
        <w:rPr>
          <w:rFonts w:asciiTheme="minorEastAsia" w:eastAsiaTheme="minorEastAsia" w:hAnsiTheme="minorEastAsia" w:cs="宋体" w:hint="eastAsia"/>
          <w:sz w:val="24"/>
        </w:rPr>
        <w:t>实际结算金额的全额发票及请款函，甲方自收到发票之日起10个工作日内一次性完成本次购书全部货款支付</w:t>
      </w:r>
      <w:r w:rsidR="00B6046A">
        <w:rPr>
          <w:rFonts w:asciiTheme="minorEastAsia" w:eastAsiaTheme="minorEastAsia" w:hAnsiTheme="minorEastAsia" w:cs="宋体" w:hint="eastAsia"/>
          <w:bCs/>
          <w:sz w:val="24"/>
        </w:rPr>
        <w:t>。</w:t>
      </w:r>
    </w:p>
    <w:p w14:paraId="2D46AA96" w14:textId="13CAAE8F"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bookmarkStart w:id="2" w:name="_Hlk192609640"/>
      <w:r>
        <w:rPr>
          <w:rFonts w:asciiTheme="minorEastAsia" w:eastAsiaTheme="minorEastAsia" w:hAnsiTheme="minorEastAsia" w:cs="宋体" w:hint="eastAsia"/>
          <w:bCs/>
          <w:sz w:val="24"/>
        </w:rPr>
        <w:t>2.每次支付款项前，乙方应向甲方提供与支付金额相符的有效发票，且收款方、出具发票方、合同</w:t>
      </w:r>
      <w:proofErr w:type="gramStart"/>
      <w:r>
        <w:rPr>
          <w:rFonts w:asciiTheme="minorEastAsia" w:eastAsiaTheme="minorEastAsia" w:hAnsiTheme="minorEastAsia" w:cs="宋体" w:hint="eastAsia"/>
          <w:bCs/>
          <w:sz w:val="24"/>
        </w:rPr>
        <w:t>乙方均</w:t>
      </w:r>
      <w:proofErr w:type="gramEnd"/>
      <w:r>
        <w:rPr>
          <w:rFonts w:asciiTheme="minorEastAsia" w:eastAsiaTheme="minorEastAsia" w:hAnsiTheme="minorEastAsia" w:cs="宋体" w:hint="eastAsia"/>
          <w:bCs/>
          <w:sz w:val="24"/>
        </w:rPr>
        <w:t>必须一致</w:t>
      </w:r>
      <w:r w:rsidR="00B6046A">
        <w:rPr>
          <w:rFonts w:asciiTheme="minorEastAsia" w:eastAsiaTheme="minorEastAsia" w:hAnsiTheme="minorEastAsia" w:cs="宋体" w:hint="eastAsia"/>
          <w:bCs/>
          <w:sz w:val="24"/>
        </w:rPr>
        <w:t>。</w:t>
      </w:r>
    </w:p>
    <w:p w14:paraId="0B0B1908" w14:textId="77777777" w:rsidR="00315D68" w:rsidRDefault="00000000" w:rsidP="00EE2837">
      <w:pPr>
        <w:tabs>
          <w:tab w:val="left" w:pos="1680"/>
        </w:tabs>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3. 付款方式：采用支票、银行汇票、电子转账三种形式</w:t>
      </w:r>
      <w:bookmarkEnd w:id="2"/>
      <w:r>
        <w:rPr>
          <w:rFonts w:asciiTheme="minorEastAsia" w:eastAsiaTheme="minorEastAsia" w:hAnsiTheme="minorEastAsia" w:cs="宋体" w:hint="eastAsia"/>
          <w:bCs/>
          <w:sz w:val="24"/>
        </w:rPr>
        <w:t>。</w:t>
      </w:r>
    </w:p>
    <w:p w14:paraId="11A15A90" w14:textId="77777777" w:rsidR="00315D68" w:rsidRDefault="00000000" w:rsidP="00EE2837">
      <w:pPr>
        <w:pStyle w:val="2"/>
        <w:spacing w:after="0" w:line="360" w:lineRule="auto"/>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4. 采购频率</w:t>
      </w:r>
    </w:p>
    <w:p w14:paraId="761C0660" w14:textId="77777777" w:rsidR="00315D68" w:rsidRDefault="00000000" w:rsidP="00EE2837">
      <w:pPr>
        <w:pStyle w:val="2"/>
        <w:spacing w:after="0" w:line="360" w:lineRule="auto"/>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全年集中采购次数3—6次，具体金额根据订单情况，在不超过项目预算金额范围内据实结算。</w:t>
      </w:r>
    </w:p>
    <w:p w14:paraId="11439C4E" w14:textId="77777777" w:rsidR="00EE2837" w:rsidRDefault="00000000" w:rsidP="00EE2837">
      <w:pPr>
        <w:pStyle w:val="a7"/>
        <w:tabs>
          <w:tab w:val="left" w:pos="540"/>
        </w:tabs>
        <w:adjustRightInd w:val="0"/>
        <w:snapToGrid w:val="0"/>
        <w:spacing w:after="0" w:line="360" w:lineRule="auto"/>
        <w:rPr>
          <w:rFonts w:asciiTheme="minorEastAsia" w:eastAsiaTheme="minorEastAsia" w:hAnsiTheme="minorEastAsia" w:cs="宋体"/>
          <w:bCs/>
          <w:sz w:val="24"/>
          <w:szCs w:val="24"/>
        </w:rPr>
      </w:pPr>
      <w:r>
        <w:rPr>
          <w:rFonts w:asciiTheme="minorEastAsia" w:eastAsiaTheme="minorEastAsia" w:hAnsiTheme="minorEastAsia" w:cs="宋体" w:hint="eastAsia"/>
          <w:b/>
          <w:sz w:val="24"/>
          <w:szCs w:val="24"/>
        </w:rPr>
        <w:t>第五条</w:t>
      </w:r>
      <w:r>
        <w:rPr>
          <w:rFonts w:asciiTheme="minorEastAsia" w:eastAsiaTheme="minorEastAsia" w:hAnsiTheme="minorEastAsia" w:cs="宋体" w:hint="eastAsia"/>
          <w:bCs/>
          <w:sz w:val="24"/>
          <w:szCs w:val="24"/>
        </w:rPr>
        <w:t xml:space="preserve">   履约保证金</w:t>
      </w:r>
      <w:bookmarkStart w:id="3" w:name="_Hlk192609731"/>
    </w:p>
    <w:p w14:paraId="1305AC63" w14:textId="33E5C858" w:rsidR="00315D68" w:rsidRPr="00EE2837"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rPr>
        <w:t>1.提交说明：</w:t>
      </w:r>
    </w:p>
    <w:p w14:paraId="5BB315B3" w14:textId="7FC7A31F"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（1）时间：合同签订之日起</w:t>
      </w:r>
      <w:r w:rsidR="00C900A7">
        <w:rPr>
          <w:rFonts w:asciiTheme="minorEastAsia" w:eastAsiaTheme="minorEastAsia" w:hAnsiTheme="minorEastAsia" w:cs="宋体" w:hint="eastAsia"/>
          <w:bCs/>
          <w:sz w:val="24"/>
        </w:rPr>
        <w:t>10</w:t>
      </w:r>
      <w:r>
        <w:rPr>
          <w:rFonts w:asciiTheme="minorEastAsia" w:eastAsiaTheme="minorEastAsia" w:hAnsiTheme="minorEastAsia" w:cs="宋体" w:hint="eastAsia"/>
          <w:bCs/>
          <w:sz w:val="24"/>
        </w:rPr>
        <w:t>个工作日内。</w:t>
      </w:r>
    </w:p>
    <w:p w14:paraId="10BF9AD0"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（2）金额：</w:t>
      </w:r>
      <w:r w:rsidRPr="00EE2837">
        <w:rPr>
          <w:rFonts w:asciiTheme="minorEastAsia" w:eastAsiaTheme="minorEastAsia" w:hAnsiTheme="minorEastAsia" w:cs="宋体" w:hint="eastAsia"/>
          <w:bCs/>
          <w:sz w:val="24"/>
        </w:rPr>
        <w:t>合同</w:t>
      </w:r>
      <w:r>
        <w:rPr>
          <w:rFonts w:asciiTheme="minorEastAsia" w:eastAsiaTheme="minorEastAsia" w:hAnsiTheme="minorEastAsia" w:cs="宋体" w:hint="eastAsia"/>
          <w:sz w:val="24"/>
        </w:rPr>
        <w:t>金额</w:t>
      </w:r>
      <w:r>
        <w:rPr>
          <w:rFonts w:asciiTheme="minorEastAsia" w:eastAsiaTheme="minorEastAsia" w:hAnsiTheme="minorEastAsia" w:cs="宋体" w:hint="eastAsia"/>
          <w:bCs/>
          <w:sz w:val="24"/>
        </w:rPr>
        <w:t>的5%。</w:t>
      </w:r>
    </w:p>
    <w:p w14:paraId="21A2D46A"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（3）方式：转账、支票、汇票、本票、保函。</w:t>
      </w:r>
    </w:p>
    <w:p w14:paraId="7EBB987B"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（4）如乙方逾期未足额缴纳履约保证金的，甲方有权立即解除本合同。 如因此造成甲方需要重新采购等损失的，甲方保留追究权利。</w:t>
      </w:r>
    </w:p>
    <w:p w14:paraId="7DD5ACCD"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2.退还说明：</w:t>
      </w:r>
    </w:p>
    <w:p w14:paraId="09533A13" w14:textId="2608F275"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（1）时间、方式和条件：乙方履行完成合同约定权利义务事项在合同期满之日起且验收合格后。甲方收到乙方退还履约保证金申请后，由</w:t>
      </w:r>
      <w:r w:rsidR="00B6046A">
        <w:rPr>
          <w:rFonts w:asciiTheme="minorEastAsia" w:eastAsiaTheme="minorEastAsia" w:hAnsiTheme="minorEastAsia" w:cs="宋体" w:hint="eastAsia"/>
          <w:bCs/>
          <w:sz w:val="24"/>
        </w:rPr>
        <w:t>甲方</w:t>
      </w:r>
      <w:r>
        <w:rPr>
          <w:rFonts w:asciiTheme="minorEastAsia" w:eastAsiaTheme="minorEastAsia" w:hAnsiTheme="minorEastAsia" w:cs="宋体" w:hint="eastAsia"/>
          <w:bCs/>
          <w:sz w:val="24"/>
        </w:rPr>
        <w:t>在30个工作日内，一次性不计</w:t>
      </w:r>
      <w:proofErr w:type="gramStart"/>
      <w:r>
        <w:rPr>
          <w:rFonts w:asciiTheme="minorEastAsia" w:eastAsiaTheme="minorEastAsia" w:hAnsiTheme="minorEastAsia" w:cs="宋体" w:hint="eastAsia"/>
          <w:bCs/>
          <w:sz w:val="24"/>
        </w:rPr>
        <w:t>息</w:t>
      </w:r>
      <w:proofErr w:type="gramEnd"/>
      <w:r>
        <w:rPr>
          <w:rFonts w:asciiTheme="minorEastAsia" w:eastAsiaTheme="minorEastAsia" w:hAnsiTheme="minorEastAsia" w:cs="宋体" w:hint="eastAsia"/>
          <w:bCs/>
          <w:sz w:val="24"/>
        </w:rPr>
        <w:t>全额退还履约保证金。</w:t>
      </w:r>
    </w:p>
    <w:p w14:paraId="58E79948" w14:textId="00091989"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sz w:val="24"/>
        </w:rPr>
        <w:t>（2）乙方</w:t>
      </w:r>
      <w:r w:rsidRPr="00EE2837">
        <w:rPr>
          <w:rFonts w:asciiTheme="minorEastAsia" w:eastAsiaTheme="minorEastAsia" w:hAnsiTheme="minorEastAsia" w:cs="宋体" w:hint="eastAsia"/>
          <w:bCs/>
          <w:sz w:val="24"/>
        </w:rPr>
        <w:t>违反</w:t>
      </w:r>
      <w:r>
        <w:rPr>
          <w:rFonts w:asciiTheme="minorEastAsia" w:eastAsiaTheme="minorEastAsia" w:hAnsiTheme="minorEastAsia" w:cs="宋体" w:hint="eastAsia"/>
          <w:sz w:val="24"/>
        </w:rPr>
        <w:t>合同及其附件约定的任何义务，甲方有权在履约保证金中直接扣除乙方应向甲方支付的违约金或损失赔偿额，乙方应在保证金被扣除后3日内补足。如</w:t>
      </w:r>
      <w:r w:rsidR="00B6046A">
        <w:rPr>
          <w:rFonts w:asciiTheme="minorEastAsia" w:eastAsiaTheme="minorEastAsia" w:hAnsiTheme="minorEastAsia" w:cs="宋体" w:hint="eastAsia"/>
          <w:sz w:val="24"/>
        </w:rPr>
        <w:t>履约</w:t>
      </w:r>
      <w:r>
        <w:rPr>
          <w:rFonts w:asciiTheme="minorEastAsia" w:eastAsiaTheme="minorEastAsia" w:hAnsiTheme="minorEastAsia" w:cs="宋体" w:hint="eastAsia"/>
          <w:sz w:val="24"/>
        </w:rPr>
        <w:t>保证金不足以弥补甲方损失的，乙方应对超出部分一并赔偿。</w:t>
      </w:r>
    </w:p>
    <w:bookmarkEnd w:id="3"/>
    <w:p w14:paraId="3C1CCDB5" w14:textId="77777777" w:rsidR="00315D68" w:rsidRDefault="00000000" w:rsidP="00EE2837">
      <w:pPr>
        <w:tabs>
          <w:tab w:val="left" w:pos="945"/>
        </w:tabs>
        <w:adjustRightInd w:val="0"/>
        <w:snapToGrid w:val="0"/>
        <w:spacing w:after="0" w:line="360" w:lineRule="auto"/>
        <w:ind w:left="1084" w:hangingChars="450" w:hanging="1084"/>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第六条</w:t>
      </w:r>
      <w:r>
        <w:rPr>
          <w:rFonts w:asciiTheme="minorEastAsia" w:eastAsiaTheme="minorEastAsia" w:hAnsiTheme="minorEastAsia" w:cs="宋体" w:hint="eastAsia"/>
          <w:bCs/>
          <w:sz w:val="24"/>
        </w:rPr>
        <w:t xml:space="preserve">   对产品异议的时间和办法</w:t>
      </w:r>
    </w:p>
    <w:p w14:paraId="380C6DCC"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bookmarkStart w:id="4" w:name="_Hlk192609995"/>
      <w:r>
        <w:rPr>
          <w:rFonts w:asciiTheme="minorEastAsia" w:eastAsiaTheme="minorEastAsia" w:hAnsiTheme="minorEastAsia" w:cs="宋体" w:hint="eastAsia"/>
          <w:bCs/>
          <w:sz w:val="24"/>
        </w:rPr>
        <w:t>1.甲方在验收中，如果发现图书的品种、数量、质量或有关服务不合规定，并在2日内向乙方提出书面异议。</w:t>
      </w:r>
    </w:p>
    <w:p w14:paraId="4FDD0B2B"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2.乙方在接到甲方书面异议后，应在7个工作日内负责处理，否则，即视为默认甲方提出的异议和处理意见</w:t>
      </w:r>
      <w:bookmarkEnd w:id="4"/>
      <w:r>
        <w:rPr>
          <w:rFonts w:asciiTheme="minorEastAsia" w:eastAsiaTheme="minorEastAsia" w:hAnsiTheme="minorEastAsia" w:cs="宋体" w:hint="eastAsia"/>
          <w:bCs/>
          <w:sz w:val="24"/>
        </w:rPr>
        <w:t>。</w:t>
      </w:r>
    </w:p>
    <w:p w14:paraId="6E024536"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第七条</w:t>
      </w:r>
      <w:r>
        <w:rPr>
          <w:rFonts w:asciiTheme="minorEastAsia" w:eastAsiaTheme="minorEastAsia" w:hAnsiTheme="minorEastAsia" w:cs="宋体" w:hint="eastAsia"/>
          <w:bCs/>
          <w:sz w:val="24"/>
        </w:rPr>
        <w:t xml:space="preserve">   乙方的违约责任</w:t>
      </w:r>
    </w:p>
    <w:p w14:paraId="68262B97"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bookmarkStart w:id="5" w:name="_Hlk192609953"/>
      <w:r>
        <w:rPr>
          <w:rFonts w:asciiTheme="minorEastAsia" w:eastAsiaTheme="minorEastAsia" w:hAnsiTheme="minorEastAsia" w:cs="宋体" w:hint="eastAsia"/>
          <w:bCs/>
          <w:sz w:val="24"/>
        </w:rPr>
        <w:t>1.乙方所交图书品种、数量、规格、质量不符合合同规定的，由乙方负责在甲方要求的期限内包退换。</w:t>
      </w:r>
    </w:p>
    <w:p w14:paraId="1B632D2E"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2.合同期内，如乙方逾期交付图书，或交付图书不符合合同要求，连续或累计超过2次的，甲方有权立即单方解除本合同，并没收乙方履约保证金。如因此造成甲方其他损失的，乙方应一并予以赔偿</w:t>
      </w:r>
      <w:bookmarkEnd w:id="5"/>
      <w:r>
        <w:rPr>
          <w:rFonts w:asciiTheme="minorEastAsia" w:eastAsiaTheme="minorEastAsia" w:hAnsiTheme="minorEastAsia" w:cs="宋体" w:hint="eastAsia"/>
          <w:bCs/>
          <w:sz w:val="24"/>
        </w:rPr>
        <w:t>。</w:t>
      </w:r>
    </w:p>
    <w:p w14:paraId="2A6740CC"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3.乙方提供的书籍目录中书籍存在大量滞销书籍或出版时间陈旧的书籍，乙方经甲方2次提醒后仍不达到要求的，甲方有权在履约保证金中扣除2000元作</w:t>
      </w:r>
      <w:r>
        <w:rPr>
          <w:rFonts w:asciiTheme="minorEastAsia" w:eastAsiaTheme="minorEastAsia" w:hAnsiTheme="minorEastAsia" w:cs="宋体" w:hint="eastAsia"/>
          <w:bCs/>
          <w:sz w:val="24"/>
        </w:rPr>
        <w:lastRenderedPageBreak/>
        <w:t>为违约金。经3次提醒后仍不达要求的，则取消乙方供书资格，且扣除剩余全部履约保证金。</w:t>
      </w:r>
    </w:p>
    <w:p w14:paraId="562DA2F5"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第八条</w:t>
      </w:r>
      <w:r>
        <w:rPr>
          <w:rFonts w:asciiTheme="minorEastAsia" w:eastAsiaTheme="minorEastAsia" w:hAnsiTheme="minorEastAsia" w:cs="宋体" w:hint="eastAsia"/>
          <w:bCs/>
          <w:sz w:val="24"/>
        </w:rPr>
        <w:tab/>
        <w:t>甲方的违约责任</w:t>
      </w:r>
    </w:p>
    <w:p w14:paraId="2FD16A78"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1.甲方逾期付款的，每日应向乙方偿付合同本次订单总额的千分之五作为违约金。</w:t>
      </w:r>
    </w:p>
    <w:p w14:paraId="0FEE52CA"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2.甲方违反合同规定拒绝接货的，应当承担由此对乙方造成的损失。</w:t>
      </w:r>
    </w:p>
    <w:p w14:paraId="44EAD704"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第九条</w:t>
      </w:r>
      <w:r>
        <w:rPr>
          <w:rFonts w:asciiTheme="minorEastAsia" w:eastAsiaTheme="minorEastAsia" w:hAnsiTheme="minorEastAsia" w:cs="宋体" w:hint="eastAsia"/>
          <w:bCs/>
          <w:sz w:val="24"/>
        </w:rPr>
        <w:t xml:space="preserve">   不可抗力</w:t>
      </w:r>
    </w:p>
    <w:p w14:paraId="004780CF"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不可抗力事故系指买卖双方在缔结合同时所不能预见的，并且它的发生及其后果是无法避免和无法克服的事故。受阻一方应在不可抗力事故发生后尽快用电报、传真或电话通知对方，并于事故发生后7个工作日内将有关当局出具的证明文件用专人递交、特快专递或挂号信寄给对方审阅确认。</w:t>
      </w:r>
    </w:p>
    <w:p w14:paraId="52253C32"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2.签约双方任一方由于不可抗力事故影响而不能执行合同时，经确认后，允许延期履行、部分履行或不履行合同，根据情况可部分或全部免予承担违约责任。</w:t>
      </w:r>
    </w:p>
    <w:p w14:paraId="79833071"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第十条</w:t>
      </w:r>
      <w:r>
        <w:rPr>
          <w:rFonts w:asciiTheme="minorEastAsia" w:eastAsiaTheme="minorEastAsia" w:hAnsiTheme="minorEastAsia" w:cs="宋体" w:hint="eastAsia"/>
          <w:bCs/>
          <w:sz w:val="24"/>
        </w:rPr>
        <w:t xml:space="preserve">  争议的解决</w:t>
      </w:r>
    </w:p>
    <w:p w14:paraId="38E644F4"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1.因图书的质量问题发生争议，由法律及有关规章规定的技术单位进行质量鉴定，双方无条件服从该鉴定的结论。</w:t>
      </w:r>
    </w:p>
    <w:p w14:paraId="74F01FAD"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bCs/>
          <w:sz w:val="24"/>
        </w:rPr>
        <w:t>2.</w:t>
      </w:r>
      <w:r>
        <w:rPr>
          <w:rFonts w:asciiTheme="minorEastAsia" w:eastAsiaTheme="minorEastAsia" w:hAnsiTheme="minorEastAsia" w:cs="宋体" w:hint="eastAsia"/>
          <w:sz w:val="24"/>
        </w:rPr>
        <w:t>合同实施或与合同有关的一切争议应通过双方友好协商解决。如果友好协商不能解决，争议应提交肇庆仲裁委员会裁决。仲裁费由败诉方负担。</w:t>
      </w:r>
    </w:p>
    <w:p w14:paraId="3AFC2449" w14:textId="77777777" w:rsidR="00315D68" w:rsidRDefault="00000000" w:rsidP="00EE2837">
      <w:pPr>
        <w:tabs>
          <w:tab w:val="left" w:pos="1004"/>
        </w:tabs>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第十一条</w:t>
      </w:r>
      <w:r>
        <w:rPr>
          <w:rFonts w:asciiTheme="minorEastAsia" w:eastAsiaTheme="minorEastAsia" w:hAnsiTheme="minorEastAsia" w:cs="宋体" w:hint="eastAsia"/>
          <w:bCs/>
          <w:sz w:val="24"/>
        </w:rPr>
        <w:t xml:space="preserve">  无效合同</w:t>
      </w:r>
    </w:p>
    <w:p w14:paraId="7608E8D8" w14:textId="77777777" w:rsidR="00315D68" w:rsidRDefault="00000000" w:rsidP="00EE2837">
      <w:pPr>
        <w:pStyle w:val="a7"/>
        <w:tabs>
          <w:tab w:val="left" w:pos="540"/>
        </w:tabs>
        <w:adjustRightInd w:val="0"/>
        <w:snapToGrid w:val="0"/>
        <w:spacing w:after="0" w:line="360" w:lineRule="auto"/>
        <w:ind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甲乙双方如因违反国家法律、法规和有关政府采购规定，合同无效，责任由过错方承担。</w:t>
      </w:r>
    </w:p>
    <w:p w14:paraId="4ED9AEFD" w14:textId="77777777" w:rsidR="00315D68" w:rsidRDefault="00000000" w:rsidP="00EE2837">
      <w:pPr>
        <w:spacing w:after="0" w:line="360" w:lineRule="auto"/>
        <w:rPr>
          <w:rFonts w:asciiTheme="minorEastAsia" w:eastAsiaTheme="minorEastAsia" w:hAnsiTheme="minorEastAsia" w:cs="宋体" w:hint="eastAsia"/>
          <w:bCs/>
          <w:sz w:val="24"/>
        </w:rPr>
      </w:pPr>
      <w:r>
        <w:rPr>
          <w:rFonts w:asciiTheme="minorEastAsia" w:eastAsiaTheme="minorEastAsia" w:hAnsiTheme="minorEastAsia" w:cs="宋体" w:hint="eastAsia"/>
          <w:b/>
          <w:sz w:val="24"/>
        </w:rPr>
        <w:t>第十二条</w:t>
      </w:r>
      <w:r>
        <w:rPr>
          <w:rFonts w:asciiTheme="minorEastAsia" w:eastAsiaTheme="minorEastAsia" w:hAnsiTheme="minorEastAsia" w:cs="宋体" w:hint="eastAsia"/>
          <w:bCs/>
          <w:sz w:val="24"/>
        </w:rPr>
        <w:t xml:space="preserve">  附则</w:t>
      </w:r>
    </w:p>
    <w:p w14:paraId="101AF7F4" w14:textId="77777777" w:rsidR="00315D68" w:rsidRDefault="00000000" w:rsidP="00EE2837">
      <w:pPr>
        <w:pStyle w:val="a7"/>
        <w:tabs>
          <w:tab w:val="left" w:pos="540"/>
        </w:tabs>
        <w:adjustRightInd w:val="0"/>
        <w:snapToGrid w:val="0"/>
        <w:spacing w:after="0" w:line="360" w:lineRule="auto"/>
        <w:ind w:firstLineChars="200" w:firstLine="480"/>
      </w:pPr>
      <w:r>
        <w:rPr>
          <w:rFonts w:hAnsi="宋体" w:cs="宋体" w:hint="eastAsia"/>
          <w:bCs/>
          <w:sz w:val="24"/>
        </w:rPr>
        <w:t>本合同一式</w:t>
      </w:r>
      <w:r>
        <w:rPr>
          <w:rFonts w:hAnsi="宋体" w:cs="宋体" w:hint="eastAsia"/>
          <w:bCs/>
          <w:sz w:val="24"/>
          <w:u w:val="single"/>
        </w:rPr>
        <w:t xml:space="preserve"> 肆 </w:t>
      </w:r>
      <w:r>
        <w:rPr>
          <w:rFonts w:hAnsi="宋体" w:cs="宋体" w:hint="eastAsia"/>
          <w:bCs/>
          <w:sz w:val="24"/>
        </w:rPr>
        <w:t>份，各执两份。</w:t>
      </w:r>
    </w:p>
    <w:tbl>
      <w:tblPr>
        <w:tblW w:w="9639" w:type="dxa"/>
        <w:jc w:val="center"/>
        <w:tblLayout w:type="fixed"/>
        <w:tblLook w:val="04A0" w:firstRow="1" w:lastRow="0" w:firstColumn="1" w:lastColumn="0" w:noHBand="0" w:noVBand="1"/>
      </w:tblPr>
      <w:tblGrid>
        <w:gridCol w:w="4533"/>
        <w:gridCol w:w="5106"/>
      </w:tblGrid>
      <w:tr w:rsidR="00315D68" w14:paraId="43EA978F" w14:textId="77777777">
        <w:trPr>
          <w:trHeight w:val="663"/>
          <w:jc w:val="center"/>
        </w:trPr>
        <w:tc>
          <w:tcPr>
            <w:tcW w:w="4533" w:type="dxa"/>
            <w:vAlign w:val="center"/>
          </w:tcPr>
          <w:p w14:paraId="75A70F86" w14:textId="77777777" w:rsidR="00315D68" w:rsidRDefault="00000000">
            <w:pPr>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甲方：广东省肇庆监狱</w:t>
            </w:r>
          </w:p>
        </w:tc>
        <w:tc>
          <w:tcPr>
            <w:tcW w:w="5106" w:type="dxa"/>
            <w:vAlign w:val="center"/>
          </w:tcPr>
          <w:p w14:paraId="250B7740" w14:textId="77777777" w:rsidR="00315D68" w:rsidRDefault="00000000">
            <w:pPr>
              <w:tabs>
                <w:tab w:val="left" w:pos="1004"/>
                <w:tab w:val="right" w:pos="4471"/>
              </w:tabs>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乙方：</w:t>
            </w:r>
          </w:p>
        </w:tc>
      </w:tr>
      <w:tr w:rsidR="00315D68" w14:paraId="637BB87D" w14:textId="77777777">
        <w:trPr>
          <w:trHeight w:val="519"/>
          <w:jc w:val="center"/>
        </w:trPr>
        <w:tc>
          <w:tcPr>
            <w:tcW w:w="4533" w:type="dxa"/>
            <w:vAlign w:val="center"/>
          </w:tcPr>
          <w:p w14:paraId="19C52377" w14:textId="77777777" w:rsidR="00315D68" w:rsidRDefault="00000000">
            <w:pPr>
              <w:tabs>
                <w:tab w:val="left" w:pos="1004"/>
                <w:tab w:val="left" w:pos="4267"/>
              </w:tabs>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负责人：</w:t>
            </w:r>
          </w:p>
        </w:tc>
        <w:tc>
          <w:tcPr>
            <w:tcW w:w="5106" w:type="dxa"/>
            <w:vAlign w:val="center"/>
          </w:tcPr>
          <w:p w14:paraId="3AEE4FE4" w14:textId="77777777" w:rsidR="00315D68" w:rsidRDefault="00000000">
            <w:pPr>
              <w:tabs>
                <w:tab w:val="left" w:pos="1004"/>
                <w:tab w:val="left" w:pos="4267"/>
              </w:tabs>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负责人：</w:t>
            </w:r>
          </w:p>
        </w:tc>
      </w:tr>
      <w:tr w:rsidR="00315D68" w14:paraId="794DDC2B" w14:textId="77777777">
        <w:trPr>
          <w:trHeight w:val="605"/>
          <w:jc w:val="center"/>
        </w:trPr>
        <w:tc>
          <w:tcPr>
            <w:tcW w:w="4533" w:type="dxa"/>
            <w:vAlign w:val="center"/>
          </w:tcPr>
          <w:p w14:paraId="1C618B5F" w14:textId="77777777" w:rsidR="00315D68" w:rsidRDefault="00000000">
            <w:pPr>
              <w:tabs>
                <w:tab w:val="left" w:pos="1004"/>
                <w:tab w:val="left" w:pos="4267"/>
              </w:tabs>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日期：       年     月     日</w:t>
            </w:r>
          </w:p>
        </w:tc>
        <w:tc>
          <w:tcPr>
            <w:tcW w:w="5106" w:type="dxa"/>
            <w:vAlign w:val="center"/>
          </w:tcPr>
          <w:p w14:paraId="652C8DEE" w14:textId="77777777" w:rsidR="00315D68" w:rsidRDefault="00000000">
            <w:pPr>
              <w:tabs>
                <w:tab w:val="left" w:pos="1004"/>
                <w:tab w:val="left" w:pos="4267"/>
              </w:tabs>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日期：       年     月     日</w:t>
            </w:r>
          </w:p>
        </w:tc>
      </w:tr>
      <w:tr w:rsidR="00315D68" w14:paraId="2F65726F" w14:textId="77777777">
        <w:trPr>
          <w:gridBefore w:val="1"/>
          <w:wBefore w:w="4533" w:type="dxa"/>
          <w:trHeight w:val="381"/>
          <w:jc w:val="center"/>
        </w:trPr>
        <w:tc>
          <w:tcPr>
            <w:tcW w:w="5106" w:type="dxa"/>
            <w:vAlign w:val="center"/>
          </w:tcPr>
          <w:p w14:paraId="3B044F5D" w14:textId="77777777" w:rsidR="00315D68" w:rsidRDefault="00000000">
            <w:pPr>
              <w:tabs>
                <w:tab w:val="left" w:pos="1004"/>
                <w:tab w:val="left" w:pos="4267"/>
              </w:tabs>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开户名称：</w:t>
            </w:r>
          </w:p>
        </w:tc>
      </w:tr>
      <w:tr w:rsidR="00315D68" w14:paraId="7F7D455D" w14:textId="77777777">
        <w:trPr>
          <w:gridBefore w:val="1"/>
          <w:wBefore w:w="4533" w:type="dxa"/>
          <w:trHeight w:val="557"/>
          <w:jc w:val="center"/>
        </w:trPr>
        <w:tc>
          <w:tcPr>
            <w:tcW w:w="5106" w:type="dxa"/>
            <w:vAlign w:val="center"/>
          </w:tcPr>
          <w:p w14:paraId="61E3E962" w14:textId="77777777" w:rsidR="00315D68" w:rsidRDefault="00000000">
            <w:pPr>
              <w:tabs>
                <w:tab w:val="left" w:pos="1004"/>
                <w:tab w:val="left" w:pos="4267"/>
              </w:tabs>
              <w:spacing w:after="0" w:line="240" w:lineRule="auto"/>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银行账号：</w:t>
            </w:r>
          </w:p>
        </w:tc>
      </w:tr>
    </w:tbl>
    <w:p w14:paraId="03DB0F27" w14:textId="77777777" w:rsidR="00315D68" w:rsidRDefault="00315D68" w:rsidP="00EE2837">
      <w:pPr>
        <w:spacing w:line="440" w:lineRule="exact"/>
        <w:rPr>
          <w:rFonts w:hint="eastAsia"/>
        </w:rPr>
      </w:pPr>
    </w:p>
    <w:sectPr w:rsidR="00315D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9107B" w14:textId="77777777" w:rsidR="00672D37" w:rsidRDefault="00672D37">
      <w:pPr>
        <w:spacing w:after="0" w:line="240" w:lineRule="auto"/>
      </w:pPr>
      <w:r>
        <w:separator/>
      </w:r>
    </w:p>
  </w:endnote>
  <w:endnote w:type="continuationSeparator" w:id="0">
    <w:p w14:paraId="3729B12A" w14:textId="77777777" w:rsidR="00672D37" w:rsidRDefault="0067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422B" w14:textId="77777777" w:rsidR="00315D68" w:rsidRDefault="00000000">
    <w:pPr>
      <w:pStyle w:val="a8"/>
    </w:pPr>
    <w:r>
      <w:rPr>
        <w:noProof/>
      </w:rPr>
      <mc:AlternateContent>
        <mc:Choice Requires="wps">
          <w:drawing>
            <wp:anchor distT="0" distB="0" distL="114300" distR="114300" simplePos="0" relativeHeight="251658240" behindDoc="0" locked="0" layoutInCell="1" allowOverlap="1" wp14:anchorId="5CE3E655" wp14:editId="2E082AD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CDE4B" w14:textId="77777777" w:rsidR="00315D68"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15D68">
                              <w:rPr>
                                <w:rFonts w:hint="eastAsia"/>
                              </w:rPr>
                              <w:t>5</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E3E655"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ACDE4B" w14:textId="77777777" w:rsidR="00315D68"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15D68">
                        <w:rPr>
                          <w:rFonts w:hint="eastAsia"/>
                        </w:rPr>
                        <w:t>5</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CC928" w14:textId="77777777" w:rsidR="00672D37" w:rsidRDefault="00672D37">
      <w:pPr>
        <w:spacing w:after="0" w:line="240" w:lineRule="auto"/>
      </w:pPr>
      <w:r>
        <w:separator/>
      </w:r>
    </w:p>
  </w:footnote>
  <w:footnote w:type="continuationSeparator" w:id="0">
    <w:p w14:paraId="1A652681" w14:textId="77777777" w:rsidR="00672D37" w:rsidRDefault="00672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JjOTQxYzhjODMyMDAzZmE0MDJkMWFkNmJlNDkwYTUifQ=="/>
  </w:docVars>
  <w:rsids>
    <w:rsidRoot w:val="28BF3845"/>
    <w:rsid w:val="00216EB8"/>
    <w:rsid w:val="00283515"/>
    <w:rsid w:val="002E03F3"/>
    <w:rsid w:val="00315D68"/>
    <w:rsid w:val="00366810"/>
    <w:rsid w:val="00424F3B"/>
    <w:rsid w:val="004B5142"/>
    <w:rsid w:val="005C0F6F"/>
    <w:rsid w:val="00621842"/>
    <w:rsid w:val="00672D37"/>
    <w:rsid w:val="00865D1E"/>
    <w:rsid w:val="00881A3D"/>
    <w:rsid w:val="00942101"/>
    <w:rsid w:val="009E0E99"/>
    <w:rsid w:val="00A301BD"/>
    <w:rsid w:val="00B6046A"/>
    <w:rsid w:val="00BD6AC3"/>
    <w:rsid w:val="00C33D7F"/>
    <w:rsid w:val="00C900A7"/>
    <w:rsid w:val="00CB492A"/>
    <w:rsid w:val="00CD3A82"/>
    <w:rsid w:val="00E3657B"/>
    <w:rsid w:val="00EE2837"/>
    <w:rsid w:val="00FB5144"/>
    <w:rsid w:val="04A800AD"/>
    <w:rsid w:val="0B6D50D5"/>
    <w:rsid w:val="0FBF420E"/>
    <w:rsid w:val="1CDD3197"/>
    <w:rsid w:val="1E323D79"/>
    <w:rsid w:val="1E8C6C75"/>
    <w:rsid w:val="24374FE7"/>
    <w:rsid w:val="28BF3845"/>
    <w:rsid w:val="2F9F1032"/>
    <w:rsid w:val="356F303F"/>
    <w:rsid w:val="3A8F5C6B"/>
    <w:rsid w:val="3D3E61D7"/>
    <w:rsid w:val="3F45244B"/>
    <w:rsid w:val="404467AE"/>
    <w:rsid w:val="411F3BF3"/>
    <w:rsid w:val="4AB67000"/>
    <w:rsid w:val="4F4260CA"/>
    <w:rsid w:val="54905BB4"/>
    <w:rsid w:val="54DD2A7F"/>
    <w:rsid w:val="6AD03BFE"/>
    <w:rsid w:val="6B9D2CE5"/>
    <w:rsid w:val="6BFF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E788A"/>
  <w15:docId w15:val="{39DFAFC8-F231-4AA1-AD59-4847F6ED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qFormat/>
    <w:pPr>
      <w:ind w:firstLineChars="200" w:firstLine="200"/>
    </w:pPr>
    <w:rPr>
      <w:rFonts w:ascii="Calibri" w:hAnsi="Calibri"/>
      <w:szCs w:val="22"/>
    </w:rPr>
  </w:style>
  <w:style w:type="paragraph" w:styleId="a3">
    <w:name w:val="annotation subject"/>
    <w:basedOn w:val="a4"/>
    <w:next w:val="a4"/>
    <w:link w:val="a5"/>
    <w:qFormat/>
    <w:rPr>
      <w:b/>
      <w:bCs/>
    </w:rPr>
  </w:style>
  <w:style w:type="paragraph" w:styleId="a4">
    <w:name w:val="annotation text"/>
    <w:basedOn w:val="a"/>
    <w:link w:val="a6"/>
    <w:pPr>
      <w:jc w:val="left"/>
    </w:pPr>
  </w:style>
  <w:style w:type="paragraph" w:styleId="a7">
    <w:name w:val="Plain Text"/>
    <w:basedOn w:val="a"/>
    <w:qFormat/>
    <w:rPr>
      <w:rFonts w:ascii="宋体"/>
      <w:szCs w:val="20"/>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a">
    <w:name w:val="annotation reference"/>
    <w:basedOn w:val="a0"/>
    <w:qFormat/>
    <w:rPr>
      <w:sz w:val="21"/>
      <w:szCs w:val="21"/>
    </w:rPr>
  </w:style>
  <w:style w:type="paragraph" w:customStyle="1" w:styleId="1">
    <w:name w:val="列表段落1"/>
    <w:basedOn w:val="a"/>
    <w:qFormat/>
    <w:pPr>
      <w:widowControl/>
      <w:ind w:left="720"/>
      <w:jc w:val="left"/>
    </w:pPr>
    <w:rPr>
      <w:rFonts w:ascii="Calibri" w:hAnsi="Calibri"/>
      <w:i/>
      <w:iCs/>
      <w:kern w:val="0"/>
      <w:sz w:val="20"/>
      <w:szCs w:val="20"/>
    </w:rPr>
  </w:style>
  <w:style w:type="character" w:customStyle="1" w:styleId="fontstyle01">
    <w:name w:val="fontstyle01"/>
    <w:basedOn w:val="a0"/>
    <w:qFormat/>
    <w:rPr>
      <w:rFonts w:ascii="仿宋" w:eastAsia="仿宋" w:hAnsi="仿宋" w:cs="仿宋"/>
      <w:color w:val="000000"/>
      <w:sz w:val="28"/>
      <w:szCs w:val="28"/>
    </w:rPr>
  </w:style>
  <w:style w:type="paragraph" w:customStyle="1" w:styleId="10">
    <w:name w:val="修订1"/>
    <w:hidden/>
    <w:uiPriority w:val="99"/>
    <w:unhideWhenUsed/>
    <w:qFormat/>
    <w:pPr>
      <w:spacing w:after="0" w:line="240" w:lineRule="auto"/>
    </w:pPr>
    <w:rPr>
      <w:kern w:val="2"/>
      <w:sz w:val="21"/>
      <w:szCs w:val="24"/>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 w:type="paragraph" w:styleId="ab">
    <w:name w:val="Revision"/>
    <w:hidden/>
    <w:uiPriority w:val="99"/>
    <w:unhideWhenUsed/>
    <w:rsid w:val="005C0F6F"/>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of Tianxiu</dc:creator>
  <cp:lastModifiedBy>云采链</cp:lastModifiedBy>
  <cp:revision>13</cp:revision>
  <cp:lastPrinted>2024-04-11T07:34:00Z</cp:lastPrinted>
  <dcterms:created xsi:type="dcterms:W3CDTF">2023-04-13T08:39:00Z</dcterms:created>
  <dcterms:modified xsi:type="dcterms:W3CDTF">2025-03-12T02:32:00Z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DCD24BB9A95F40A785E218AE7A5C413F_13</vt:lpwstr>
  </property>
</Properties>
</file>