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Ansi="宋体"/>
          <w:color w:val="auto"/>
        </w:rPr>
      </w:pPr>
    </w:p>
    <w:p>
      <w:pPr>
        <w:jc w:val="center"/>
        <w:outlineLvl w:val="0"/>
        <w:rPr>
          <w:rFonts w:ascii="宋体" w:hAnsi="宋体"/>
          <w:b/>
          <w:bCs/>
          <w:color w:val="auto"/>
          <w:kern w:val="0"/>
          <w:sz w:val="32"/>
          <w:szCs w:val="32"/>
        </w:rPr>
      </w:pPr>
      <w:r>
        <w:rPr>
          <w:rFonts w:hint="eastAsia" w:ascii="宋体" w:hAnsi="宋体"/>
          <w:b/>
          <w:bCs/>
          <w:color w:val="auto"/>
          <w:kern w:val="0"/>
          <w:sz w:val="32"/>
          <w:szCs w:val="32"/>
        </w:rPr>
        <w:t>肇庆监狱监区分控室</w:t>
      </w:r>
      <w:r>
        <w:rPr>
          <w:rFonts w:hint="eastAsia" w:ascii="宋体" w:hAnsi="宋体"/>
          <w:b/>
          <w:bCs/>
          <w:color w:val="auto"/>
          <w:kern w:val="0"/>
          <w:sz w:val="32"/>
          <w:szCs w:val="32"/>
          <w:lang w:val="en-US" w:eastAsia="zh-CN"/>
        </w:rPr>
        <w:t>操作台</w:t>
      </w:r>
      <w:r>
        <w:rPr>
          <w:rFonts w:hint="eastAsia" w:ascii="宋体" w:hAnsi="宋体"/>
          <w:b/>
          <w:bCs/>
          <w:color w:val="auto"/>
          <w:kern w:val="0"/>
          <w:sz w:val="32"/>
          <w:szCs w:val="32"/>
        </w:rPr>
        <w:t>改造项目</w:t>
      </w:r>
    </w:p>
    <w:p>
      <w:pPr>
        <w:keepNext w:val="0"/>
        <w:keepLines w:val="0"/>
        <w:pageBreakBefore w:val="0"/>
        <w:widowControl w:val="0"/>
        <w:numPr>
          <w:ilvl w:val="0"/>
          <w:numId w:val="1"/>
        </w:numPr>
        <w:tabs>
          <w:tab w:val="left" w:pos="420"/>
          <w:tab w:val="left" w:pos="540"/>
        </w:tabs>
        <w:kinsoku/>
        <w:wordWrap/>
        <w:overflowPunct/>
        <w:topLinePunct w:val="0"/>
        <w:autoSpaceDE/>
        <w:autoSpaceDN/>
        <w:bidi w:val="0"/>
        <w:adjustRightInd/>
        <w:snapToGrid/>
        <w:spacing w:before="156" w:beforeLines="50" w:line="360" w:lineRule="auto"/>
        <w:ind w:left="210" w:leftChars="0" w:firstLine="0" w:firstLineChars="0"/>
        <w:textAlignment w:val="auto"/>
        <w:rPr>
          <w:rFonts w:ascii="宋体" w:hAnsi="宋体" w:cs="宋体"/>
          <w:b/>
          <w:bCs/>
          <w:color w:val="auto"/>
          <w:szCs w:val="21"/>
          <w:lang w:val="zh-CN"/>
        </w:rPr>
      </w:pPr>
      <w:r>
        <w:rPr>
          <w:rFonts w:hint="eastAsia" w:ascii="宋体" w:hAnsi="宋体"/>
          <w:b/>
          <w:bCs/>
          <w:color w:val="auto"/>
          <w:szCs w:val="21"/>
        </w:rPr>
        <w:t>项目</w:t>
      </w:r>
      <w:r>
        <w:rPr>
          <w:rFonts w:hint="eastAsia" w:ascii="宋体" w:hAnsi="宋体"/>
          <w:b/>
          <w:bCs/>
          <w:color w:val="auto"/>
          <w:szCs w:val="21"/>
          <w:lang w:val="en-US" w:eastAsia="zh-CN"/>
        </w:rPr>
        <w:t>概况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szCs w:val="21"/>
          <w:lang w:val="en-US" w:eastAsia="zh-CN"/>
        </w:rPr>
      </w:pPr>
      <w:r>
        <w:rPr>
          <w:rFonts w:hint="eastAsia" w:cs="Times New Roman"/>
          <w:color w:val="auto"/>
          <w:lang w:val="en-US" w:eastAsia="zh-CN"/>
        </w:rPr>
        <w:t>近年来由于监管安全需要，监区分控信息化设备逐渐增多，部分监区原有的一字操作台空间有限已满足不了各种信息化设备放置，影响监管安全，现需把一字型操作台改造为七字型操作台，以满足业务需求，确保监管安全。</w:t>
      </w:r>
    </w:p>
    <w:p>
      <w:pPr>
        <w:keepNext w:val="0"/>
        <w:keepLines w:val="0"/>
        <w:pageBreakBefore w:val="0"/>
        <w:widowControl w:val="0"/>
        <w:numPr>
          <w:ilvl w:val="0"/>
          <w:numId w:val="1"/>
        </w:numPr>
        <w:tabs>
          <w:tab w:val="left" w:pos="420"/>
          <w:tab w:val="left" w:pos="540"/>
        </w:tabs>
        <w:kinsoku/>
        <w:wordWrap/>
        <w:overflowPunct/>
        <w:topLinePunct w:val="0"/>
        <w:autoSpaceDE/>
        <w:autoSpaceDN/>
        <w:bidi w:val="0"/>
        <w:adjustRightInd/>
        <w:snapToGrid/>
        <w:spacing w:before="156" w:beforeLines="50" w:line="360" w:lineRule="auto"/>
        <w:ind w:left="210" w:leftChars="0" w:firstLine="0" w:firstLineChars="0"/>
        <w:textAlignment w:val="auto"/>
        <w:rPr>
          <w:rFonts w:ascii="宋体" w:hAnsi="宋体" w:cs="宋体"/>
          <w:b/>
          <w:bCs/>
          <w:color w:val="auto"/>
          <w:szCs w:val="21"/>
          <w:lang w:val="zh-CN"/>
        </w:rPr>
      </w:pPr>
      <w:r>
        <w:rPr>
          <w:rFonts w:hint="eastAsia" w:ascii="宋体" w:hAnsi="宋体" w:cs="宋体"/>
          <w:b/>
          <w:bCs/>
          <w:color w:val="auto"/>
          <w:szCs w:val="21"/>
          <w:lang w:val="en-US" w:eastAsia="zh-CN"/>
        </w:rPr>
        <w:t>建设目标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color w:val="auto"/>
          <w:lang w:val="en-US" w:eastAsia="zh-CN"/>
        </w:rPr>
      </w:pPr>
      <w:r>
        <w:rPr>
          <w:rFonts w:hint="eastAsia" w:cs="Times New Roman"/>
          <w:color w:val="auto"/>
          <w:lang w:val="en-US" w:eastAsia="zh-CN"/>
        </w:rPr>
        <w:t>三、四、五、六、七、八、十监区等七个监区把原来的一字操作台改造成七字型操作台。</w:t>
      </w:r>
    </w:p>
    <w:p>
      <w:pPr>
        <w:keepNext w:val="0"/>
        <w:keepLines w:val="0"/>
        <w:pageBreakBefore w:val="0"/>
        <w:widowControl w:val="0"/>
        <w:numPr>
          <w:ilvl w:val="0"/>
          <w:numId w:val="1"/>
        </w:numPr>
        <w:tabs>
          <w:tab w:val="left" w:pos="420"/>
          <w:tab w:val="left" w:pos="54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Cs w:val="21"/>
        </w:rPr>
      </w:pPr>
      <w:r>
        <w:rPr>
          <w:rFonts w:hint="eastAsia" w:ascii="宋体" w:hAnsi="宋体" w:eastAsia="宋体" w:cs="宋体"/>
          <w:b/>
          <w:bCs/>
          <w:color w:val="auto"/>
          <w:szCs w:val="21"/>
        </w:rPr>
        <w:t>项目具体内容</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cs="宋体"/>
          <w:color w:val="auto"/>
          <w:szCs w:val="21"/>
        </w:rPr>
      </w:pPr>
      <w:r>
        <w:rPr>
          <w:rFonts w:hint="eastAsia" w:ascii="宋体" w:hAnsi="宋体" w:cs="宋体"/>
          <w:color w:val="auto"/>
          <w:szCs w:val="21"/>
        </w:rPr>
        <w:t>（一）项目名称：肇庆监狱监区分控室操作台改造项目；</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cs="宋体"/>
          <w:color w:val="auto"/>
          <w:szCs w:val="21"/>
        </w:rPr>
      </w:pPr>
      <w:r>
        <w:rPr>
          <w:rFonts w:hint="eastAsia" w:ascii="宋体" w:hAnsi="宋体" w:cs="宋体"/>
          <w:color w:val="auto"/>
          <w:szCs w:val="21"/>
        </w:rPr>
        <w:t>（二）采购预算：约</w:t>
      </w:r>
      <w:r>
        <w:rPr>
          <w:rFonts w:hint="eastAsia" w:ascii="宋体" w:hAnsi="宋体" w:cs="宋体"/>
          <w:color w:val="auto"/>
          <w:szCs w:val="21"/>
          <w:lang w:val="en-US" w:eastAsia="zh-CN"/>
        </w:rPr>
        <w:t>149450元</w:t>
      </w:r>
      <w:r>
        <w:rPr>
          <w:rFonts w:hint="eastAsia" w:ascii="宋体" w:hAnsi="宋体" w:cs="宋体"/>
          <w:color w:val="auto"/>
          <w:szCs w:val="21"/>
          <w:lang w:eastAsia="zh-CN"/>
        </w:rPr>
        <w:t>。</w:t>
      </w:r>
      <w:r>
        <w:rPr>
          <w:rFonts w:hint="eastAsia" w:ascii="宋体" w:hAnsi="宋体" w:cs="宋体"/>
          <w:color w:val="auto"/>
          <w:szCs w:val="21"/>
          <w:lang w:val="en-US" w:eastAsia="zh-CN"/>
        </w:rPr>
        <w:t>项目总费用包括：操作台采购，旧操作台拆除与</w:t>
      </w:r>
      <w:r>
        <w:rPr>
          <w:rFonts w:hint="eastAsia" w:ascii="宋体" w:hAnsi="宋体" w:cs="宋体"/>
          <w:color w:val="auto"/>
          <w:szCs w:val="21"/>
          <w:lang w:eastAsia="zh-CN"/>
        </w:rPr>
        <w:t>安装</w:t>
      </w:r>
      <w:r>
        <w:rPr>
          <w:rFonts w:hint="eastAsia" w:ascii="宋体" w:hAnsi="宋体" w:cs="宋体"/>
          <w:color w:val="auto"/>
          <w:szCs w:val="21"/>
          <w:lang w:val="en-US" w:eastAsia="zh-CN"/>
        </w:rPr>
        <w:t>新操作台</w:t>
      </w:r>
      <w:r>
        <w:rPr>
          <w:rFonts w:hint="eastAsia" w:ascii="宋体" w:hAnsi="宋体" w:cs="宋体"/>
          <w:color w:val="auto"/>
          <w:szCs w:val="21"/>
          <w:lang w:eastAsia="zh-CN"/>
        </w:rPr>
        <w:t>、</w:t>
      </w:r>
      <w:r>
        <w:rPr>
          <w:rFonts w:hint="eastAsia" w:ascii="宋体" w:hAnsi="宋体" w:cs="宋体"/>
          <w:color w:val="auto"/>
          <w:szCs w:val="21"/>
          <w:lang w:val="en-US" w:eastAsia="zh-CN"/>
        </w:rPr>
        <w:t>操作台下线路整理</w:t>
      </w:r>
      <w:r>
        <w:rPr>
          <w:rFonts w:hint="eastAsia" w:ascii="宋体" w:hAnsi="宋体" w:cs="宋体"/>
          <w:color w:val="auto"/>
          <w:szCs w:val="21"/>
          <w:lang w:eastAsia="zh-CN"/>
        </w:rPr>
        <w:t>、</w:t>
      </w:r>
      <w:r>
        <w:rPr>
          <w:rFonts w:hint="eastAsia" w:ascii="宋体" w:hAnsi="宋体" w:cs="宋体"/>
          <w:color w:val="auto"/>
          <w:szCs w:val="21"/>
          <w:lang w:val="en-US" w:eastAsia="zh-CN"/>
        </w:rPr>
        <w:t>配套</w:t>
      </w:r>
      <w:r>
        <w:rPr>
          <w:rFonts w:hint="eastAsia" w:ascii="宋体" w:hAnsi="宋体" w:cs="宋体"/>
          <w:color w:val="auto"/>
          <w:szCs w:val="21"/>
          <w:lang w:eastAsia="zh-CN"/>
        </w:rPr>
        <w:t>零配件、标配工具、运输保险、各项税费及合同实施过程中不可预见费用等</w:t>
      </w:r>
      <w:r>
        <w:rPr>
          <w:rFonts w:hint="eastAsia" w:ascii="宋体" w:hAnsi="宋体" w:cs="宋体"/>
          <w:color w:val="auto"/>
          <w:szCs w:val="21"/>
        </w:rPr>
        <w:t>；</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cs="宋体"/>
          <w:color w:val="auto"/>
          <w:szCs w:val="21"/>
        </w:rPr>
      </w:pPr>
      <w:r>
        <w:rPr>
          <w:rFonts w:hint="eastAsia" w:ascii="宋体" w:hAnsi="宋体" w:cs="宋体"/>
          <w:color w:val="auto"/>
          <w:szCs w:val="21"/>
        </w:rPr>
        <w:t>（三）项目具体内容：</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5" w:leftChars="0" w:hanging="425" w:firstLineChars="0"/>
        <w:textAlignment w:val="auto"/>
        <w:rPr>
          <w:rFonts w:hint="default" w:cs="Times New Roman"/>
          <w:color w:val="auto"/>
          <w:lang w:val="en-US" w:eastAsia="zh-CN"/>
        </w:rPr>
      </w:pPr>
      <w:r>
        <w:rPr>
          <w:rFonts w:hint="eastAsia" w:cs="Times New Roman"/>
          <w:color w:val="auto"/>
          <w:lang w:val="en-US" w:eastAsia="zh-CN"/>
        </w:rPr>
        <w:t>定制化采购七字型操作台七套，产品尺寸为：L(4000+3000)*H850*W850（七字型），标配： 内部标准机架结构， 配可调节层板， 散热风扇， 键盘抽屉材料：立柱1.8, 门板l.2, 台面板1.5厚冷轧钢板，台面按需开孔。</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5" w:leftChars="0" w:hanging="425" w:firstLineChars="0"/>
        <w:textAlignment w:val="auto"/>
        <w:rPr>
          <w:rFonts w:hint="eastAsia" w:ascii="宋体" w:hAnsi="宋体" w:cs="宋体"/>
          <w:color w:val="auto"/>
          <w:szCs w:val="21"/>
          <w:lang w:val="en-US" w:eastAsia="zh-CN"/>
        </w:rPr>
      </w:pPr>
      <w:r>
        <w:rPr>
          <w:rFonts w:hint="eastAsia" w:cs="Times New Roman"/>
          <w:color w:val="auto"/>
          <w:lang w:val="en-US" w:eastAsia="zh-CN"/>
        </w:rPr>
        <w:t>旧操作台拆除，新操作台安装，以及旧操作台下线路整理；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5" w:leftChars="0" w:hanging="425" w:firstLineChars="0"/>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本项目需要在监管区内施工，施工时间严格按照每日8:30-12:00，14:30-17:30；</w:t>
      </w:r>
    </w:p>
    <w:p>
      <w:pPr>
        <w:keepNext w:val="0"/>
        <w:keepLines w:val="0"/>
        <w:pageBreakBefore w:val="0"/>
        <w:widowControl w:val="0"/>
        <w:numPr>
          <w:ilvl w:val="0"/>
          <w:numId w:val="1"/>
        </w:numPr>
        <w:tabs>
          <w:tab w:val="left" w:pos="420"/>
          <w:tab w:val="left" w:pos="54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Cs w:val="21"/>
        </w:rPr>
      </w:pPr>
      <w:r>
        <w:rPr>
          <w:rFonts w:hint="eastAsia" w:ascii="宋体" w:hAnsi="宋体" w:cs="宋体"/>
          <w:b/>
          <w:bCs/>
          <w:color w:val="auto"/>
          <w:szCs w:val="21"/>
          <w:lang w:val="en-US" w:eastAsia="zh-CN"/>
        </w:rPr>
        <w:t>供货</w:t>
      </w:r>
      <w:r>
        <w:rPr>
          <w:rFonts w:hint="eastAsia" w:ascii="宋体" w:hAnsi="宋体" w:eastAsia="宋体" w:cs="宋体"/>
          <w:b/>
          <w:bCs/>
          <w:color w:val="auto"/>
          <w:szCs w:val="21"/>
        </w:rPr>
        <w:t>时间及地点</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cs="宋体"/>
          <w:color w:val="auto"/>
          <w:szCs w:val="21"/>
        </w:rPr>
      </w:pPr>
      <w:r>
        <w:rPr>
          <w:rFonts w:hint="eastAsia" w:ascii="宋体" w:hAnsi="宋体" w:cs="宋体"/>
          <w:color w:val="auto"/>
          <w:szCs w:val="21"/>
        </w:rPr>
        <w:t>（一）交货期：合同签订之后，成交供应商需在</w:t>
      </w:r>
      <w:r>
        <w:rPr>
          <w:rFonts w:hint="eastAsia" w:ascii="宋体" w:hAnsi="宋体" w:cs="宋体"/>
          <w:color w:val="auto"/>
          <w:szCs w:val="21"/>
          <w:lang w:val="en-US" w:eastAsia="zh-CN"/>
        </w:rPr>
        <w:t>30个工作日内交货并完成安装</w:t>
      </w:r>
      <w:r>
        <w:rPr>
          <w:rFonts w:hint="eastAsia" w:ascii="宋体" w:hAnsi="宋体" w:cs="宋体"/>
          <w:color w:val="auto"/>
          <w:szCs w:val="21"/>
        </w:rPr>
        <w:t>。</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Cs w:val="21"/>
          <w:lang w:val="en-US" w:eastAsia="zh-CN"/>
        </w:rPr>
      </w:pPr>
      <w:r>
        <w:rPr>
          <w:rFonts w:hint="eastAsia" w:ascii="宋体" w:hAnsi="宋体" w:cs="宋体"/>
          <w:color w:val="auto"/>
          <w:szCs w:val="21"/>
        </w:rPr>
        <w:t xml:space="preserve">（二）交货方式：现场交付。 </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cs="宋体"/>
          <w:color w:val="auto"/>
          <w:szCs w:val="21"/>
        </w:rPr>
      </w:pPr>
      <w:r>
        <w:rPr>
          <w:rFonts w:hint="eastAsia" w:ascii="宋体" w:hAnsi="宋体" w:cs="宋体"/>
          <w:color w:val="auto"/>
          <w:szCs w:val="21"/>
        </w:rPr>
        <w:t>（三）交货地点：广东省</w:t>
      </w:r>
      <w:r>
        <w:rPr>
          <w:rFonts w:hint="eastAsia" w:ascii="宋体" w:hAnsi="宋体" w:cs="宋体"/>
          <w:color w:val="auto"/>
          <w:szCs w:val="21"/>
          <w:lang w:eastAsia="zh-CN"/>
        </w:rPr>
        <w:t>肇庆监狱</w:t>
      </w:r>
      <w:r>
        <w:rPr>
          <w:rFonts w:hint="eastAsia" w:ascii="宋体" w:hAnsi="宋体" w:cs="宋体"/>
          <w:color w:val="auto"/>
          <w:szCs w:val="21"/>
        </w:rPr>
        <w:t>。</w:t>
      </w:r>
    </w:p>
    <w:p>
      <w:pPr>
        <w:keepNext w:val="0"/>
        <w:keepLines w:val="0"/>
        <w:pageBreakBefore w:val="0"/>
        <w:widowControl w:val="0"/>
        <w:numPr>
          <w:ilvl w:val="0"/>
          <w:numId w:val="1"/>
        </w:numPr>
        <w:tabs>
          <w:tab w:val="left" w:pos="420"/>
          <w:tab w:val="left" w:pos="54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Cs w:val="21"/>
        </w:rPr>
      </w:pPr>
      <w:r>
        <w:rPr>
          <w:rFonts w:hint="eastAsia" w:ascii="宋体" w:hAnsi="宋体" w:eastAsia="宋体" w:cs="宋体"/>
          <w:b/>
          <w:bCs/>
          <w:color w:val="auto"/>
          <w:szCs w:val="21"/>
        </w:rPr>
        <w:t>供货要求</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cs="宋体"/>
          <w:color w:val="auto"/>
          <w:szCs w:val="21"/>
        </w:rPr>
      </w:pPr>
      <w:r>
        <w:rPr>
          <w:rFonts w:hint="eastAsia" w:ascii="宋体" w:hAnsi="宋体" w:cs="宋体"/>
          <w:color w:val="auto"/>
          <w:szCs w:val="21"/>
        </w:rPr>
        <w:t>（一）成交供应商项目所用设备、材料和配件必须符合国家和行业的有关技术及安全标准；</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cs="宋体"/>
          <w:color w:val="auto"/>
          <w:szCs w:val="21"/>
        </w:rPr>
      </w:pPr>
      <w:r>
        <w:rPr>
          <w:rFonts w:hint="eastAsia" w:ascii="宋体" w:hAnsi="宋体" w:cs="宋体"/>
          <w:color w:val="auto"/>
          <w:szCs w:val="21"/>
        </w:rPr>
        <w:t>（二）</w:t>
      </w:r>
      <w:r>
        <w:rPr>
          <w:rFonts w:hint="eastAsia" w:ascii="宋体" w:hAnsi="宋体" w:cs="仿宋_GB2312"/>
          <w:color w:val="auto"/>
          <w:szCs w:val="21"/>
        </w:rPr>
        <w:t>产品移交给使用单位验收合格前，</w:t>
      </w:r>
      <w:r>
        <w:rPr>
          <w:rFonts w:hint="eastAsia" w:ascii="宋体" w:hAnsi="宋体" w:cs="仿宋_GB2312"/>
          <w:color w:val="auto"/>
          <w:szCs w:val="21"/>
          <w:lang w:eastAsia="zh-CN"/>
        </w:rPr>
        <w:t>成交供应商</w:t>
      </w:r>
      <w:r>
        <w:rPr>
          <w:rFonts w:hint="eastAsia" w:ascii="宋体" w:hAnsi="宋体" w:cs="仿宋_GB2312"/>
          <w:color w:val="auto"/>
          <w:szCs w:val="21"/>
        </w:rPr>
        <w:t>需要对所有有关项目的材料、半成品、成品和配套设备装置负全责</w:t>
      </w:r>
      <w:r>
        <w:rPr>
          <w:rFonts w:hint="eastAsia" w:ascii="宋体" w:hAnsi="宋体" w:cs="宋体"/>
          <w:color w:val="auto"/>
          <w:szCs w:val="21"/>
        </w:rPr>
        <w:t>；</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cs="宋体"/>
          <w:color w:val="auto"/>
          <w:szCs w:val="21"/>
        </w:rPr>
      </w:pPr>
      <w:r>
        <w:rPr>
          <w:rFonts w:hint="eastAsia" w:ascii="宋体" w:hAnsi="宋体" w:cs="宋体"/>
          <w:color w:val="auto"/>
          <w:szCs w:val="21"/>
        </w:rPr>
        <w:t>（三）</w:t>
      </w:r>
      <w:r>
        <w:rPr>
          <w:rFonts w:hint="eastAsia" w:ascii="宋体" w:hAnsi="宋体" w:cs="仿宋_GB2312"/>
          <w:color w:val="auto"/>
          <w:szCs w:val="21"/>
        </w:rPr>
        <w:t>项目确因不可抗力需要延期的，双方应通过友好协商尽快解决</w:t>
      </w:r>
      <w:r>
        <w:rPr>
          <w:rFonts w:hint="eastAsia" w:ascii="宋体" w:hAnsi="宋体" w:cs="宋体"/>
          <w:color w:val="auto"/>
          <w:szCs w:val="21"/>
        </w:rPr>
        <w:t>。</w:t>
      </w:r>
    </w:p>
    <w:p>
      <w:pPr>
        <w:pStyle w:val="2"/>
      </w:pPr>
      <w:r>
        <w:rPr>
          <w:rFonts w:hint="eastAsia" w:ascii="宋体" w:hAnsi="宋体" w:cs="宋体"/>
          <w:color w:val="auto"/>
          <w:szCs w:val="21"/>
          <w:lang w:eastAsia="zh-CN"/>
        </w:rPr>
        <w:t>（</w:t>
      </w:r>
      <w:r>
        <w:rPr>
          <w:rFonts w:hint="eastAsia" w:ascii="宋体" w:hAnsi="宋体" w:cs="宋体"/>
          <w:color w:val="auto"/>
          <w:szCs w:val="21"/>
          <w:lang w:val="en-US" w:eastAsia="zh-CN"/>
        </w:rPr>
        <w:t>四</w:t>
      </w:r>
      <w:r>
        <w:rPr>
          <w:rFonts w:hint="eastAsia" w:ascii="宋体" w:hAnsi="宋体" w:cs="宋体"/>
          <w:color w:val="auto"/>
          <w:szCs w:val="21"/>
          <w:lang w:eastAsia="zh-CN"/>
        </w:rPr>
        <w:t>）</w:t>
      </w:r>
      <w:r>
        <w:rPr>
          <w:rFonts w:ascii="宋体" w:hAnsi="宋体" w:eastAsia="宋体" w:cs="宋体"/>
          <w:kern w:val="0"/>
          <w:sz w:val="24"/>
          <w:szCs w:val="24"/>
          <w:bdr w:val="none" w:color="auto" w:sz="0" w:space="0"/>
          <w:lang w:val="en-US" w:eastAsia="zh-CN" w:bidi="ar"/>
        </w:rPr>
        <w:t>成交供应商在定制操作台前需要到采购人现场进行重新测量确认，确保定制操作台能顺利安装，如没重新测量确认导致操作台安装失败，结果由成交供应商承担。</w:t>
      </w:r>
    </w:p>
    <w:p>
      <w:pPr>
        <w:pStyle w:val="47"/>
      </w:pPr>
      <w:r>
        <w:t>窗体底端</w:t>
      </w:r>
    </w:p>
    <w:p>
      <w:pPr>
        <w:pStyle w:val="2"/>
        <w:ind w:left="0" w:leftChars="0" w:firstLine="0" w:firstLineChars="0"/>
        <w:rPr>
          <w:rFonts w:hint="eastAsia"/>
        </w:rPr>
      </w:pPr>
      <w:bookmarkStart w:id="1" w:name="_GoBack"/>
      <w:bookmarkEnd w:id="1"/>
    </w:p>
    <w:p>
      <w:pPr>
        <w:keepNext w:val="0"/>
        <w:keepLines w:val="0"/>
        <w:pageBreakBefore w:val="0"/>
        <w:widowControl w:val="0"/>
        <w:numPr>
          <w:ilvl w:val="0"/>
          <w:numId w:val="1"/>
        </w:numPr>
        <w:tabs>
          <w:tab w:val="left" w:pos="420"/>
          <w:tab w:val="left" w:pos="540"/>
        </w:tabs>
        <w:kinsoku/>
        <w:wordWrap/>
        <w:overflowPunct/>
        <w:topLinePunct w:val="0"/>
        <w:autoSpaceDE/>
        <w:autoSpaceDN/>
        <w:bidi w:val="0"/>
        <w:adjustRightInd/>
        <w:snapToGrid/>
        <w:spacing w:line="360" w:lineRule="auto"/>
        <w:ind w:left="0" w:leftChars="0" w:firstLine="0" w:firstLineChars="0"/>
        <w:textAlignment w:val="auto"/>
        <w:rPr>
          <w:rFonts w:hint="eastAsia"/>
          <w:color w:val="auto"/>
          <w:lang w:val="en-US" w:eastAsia="zh-CN"/>
        </w:rPr>
      </w:pPr>
      <w:r>
        <w:rPr>
          <w:rFonts w:hint="eastAsia" w:ascii="宋体" w:hAnsi="宋体" w:eastAsia="宋体" w:cs="宋体"/>
          <w:b/>
          <w:bCs/>
          <w:color w:val="auto"/>
          <w:szCs w:val="21"/>
          <w:lang w:val="en-US" w:eastAsia="zh-CN"/>
        </w:rPr>
        <w:t>项目清单</w:t>
      </w:r>
      <w:r>
        <w:rPr>
          <w:rFonts w:hint="eastAsia" w:ascii="宋体" w:hAnsi="宋体" w:cs="宋体"/>
          <w:b/>
          <w:bCs/>
          <w:color w:val="auto"/>
          <w:szCs w:val="21"/>
          <w:lang w:val="en-US" w:eastAsia="zh-CN"/>
        </w:rPr>
        <w:t>及要求</w:t>
      </w:r>
    </w:p>
    <w:tbl>
      <w:tblPr>
        <w:tblStyle w:val="17"/>
        <w:tblpPr w:leftFromText="180" w:rightFromText="180" w:vertAnchor="text" w:tblpXSpec="center" w:tblpY="1"/>
        <w:tblOverlap w:val="never"/>
        <w:tblW w:w="9657" w:type="dxa"/>
        <w:jc w:val="center"/>
        <w:tblInd w:w="3" w:type="dxa"/>
        <w:shd w:val="clear" w:color="auto" w:fill="auto"/>
        <w:tblLayout w:type="fixed"/>
        <w:tblCellMar>
          <w:top w:w="0" w:type="dxa"/>
          <w:left w:w="0" w:type="dxa"/>
          <w:bottom w:w="0" w:type="dxa"/>
          <w:right w:w="0" w:type="dxa"/>
        </w:tblCellMar>
      </w:tblPr>
      <w:tblGrid>
        <w:gridCol w:w="866"/>
        <w:gridCol w:w="930"/>
        <w:gridCol w:w="1046"/>
        <w:gridCol w:w="1560"/>
        <w:gridCol w:w="2568"/>
        <w:gridCol w:w="456"/>
        <w:gridCol w:w="471"/>
        <w:gridCol w:w="1760"/>
      </w:tblGrid>
      <w:tr>
        <w:tblPrEx>
          <w:shd w:val="clear" w:color="auto" w:fill="auto"/>
          <w:tblLayout w:type="fixed"/>
          <w:tblCellMar>
            <w:top w:w="0" w:type="dxa"/>
            <w:left w:w="0" w:type="dxa"/>
            <w:bottom w:w="0" w:type="dxa"/>
            <w:right w:w="0" w:type="dxa"/>
          </w:tblCellMar>
        </w:tblPrEx>
        <w:trPr>
          <w:trHeight w:val="0" w:hRule="atLeast"/>
          <w:jc w:val="center"/>
        </w:trPr>
        <w:tc>
          <w:tcPr>
            <w:tcW w:w="866"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210" w:firstLineChars="100"/>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序号</w:t>
            </w:r>
          </w:p>
        </w:tc>
        <w:tc>
          <w:tcPr>
            <w:tcW w:w="930" w:type="dxa"/>
            <w:vMerge w:val="restart"/>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分项名称</w:t>
            </w:r>
          </w:p>
        </w:tc>
        <w:tc>
          <w:tcPr>
            <w:tcW w:w="5174" w:type="dxa"/>
            <w:gridSpan w:val="3"/>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品牌、规格型号、主要技术参数</w:t>
            </w:r>
          </w:p>
        </w:tc>
        <w:tc>
          <w:tcPr>
            <w:tcW w:w="927" w:type="dxa"/>
            <w:gridSpan w:val="2"/>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数量</w:t>
            </w:r>
          </w:p>
        </w:tc>
        <w:tc>
          <w:tcPr>
            <w:tcW w:w="1760" w:type="dxa"/>
            <w:vMerge w:val="restart"/>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备注</w:t>
            </w:r>
          </w:p>
        </w:tc>
      </w:tr>
      <w:tr>
        <w:tblPrEx>
          <w:shd w:val="clear" w:color="auto" w:fill="auto"/>
          <w:tblLayout w:type="fixed"/>
          <w:tblCellMar>
            <w:top w:w="0" w:type="dxa"/>
            <w:left w:w="0" w:type="dxa"/>
            <w:bottom w:w="0" w:type="dxa"/>
            <w:right w:w="0" w:type="dxa"/>
          </w:tblCellMar>
        </w:tblPrEx>
        <w:trPr>
          <w:trHeight w:val="0" w:hRule="atLeast"/>
          <w:jc w:val="center"/>
        </w:trPr>
        <w:tc>
          <w:tcPr>
            <w:tcW w:w="866"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Theme="minorEastAsia" w:hAnsiTheme="minorEastAsia" w:eastAsiaTheme="minorEastAsia" w:cstheme="minorEastAsia"/>
                <w:color w:val="auto"/>
                <w:kern w:val="2"/>
                <w:sz w:val="21"/>
                <w:szCs w:val="21"/>
                <w:lang w:val="en-US" w:eastAsia="zh-CN" w:bidi="ar-SA"/>
              </w:rPr>
            </w:pPr>
          </w:p>
        </w:tc>
        <w:tc>
          <w:tcPr>
            <w:tcW w:w="93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Theme="minorEastAsia" w:hAnsiTheme="minorEastAsia" w:eastAsiaTheme="minorEastAsia" w:cstheme="minorEastAsia"/>
                <w:color w:val="auto"/>
                <w:kern w:val="2"/>
                <w:sz w:val="21"/>
                <w:szCs w:val="21"/>
                <w:lang w:val="en-US" w:eastAsia="zh-CN" w:bidi="ar-SA"/>
              </w:rPr>
            </w:pPr>
          </w:p>
        </w:tc>
        <w:tc>
          <w:tcPr>
            <w:tcW w:w="104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ind w:left="0" w:leftChars="0" w:firstLine="420" w:firstLineChars="200"/>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品牌</w:t>
            </w:r>
          </w:p>
        </w:tc>
        <w:tc>
          <w:tcPr>
            <w:tcW w:w="156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规格型号</w:t>
            </w:r>
          </w:p>
        </w:tc>
        <w:tc>
          <w:tcPr>
            <w:tcW w:w="256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主要技术参数</w:t>
            </w:r>
          </w:p>
        </w:tc>
        <w:tc>
          <w:tcPr>
            <w:tcW w:w="456"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数量</w:t>
            </w:r>
          </w:p>
        </w:tc>
        <w:tc>
          <w:tcPr>
            <w:tcW w:w="471"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单位</w:t>
            </w:r>
          </w:p>
        </w:tc>
        <w:tc>
          <w:tcPr>
            <w:tcW w:w="1760"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Theme="minorEastAsia" w:hAnsiTheme="minorEastAsia" w:eastAsiaTheme="minorEastAsia" w:cstheme="minorEastAsia"/>
                <w:color w:val="auto"/>
                <w:kern w:val="2"/>
                <w:sz w:val="21"/>
                <w:szCs w:val="21"/>
                <w:lang w:val="en-US" w:eastAsia="zh-CN" w:bidi="ar-SA"/>
              </w:rPr>
            </w:pPr>
          </w:p>
        </w:tc>
      </w:tr>
      <w:tr>
        <w:tblPrEx>
          <w:shd w:val="clear" w:color="auto" w:fill="auto"/>
          <w:tblLayout w:type="fixed"/>
          <w:tblCellMar>
            <w:top w:w="0" w:type="dxa"/>
            <w:left w:w="0" w:type="dxa"/>
            <w:bottom w:w="0" w:type="dxa"/>
            <w:right w:w="0" w:type="dxa"/>
          </w:tblCellMar>
        </w:tblPrEx>
        <w:trPr>
          <w:trHeight w:val="2004" w:hRule="atLeast"/>
          <w:jc w:val="center"/>
        </w:trPr>
        <w:tc>
          <w:tcPr>
            <w:tcW w:w="86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w:t>
            </w:r>
          </w:p>
        </w:tc>
        <w:tc>
          <w:tcPr>
            <w:tcW w:w="93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操作台</w:t>
            </w:r>
          </w:p>
        </w:tc>
        <w:tc>
          <w:tcPr>
            <w:tcW w:w="104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center"/>
              <w:textAlignment w:val="auto"/>
              <w:rPr>
                <w:rFonts w:hint="eastAsia" w:asciiTheme="minorEastAsia" w:hAnsiTheme="minorEastAsia" w:eastAsiaTheme="minorEastAsia" w:cstheme="minorEastAsia"/>
                <w:color w:val="auto"/>
                <w:kern w:val="2"/>
                <w:sz w:val="21"/>
                <w:szCs w:val="21"/>
                <w:lang w:val="en-US" w:eastAsia="zh-CN" w:bidi="ar-SA"/>
              </w:rPr>
            </w:pPr>
          </w:p>
        </w:tc>
        <w:tc>
          <w:tcPr>
            <w:tcW w:w="156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center"/>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产品尺寸： L(4000+3000)*H850* W850(七字形）</w:t>
            </w:r>
          </w:p>
        </w:tc>
        <w:tc>
          <w:tcPr>
            <w:tcW w:w="256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15"/>
                <w:szCs w:val="15"/>
                <w:lang w:val="en-US" w:eastAsia="zh-CN" w:bidi="ar-SA"/>
              </w:rPr>
              <w:t>标配： 内部标准机架结构， 配可调节层板， 散热风扇， 键盘抽屉材料：立柱1.8, 门板l.2, 台面板1.5厚冷轧钢板，</w:t>
            </w:r>
            <w:r>
              <w:rPr>
                <w:rFonts w:hint="eastAsia" w:cs="Times New Roman"/>
                <w:color w:val="auto"/>
                <w:sz w:val="15"/>
                <w:szCs w:val="15"/>
                <w:lang w:val="en-US" w:eastAsia="zh-CN"/>
              </w:rPr>
              <w:t>台面按需开孔</w:t>
            </w:r>
          </w:p>
        </w:tc>
        <w:tc>
          <w:tcPr>
            <w:tcW w:w="45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7</w:t>
            </w:r>
          </w:p>
        </w:tc>
        <w:tc>
          <w:tcPr>
            <w:tcW w:w="47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套</w:t>
            </w:r>
          </w:p>
        </w:tc>
        <w:tc>
          <w:tcPr>
            <w:tcW w:w="176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heme="minorEastAsia" w:hAnsiTheme="minorEastAsia" w:eastAsiaTheme="minorEastAsia" w:cstheme="minorEastAsia"/>
                <w:color w:val="auto"/>
                <w:kern w:val="2"/>
                <w:sz w:val="21"/>
                <w:szCs w:val="21"/>
                <w:lang w:val="en-US" w:eastAsia="zh-CN" w:bidi="ar-SA"/>
              </w:rPr>
            </w:pPr>
            <w:r>
              <w:rPr>
                <w:rFonts w:hint="eastAsia" w:cs="Times New Roman"/>
                <w:color w:val="auto"/>
                <w:lang w:val="en-US" w:eastAsia="zh-CN"/>
              </w:rPr>
              <w:t>含搬运与安装，定制化操作台，设计图纸查看附件</w:t>
            </w:r>
          </w:p>
        </w:tc>
      </w:tr>
    </w:tbl>
    <w:p>
      <w:pPr>
        <w:pStyle w:val="2"/>
        <w:jc w:val="center"/>
        <w:rPr>
          <w:rFonts w:hint="eastAsia"/>
          <w:lang w:val="en-US" w:eastAsia="zh-CN"/>
        </w:rPr>
      </w:pPr>
    </w:p>
    <w:p>
      <w:pPr>
        <w:keepNext w:val="0"/>
        <w:keepLines w:val="0"/>
        <w:pageBreakBefore w:val="0"/>
        <w:widowControl w:val="0"/>
        <w:numPr>
          <w:ilvl w:val="0"/>
          <w:numId w:val="1"/>
        </w:numPr>
        <w:tabs>
          <w:tab w:val="left" w:pos="420"/>
          <w:tab w:val="left" w:pos="54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Cs w:val="21"/>
        </w:rPr>
      </w:pPr>
      <w:r>
        <w:rPr>
          <w:rFonts w:hint="eastAsia" w:ascii="宋体" w:hAnsi="宋体" w:eastAsia="宋体" w:cs="宋体"/>
          <w:b/>
          <w:bCs/>
          <w:color w:val="auto"/>
          <w:szCs w:val="21"/>
        </w:rPr>
        <w:t>验收要求</w:t>
      </w:r>
    </w:p>
    <w:p>
      <w:pPr>
        <w:keepNext w:val="0"/>
        <w:keepLines w:val="0"/>
        <w:pageBreakBefore w:val="0"/>
        <w:numPr>
          <w:ilvl w:val="0"/>
          <w:numId w:val="0"/>
        </w:numPr>
        <w:tabs>
          <w:tab w:val="left" w:pos="900"/>
        </w:tabs>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一</w:t>
      </w:r>
      <w:r>
        <w:rPr>
          <w:rFonts w:hint="eastAsia" w:ascii="宋体" w:hAnsi="宋体" w:cs="宋体"/>
          <w:color w:val="auto"/>
          <w:szCs w:val="21"/>
          <w:lang w:eastAsia="zh-CN"/>
        </w:rPr>
        <w:t>）</w:t>
      </w:r>
      <w:r>
        <w:rPr>
          <w:rFonts w:hint="eastAsia" w:ascii="宋体" w:hAnsi="宋体" w:eastAsia="宋体" w:cs="宋体"/>
          <w:color w:val="auto"/>
          <w:szCs w:val="21"/>
        </w:rPr>
        <w:t>采购人在</w:t>
      </w:r>
      <w:r>
        <w:rPr>
          <w:rFonts w:hint="eastAsia" w:ascii="宋体" w:hAnsi="宋体" w:eastAsia="宋体" w:cs="宋体"/>
          <w:color w:val="auto"/>
          <w:szCs w:val="21"/>
          <w:lang w:eastAsia="zh-CN"/>
        </w:rPr>
        <w:t>成交供应商</w:t>
      </w:r>
      <w:r>
        <w:rPr>
          <w:rFonts w:hint="eastAsia" w:ascii="宋体" w:hAnsi="宋体" w:eastAsia="宋体" w:cs="宋体"/>
          <w:color w:val="auto"/>
          <w:szCs w:val="21"/>
        </w:rPr>
        <w:t>按合同</w:t>
      </w:r>
      <w:r>
        <w:rPr>
          <w:rFonts w:hint="eastAsia" w:ascii="宋体" w:hAnsi="宋体" w:cs="宋体"/>
          <w:color w:val="auto"/>
          <w:szCs w:val="21"/>
          <w:lang w:val="en-US" w:eastAsia="zh-CN"/>
        </w:rPr>
        <w:t>完成全部内容</w:t>
      </w:r>
      <w:r>
        <w:rPr>
          <w:rFonts w:hint="eastAsia" w:ascii="宋体" w:hAnsi="宋体" w:eastAsia="宋体" w:cs="宋体"/>
          <w:color w:val="auto"/>
          <w:szCs w:val="21"/>
        </w:rPr>
        <w:t>并提出验收申请后的10个工作日内进行验收。验收方案由采购人最终确定，验收工作由采购人负责，</w:t>
      </w:r>
      <w:r>
        <w:rPr>
          <w:rFonts w:hint="eastAsia" w:ascii="宋体" w:hAnsi="宋体" w:eastAsia="宋体" w:cs="宋体"/>
          <w:color w:val="auto"/>
          <w:szCs w:val="21"/>
          <w:lang w:eastAsia="zh-CN"/>
        </w:rPr>
        <w:t>成交供应商</w:t>
      </w:r>
      <w:r>
        <w:rPr>
          <w:rFonts w:hint="eastAsia" w:ascii="宋体" w:hAnsi="宋体" w:eastAsia="宋体" w:cs="宋体"/>
          <w:color w:val="auto"/>
          <w:szCs w:val="21"/>
        </w:rPr>
        <w:t>配合。</w:t>
      </w:r>
    </w:p>
    <w:p>
      <w:pPr>
        <w:keepNext w:val="0"/>
        <w:keepLines w:val="0"/>
        <w:pageBreakBefore w:val="0"/>
        <w:numPr>
          <w:ilvl w:val="0"/>
          <w:numId w:val="0"/>
        </w:numPr>
        <w:tabs>
          <w:tab w:val="left" w:pos="900"/>
        </w:tabs>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二</w:t>
      </w:r>
      <w:r>
        <w:rPr>
          <w:rFonts w:hint="eastAsia" w:ascii="宋体" w:hAnsi="宋体" w:eastAsia="宋体" w:cs="宋体"/>
          <w:color w:val="auto"/>
          <w:szCs w:val="21"/>
          <w:lang w:eastAsia="zh-CN"/>
        </w:rPr>
        <w:t>）</w:t>
      </w:r>
      <w:r>
        <w:rPr>
          <w:rFonts w:hint="eastAsia" w:ascii="宋体" w:hAnsi="宋体" w:eastAsia="宋体" w:cs="宋体"/>
          <w:color w:val="auto"/>
          <w:szCs w:val="21"/>
        </w:rPr>
        <w:t>若验收不通过，供应商应对验收过程发现的问题</w:t>
      </w:r>
      <w:r>
        <w:rPr>
          <w:rFonts w:hint="eastAsia" w:ascii="宋体" w:hAnsi="宋体" w:eastAsia="宋体" w:cs="宋体"/>
          <w:color w:val="auto"/>
          <w:szCs w:val="21"/>
          <w:lang w:val="en-US" w:eastAsia="zh-CN"/>
        </w:rPr>
        <w:t>在10个工作日内</w:t>
      </w:r>
      <w:r>
        <w:rPr>
          <w:rFonts w:hint="eastAsia" w:ascii="宋体" w:hAnsi="宋体" w:eastAsia="宋体" w:cs="宋体"/>
          <w:color w:val="auto"/>
          <w:szCs w:val="21"/>
        </w:rPr>
        <w:t>完成整改，</w:t>
      </w:r>
      <w:r>
        <w:rPr>
          <w:rFonts w:hint="eastAsia" w:ascii="宋体" w:hAnsi="宋体" w:eastAsia="宋体" w:cs="宋体"/>
          <w:color w:val="auto"/>
          <w:szCs w:val="21"/>
          <w:lang w:val="en-US" w:eastAsia="zh-CN"/>
        </w:rPr>
        <w:t>整改后</w:t>
      </w:r>
      <w:r>
        <w:rPr>
          <w:rFonts w:hint="eastAsia" w:ascii="宋体" w:hAnsi="宋体" w:cs="宋体"/>
          <w:color w:val="auto"/>
          <w:szCs w:val="21"/>
          <w:lang w:val="en-US" w:eastAsia="zh-CN"/>
        </w:rPr>
        <w:t>3个工作日内</w:t>
      </w:r>
      <w:r>
        <w:rPr>
          <w:rFonts w:hint="eastAsia" w:ascii="宋体" w:hAnsi="宋体" w:eastAsia="宋体" w:cs="宋体"/>
          <w:color w:val="auto"/>
          <w:szCs w:val="21"/>
          <w:lang w:val="en-US" w:eastAsia="zh-CN"/>
        </w:rPr>
        <w:t>，采购人再次组织验收，经2次验收不合格的，甲方有权单方面解除合同，如因此给甲方造成其他损失的，甲方有权向乙方提出索赔。</w:t>
      </w:r>
    </w:p>
    <w:p>
      <w:pPr>
        <w:keepNext w:val="0"/>
        <w:keepLines w:val="0"/>
        <w:pageBreakBefore w:val="0"/>
        <w:widowControl w:val="0"/>
        <w:numPr>
          <w:ilvl w:val="0"/>
          <w:numId w:val="1"/>
        </w:numPr>
        <w:tabs>
          <w:tab w:val="left" w:pos="420"/>
          <w:tab w:val="left" w:pos="54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Cs w:val="21"/>
        </w:rPr>
      </w:pPr>
      <w:r>
        <w:rPr>
          <w:rFonts w:hint="eastAsia" w:ascii="宋体" w:hAnsi="宋体" w:eastAsia="宋体" w:cs="宋体"/>
          <w:b/>
          <w:bCs/>
          <w:color w:val="auto"/>
          <w:szCs w:val="21"/>
        </w:rPr>
        <w:t>价格要求</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rPr>
      </w:pPr>
      <w:r>
        <w:rPr>
          <w:rFonts w:hint="eastAsia" w:ascii="宋体" w:hAnsi="宋体" w:cs="宋体"/>
          <w:color w:val="auto"/>
          <w:szCs w:val="21"/>
          <w:lang w:val="en-US" w:eastAsia="zh-CN"/>
        </w:rPr>
        <w:t>项目总费用包括：操作台采购，旧操作台拆除与</w:t>
      </w:r>
      <w:r>
        <w:rPr>
          <w:rFonts w:hint="eastAsia" w:ascii="宋体" w:hAnsi="宋体" w:cs="宋体"/>
          <w:color w:val="auto"/>
          <w:szCs w:val="21"/>
          <w:lang w:eastAsia="zh-CN"/>
        </w:rPr>
        <w:t>安装</w:t>
      </w:r>
      <w:r>
        <w:rPr>
          <w:rFonts w:hint="eastAsia" w:ascii="宋体" w:hAnsi="宋体" w:cs="宋体"/>
          <w:color w:val="auto"/>
          <w:szCs w:val="21"/>
          <w:lang w:val="en-US" w:eastAsia="zh-CN"/>
        </w:rPr>
        <w:t>新操作台</w:t>
      </w:r>
      <w:r>
        <w:rPr>
          <w:rFonts w:hint="eastAsia" w:ascii="宋体" w:hAnsi="宋体" w:cs="宋体"/>
          <w:color w:val="auto"/>
          <w:szCs w:val="21"/>
          <w:lang w:eastAsia="zh-CN"/>
        </w:rPr>
        <w:t>、</w:t>
      </w:r>
      <w:r>
        <w:rPr>
          <w:rFonts w:hint="eastAsia" w:ascii="宋体" w:hAnsi="宋体" w:cs="宋体"/>
          <w:color w:val="auto"/>
          <w:szCs w:val="21"/>
          <w:lang w:val="en-US" w:eastAsia="zh-CN"/>
        </w:rPr>
        <w:t>操作台下线路整理</w:t>
      </w:r>
      <w:r>
        <w:rPr>
          <w:rFonts w:hint="eastAsia" w:ascii="宋体" w:hAnsi="宋体" w:cs="宋体"/>
          <w:color w:val="auto"/>
          <w:szCs w:val="21"/>
          <w:lang w:eastAsia="zh-CN"/>
        </w:rPr>
        <w:t>、</w:t>
      </w:r>
      <w:r>
        <w:rPr>
          <w:rFonts w:hint="eastAsia" w:ascii="宋体" w:hAnsi="宋体" w:cs="宋体"/>
          <w:color w:val="auto"/>
          <w:szCs w:val="21"/>
          <w:lang w:val="en-US" w:eastAsia="zh-CN"/>
        </w:rPr>
        <w:t>配套</w:t>
      </w:r>
      <w:r>
        <w:rPr>
          <w:rFonts w:hint="eastAsia" w:ascii="宋体" w:hAnsi="宋体" w:cs="宋体"/>
          <w:color w:val="auto"/>
          <w:szCs w:val="21"/>
          <w:lang w:eastAsia="zh-CN"/>
        </w:rPr>
        <w:t>零配件、标配工具、运输保险、各项税费及合同实施过程中不可预见费用等</w:t>
      </w:r>
      <w:r>
        <w:rPr>
          <w:rFonts w:hint="eastAsia" w:ascii="宋体" w:hAnsi="宋体" w:eastAsia="宋体" w:cs="宋体"/>
          <w:color w:val="auto"/>
          <w:szCs w:val="21"/>
        </w:rPr>
        <w:t>，采购人不另外支付其他费用。</w:t>
      </w:r>
    </w:p>
    <w:p>
      <w:pPr>
        <w:keepNext w:val="0"/>
        <w:keepLines w:val="0"/>
        <w:pageBreakBefore w:val="0"/>
        <w:widowControl w:val="0"/>
        <w:numPr>
          <w:ilvl w:val="0"/>
          <w:numId w:val="1"/>
        </w:numPr>
        <w:tabs>
          <w:tab w:val="left" w:pos="420"/>
          <w:tab w:val="left" w:pos="54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Cs w:val="21"/>
        </w:rPr>
      </w:pPr>
      <w:r>
        <w:rPr>
          <w:rFonts w:hint="eastAsia" w:ascii="宋体" w:hAnsi="宋体" w:eastAsia="宋体" w:cs="宋体"/>
          <w:b/>
          <w:bCs/>
          <w:color w:val="auto"/>
          <w:szCs w:val="21"/>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一</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本</w:t>
      </w:r>
      <w:r>
        <w:rPr>
          <w:rFonts w:hint="eastAsia" w:asciiTheme="minorEastAsia" w:hAnsiTheme="minorEastAsia" w:eastAsiaTheme="minorEastAsia" w:cstheme="minorEastAsia"/>
          <w:sz w:val="21"/>
          <w:szCs w:val="21"/>
          <w:lang w:val="en-US" w:eastAsia="zh-CN"/>
        </w:rPr>
        <w:t>项目</w:t>
      </w:r>
      <w:r>
        <w:rPr>
          <w:rFonts w:hint="eastAsia" w:asciiTheme="minorEastAsia" w:hAnsiTheme="minorEastAsia" w:eastAsiaTheme="minorEastAsia" w:cstheme="minorEastAsia"/>
          <w:sz w:val="21"/>
          <w:szCs w:val="21"/>
        </w:rPr>
        <w:t>计划分</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 xml:space="preserve">  期支付，具体支付方式和时间如下：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首期款：签订合同后</w:t>
      </w:r>
      <w:bookmarkStart w:id="0" w:name="_Hlk7423949"/>
      <w:r>
        <w:rPr>
          <w:rFonts w:hint="eastAsia" w:asciiTheme="minorEastAsia" w:hAnsiTheme="minorEastAsia" w:eastAsiaTheme="minorEastAsia" w:cstheme="minorEastAsia"/>
          <w:sz w:val="21"/>
          <w:szCs w:val="21"/>
        </w:rPr>
        <w:t>10 个工作日内</w:t>
      </w:r>
      <w:bookmarkEnd w:id="0"/>
      <w:r>
        <w:rPr>
          <w:rFonts w:hint="eastAsia" w:asciiTheme="minorEastAsia" w:hAnsiTheme="minorEastAsia" w:eastAsiaTheme="minorEastAsia" w:cstheme="minorEastAsia"/>
          <w:sz w:val="21"/>
          <w:szCs w:val="21"/>
        </w:rPr>
        <w:t xml:space="preserve">，乙方书面提出支付申请函及拟支付金额等额的符合甲方财务管理要求的相应发票，甲方确认后启动首期款支付流程，占合同总金额的 </w:t>
      </w:r>
      <w:r>
        <w:rPr>
          <w:rFonts w:hint="eastAsia" w:asciiTheme="minorEastAsia" w:hAnsiTheme="minorEastAsia" w:eastAsiaTheme="minorEastAsia" w:cstheme="minorEastAsia"/>
          <w:sz w:val="21"/>
          <w:szCs w:val="21"/>
          <w:lang w:val="en-US" w:eastAsia="zh-CN"/>
        </w:rPr>
        <w:t>40</w:t>
      </w:r>
      <w:r>
        <w:rPr>
          <w:rFonts w:hint="eastAsia" w:asciiTheme="minorEastAsia" w:hAnsiTheme="minorEastAsia" w:eastAsiaTheme="minorEastAsia" w:cstheme="minorEastAsia"/>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s="宋体" w:eastAsiaTheme="minorEastAsia"/>
          <w:color w:val="auto"/>
          <w:szCs w:val="21"/>
          <w:lang w:eastAsia="zh-CN"/>
        </w:rPr>
      </w:pPr>
      <w:r>
        <w:rPr>
          <w:rFonts w:hint="eastAsia" w:asciiTheme="minorEastAsia" w:hAnsiTheme="minorEastAsia" w:eastAsiaTheme="minorEastAsia" w:cstheme="minorEastAsia"/>
          <w:sz w:val="21"/>
          <w:szCs w:val="21"/>
        </w:rPr>
        <w:t>尾款：</w:t>
      </w:r>
      <w:r>
        <w:rPr>
          <w:rFonts w:hint="eastAsia" w:asciiTheme="minorEastAsia" w:hAnsiTheme="minorEastAsia" w:eastAsiaTheme="minorEastAsia" w:cstheme="minorEastAsia"/>
          <w:sz w:val="21"/>
          <w:szCs w:val="21"/>
          <w:lang w:val="en-US" w:eastAsia="zh-CN"/>
        </w:rPr>
        <w:t>按合同规定，完成合同内容并通过</w:t>
      </w:r>
      <w:r>
        <w:rPr>
          <w:rFonts w:hint="eastAsia" w:asciiTheme="minorEastAsia" w:hAnsiTheme="minorEastAsia" w:eastAsiaTheme="minorEastAsia" w:cstheme="minorEastAsia"/>
          <w:sz w:val="21"/>
          <w:szCs w:val="21"/>
        </w:rPr>
        <w:t>验收后 10 个工作日内，乙方书面提出支付申请函及拟支付金额等额的符合甲方财务管理要求的相应发票，甲方确认后启动尾款支付流程，占合同总金额的</w:t>
      </w:r>
      <w:r>
        <w:rPr>
          <w:rFonts w:hint="eastAsia" w:asciiTheme="minorEastAsia" w:hAnsiTheme="minorEastAsia" w:eastAsiaTheme="minorEastAsia" w:cstheme="minorEastAsia"/>
          <w:sz w:val="21"/>
          <w:szCs w:val="21"/>
          <w:lang w:val="en-US" w:eastAsia="zh-CN"/>
        </w:rPr>
        <w:t>60</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numPr>
          <w:ilvl w:val="0"/>
          <w:numId w:val="1"/>
        </w:numPr>
        <w:tabs>
          <w:tab w:val="left" w:pos="420"/>
          <w:tab w:val="left" w:pos="54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Cs w:val="21"/>
        </w:rPr>
      </w:pPr>
      <w:r>
        <w:rPr>
          <w:rFonts w:hint="eastAsia" w:ascii="宋体" w:hAnsi="宋体" w:eastAsia="宋体" w:cs="宋体"/>
          <w:b/>
          <w:bCs/>
          <w:color w:val="auto"/>
          <w:szCs w:val="21"/>
        </w:rPr>
        <w:t>质保期及售后服务要求</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本</w:t>
      </w:r>
      <w:r>
        <w:rPr>
          <w:rFonts w:hint="eastAsia" w:ascii="宋体" w:hAnsi="宋体" w:cs="宋体"/>
          <w:color w:val="auto"/>
          <w:szCs w:val="21"/>
          <w:lang w:val="en-US" w:eastAsia="zh-CN"/>
        </w:rPr>
        <w:t>项目</w:t>
      </w:r>
      <w:r>
        <w:rPr>
          <w:rFonts w:hint="eastAsia" w:ascii="宋体" w:hAnsi="宋体" w:eastAsia="宋体" w:cs="宋体"/>
          <w:color w:val="auto"/>
          <w:szCs w:val="21"/>
        </w:rPr>
        <w:t xml:space="preserve">的质量保证期（简称“质保期”）为 </w:t>
      </w:r>
      <w:r>
        <w:rPr>
          <w:rFonts w:hint="eastAsia" w:ascii="宋体" w:hAnsi="宋体" w:cs="宋体"/>
          <w:color w:val="auto"/>
          <w:szCs w:val="21"/>
          <w:lang w:val="en-US" w:eastAsia="zh-CN"/>
        </w:rPr>
        <w:t>12</w:t>
      </w:r>
      <w:r>
        <w:rPr>
          <w:rFonts w:hint="eastAsia" w:ascii="宋体" w:hAnsi="宋体" w:eastAsia="宋体" w:cs="宋体"/>
          <w:color w:val="auto"/>
          <w:szCs w:val="21"/>
        </w:rPr>
        <w:t>个月，质保期自货物最终验收合格之日起算。</w:t>
      </w:r>
    </w:p>
    <w:p>
      <w:pPr>
        <w:keepNext w:val="0"/>
        <w:keepLines w:val="0"/>
        <w:pageBreakBefore w:val="0"/>
        <w:widowControl w:val="0"/>
        <w:numPr>
          <w:ilvl w:val="0"/>
          <w:numId w:val="1"/>
        </w:numPr>
        <w:tabs>
          <w:tab w:val="left" w:pos="420"/>
          <w:tab w:val="left" w:pos="54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Cs w:val="21"/>
        </w:rPr>
      </w:pPr>
      <w:r>
        <w:rPr>
          <w:rFonts w:hint="eastAsia" w:ascii="宋体" w:hAnsi="宋体" w:eastAsia="宋体" w:cs="宋体"/>
          <w:b/>
          <w:bCs/>
          <w:color w:val="auto"/>
          <w:szCs w:val="21"/>
        </w:rPr>
        <w:t>外来人员进出监管区须知</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由于监狱工作的特殊性，成交供应商应认真教育本单位工作人员严格遵守监狱的相关管理规定，因上级和本单位安全管理需要，以下规定会根据实际情况进行调整和完善，以最新规定为准。</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（一）外来人员应遵守法律法规，不得假冒监狱名义从事有损监狱形象的行为。</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（二）外来人员进入监管区应提高警惕，注意人身安全保护，加强自我防范意识；自觉与服刑人员划清界线，防止被服刑人员利用。</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（三）外来人员进入监管区应衣着整齐，举止文明；女士不得入内施工。</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（四）凡需进入监管区的外来人员应由合作方开具委派证明和身份证明原件，向狱方提出申请，经核准后办理相关手续。</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（五）外来车辆应凭审批手续并由监狱警察带领或监狱指定人员驾驶，方可进出监管区大门。</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（六）所有进出监管区大门的人员、车辆和物品应接受监门警察和其它管理人员的检查，凭通行证件或经监狱审批的手续，人证相符、手续齐全方可进出监管区大门。</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七）外来人员进出监管区大门应遵守《广东省监狱监管区大门管理规定(试行)》。凭有效身份证件办理《外来人员通行证》或《外来人员临时通行证》，由监狱相关部门警察带入带出，并接受其它管理人员和值班警察的检查管理。</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八）外来人员不得携带管控物品（包括：1、武器弹药、刀具、利器；2、放射物、剧毒物品和麻醉物、毒品；3、爆炸物品、易燃易爆物品和腐蚀性物品；4、打火机、火柴等明火源；5、绳索、攀援器械、工程维修工具等；6、录音录像照相器材、通讯工具、计算机、多媒体等电子产品；7、其他可能影响监管安全的物品）进入监管区，进入监管区时应按规定将移动电话等物品保管在贮物箱。</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（九）外来人员进入监管区大门后，应将《外来人员通行证》或《外来人员临时通行证》挂于胸前，并妥善保管。</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（十）外来人员在监管区内应遵守监狱的下列规定：</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1、不得擅自与服刑人员接触，与服刑人员认老乡、攀亲结友；</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2、不得为服刑人员携带现金、酒类、熟食类物品或传带、保管任何物品；</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3、不得为服刑人员邮寄信件、捎口信或替服刑人员打电话；不准带手机进入监管区；</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4、不得在监管区拍照、摄像或录音；</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5、不得在监管区内随意走动，非经许可不得进入监舍区；</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6、不得向无关人员谈及监狱工作秘密，或从事其它有碍监管安全的行为。</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（十一）外来车辆应按指定位置停放并熄火，拔下钥匙，锁紧车门窗。所有车辆在当天上午11:30、下午17:30时前应驶离监管区。</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（十二）外来人员若违反本管理规定，监狱将责成成交供应商将其解聘、辞退或调离，情节严重的将与成交供应商方解除合同，有违法行为的送司法机关处理。</w:t>
      </w:r>
    </w:p>
    <w:p>
      <w:pPr>
        <w:keepNext w:val="0"/>
        <w:keepLines w:val="0"/>
        <w:pageBreakBefore w:val="0"/>
        <w:widowControl w:val="0"/>
        <w:numPr>
          <w:ilvl w:val="0"/>
          <w:numId w:val="1"/>
        </w:numPr>
        <w:tabs>
          <w:tab w:val="left" w:pos="420"/>
          <w:tab w:val="left" w:pos="54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Cs w:val="21"/>
        </w:rPr>
      </w:pPr>
      <w:r>
        <w:rPr>
          <w:rFonts w:hint="eastAsia" w:ascii="宋体" w:hAnsi="宋体" w:eastAsia="宋体" w:cs="宋体"/>
          <w:b/>
          <w:bCs/>
          <w:color w:val="auto"/>
          <w:szCs w:val="21"/>
        </w:rPr>
        <w:t>违约责任与赔偿损失</w:t>
      </w:r>
    </w:p>
    <w:p>
      <w:pPr>
        <w:pStyle w:val="18"/>
        <w:keepNext w:val="0"/>
        <w:keepLines w:val="0"/>
        <w:pageBreakBefore w:val="0"/>
        <w:widowControl/>
        <w:numPr>
          <w:ilvl w:val="0"/>
          <w:numId w:val="3"/>
        </w:numPr>
        <w:kinsoku/>
        <w:wordWrap/>
        <w:overflowPunct/>
        <w:topLinePunct w:val="0"/>
        <w:autoSpaceDE/>
        <w:autoSpaceDN/>
        <w:bidi w:val="0"/>
        <w:adjustRightInd/>
        <w:snapToGrid/>
        <w:spacing w:line="360" w:lineRule="auto"/>
        <w:ind w:left="0" w:firstLine="420" w:firstLineChars="0"/>
        <w:textAlignment w:val="auto"/>
        <w:rPr>
          <w:rFonts w:hint="eastAsia" w:ascii="宋体" w:hAnsi="宋体" w:eastAsia="宋体" w:cs="宋体"/>
          <w:color w:val="auto"/>
          <w:szCs w:val="21"/>
        </w:rPr>
      </w:pPr>
      <w:r>
        <w:rPr>
          <w:rFonts w:hint="eastAsia" w:ascii="宋体" w:hAnsi="宋体" w:eastAsia="宋体" w:cs="宋体"/>
          <w:color w:val="auto"/>
          <w:sz w:val="21"/>
          <w:szCs w:val="21"/>
          <w:lang w:val="en-US" w:eastAsia="zh-CN" w:bidi="ar-SA"/>
        </w:rPr>
        <w:t>成交供应商交付的货物或</w:t>
      </w:r>
      <w:r>
        <w:rPr>
          <w:rFonts w:hint="eastAsia" w:ascii="宋体" w:hAnsi="宋体" w:eastAsia="宋体" w:cs="宋体"/>
          <w:color w:val="auto"/>
          <w:szCs w:val="21"/>
        </w:rPr>
        <w:t>提供的服务不符合合同规定的，采购人有权拒收，并且</w:t>
      </w:r>
      <w:r>
        <w:rPr>
          <w:rFonts w:hint="eastAsia" w:ascii="宋体" w:hAnsi="宋体" w:eastAsia="宋体" w:cs="宋体"/>
          <w:color w:val="auto"/>
          <w:szCs w:val="21"/>
          <w:lang w:eastAsia="zh-CN"/>
        </w:rPr>
        <w:t>成交供应商</w:t>
      </w:r>
      <w:r>
        <w:rPr>
          <w:rFonts w:hint="eastAsia" w:ascii="宋体" w:hAnsi="宋体" w:eastAsia="宋体" w:cs="宋体"/>
          <w:color w:val="auto"/>
          <w:szCs w:val="21"/>
        </w:rPr>
        <w:t>须向采购人支付合同总价5%的违约金。</w:t>
      </w:r>
    </w:p>
    <w:p>
      <w:pPr>
        <w:pStyle w:val="18"/>
        <w:keepNext w:val="0"/>
        <w:keepLines w:val="0"/>
        <w:pageBreakBefore w:val="0"/>
        <w:widowControl/>
        <w:numPr>
          <w:ilvl w:val="0"/>
          <w:numId w:val="3"/>
        </w:numPr>
        <w:kinsoku/>
        <w:wordWrap/>
        <w:overflowPunct/>
        <w:topLinePunct w:val="0"/>
        <w:autoSpaceDE/>
        <w:autoSpaceDN/>
        <w:bidi w:val="0"/>
        <w:adjustRightInd/>
        <w:snapToGrid/>
        <w:spacing w:line="360" w:lineRule="auto"/>
        <w:ind w:left="0" w:firstLine="420" w:firstLineChars="0"/>
        <w:textAlignment w:val="auto"/>
        <w:rPr>
          <w:rFonts w:hint="eastAsia" w:ascii="宋体" w:hAnsi="宋体" w:eastAsia="宋体" w:cs="宋体"/>
          <w:color w:val="auto"/>
          <w:szCs w:val="21"/>
        </w:rPr>
      </w:pPr>
      <w:r>
        <w:rPr>
          <w:rFonts w:hint="eastAsia" w:ascii="宋体" w:hAnsi="宋体" w:eastAsia="宋体" w:cs="宋体"/>
          <w:color w:val="auto"/>
          <w:szCs w:val="21"/>
          <w:lang w:eastAsia="zh-CN"/>
        </w:rPr>
        <w:t>成交供应商</w:t>
      </w:r>
      <w:r>
        <w:rPr>
          <w:rFonts w:hint="eastAsia" w:ascii="宋体" w:hAnsi="宋体" w:eastAsia="宋体" w:cs="宋体"/>
          <w:color w:val="auto"/>
          <w:szCs w:val="21"/>
        </w:rPr>
        <w:t>未能按本合同规定时间</w:t>
      </w:r>
      <w:r>
        <w:rPr>
          <w:rFonts w:hint="eastAsia" w:ascii="宋体" w:hAnsi="宋体" w:cs="宋体"/>
          <w:color w:val="auto"/>
          <w:szCs w:val="21"/>
          <w:lang w:val="en-US" w:eastAsia="zh-CN"/>
        </w:rPr>
        <w:t>完成项目内容</w:t>
      </w:r>
      <w:r>
        <w:rPr>
          <w:rFonts w:hint="eastAsia" w:ascii="宋体" w:hAnsi="宋体" w:eastAsia="宋体" w:cs="宋体"/>
          <w:color w:val="auto"/>
          <w:szCs w:val="21"/>
        </w:rPr>
        <w:t>，从逾期之日起每日按本合同总价3‰的数额向采购人支付违约金；逾期10天以上（含10天）的，采购人有权终止合同，要求</w:t>
      </w:r>
      <w:r>
        <w:rPr>
          <w:rFonts w:hint="eastAsia" w:ascii="宋体" w:hAnsi="宋体" w:eastAsia="宋体" w:cs="宋体"/>
          <w:color w:val="auto"/>
          <w:szCs w:val="21"/>
          <w:lang w:eastAsia="zh-CN"/>
        </w:rPr>
        <w:t>成交供应商</w:t>
      </w:r>
      <w:r>
        <w:rPr>
          <w:rFonts w:hint="eastAsia" w:ascii="宋体" w:hAnsi="宋体" w:eastAsia="宋体" w:cs="宋体"/>
          <w:color w:val="auto"/>
          <w:szCs w:val="21"/>
        </w:rPr>
        <w:t>支付违约金，并且给采购人造成的经济损失由</w:t>
      </w:r>
      <w:r>
        <w:rPr>
          <w:rFonts w:hint="eastAsia" w:ascii="宋体" w:hAnsi="宋体" w:eastAsia="宋体" w:cs="宋体"/>
          <w:color w:val="auto"/>
          <w:szCs w:val="21"/>
          <w:lang w:eastAsia="zh-CN"/>
        </w:rPr>
        <w:t>成交供应商</w:t>
      </w:r>
      <w:r>
        <w:rPr>
          <w:rFonts w:hint="eastAsia" w:ascii="宋体" w:hAnsi="宋体" w:eastAsia="宋体" w:cs="宋体"/>
          <w:color w:val="auto"/>
          <w:szCs w:val="21"/>
        </w:rPr>
        <w:t>承担赔偿责任。</w:t>
      </w:r>
    </w:p>
    <w:p>
      <w:pPr>
        <w:pStyle w:val="18"/>
        <w:keepNext w:val="0"/>
        <w:keepLines w:val="0"/>
        <w:pageBreakBefore w:val="0"/>
        <w:widowControl/>
        <w:numPr>
          <w:ilvl w:val="0"/>
          <w:numId w:val="3"/>
        </w:numPr>
        <w:kinsoku/>
        <w:wordWrap/>
        <w:overflowPunct/>
        <w:topLinePunct w:val="0"/>
        <w:autoSpaceDE/>
        <w:autoSpaceDN/>
        <w:bidi w:val="0"/>
        <w:adjustRightInd/>
        <w:snapToGrid/>
        <w:spacing w:line="360" w:lineRule="auto"/>
        <w:ind w:left="0" w:firstLine="420" w:firstLineChars="0"/>
        <w:textAlignment w:val="auto"/>
        <w:rPr>
          <w:rFonts w:hint="eastAsia" w:ascii="宋体" w:hAnsi="宋体" w:eastAsia="宋体" w:cs="宋体"/>
          <w:color w:val="auto"/>
          <w:szCs w:val="21"/>
        </w:rPr>
      </w:pPr>
      <w:r>
        <w:rPr>
          <w:rFonts w:hint="eastAsia" w:ascii="宋体" w:hAnsi="宋体" w:eastAsia="宋体" w:cs="宋体"/>
          <w:color w:val="auto"/>
          <w:szCs w:val="21"/>
        </w:rPr>
        <w:t>合同期内采购人和</w:t>
      </w:r>
      <w:r>
        <w:rPr>
          <w:rFonts w:hint="eastAsia" w:ascii="宋体" w:hAnsi="宋体" w:eastAsia="宋体" w:cs="宋体"/>
          <w:color w:val="auto"/>
          <w:szCs w:val="21"/>
          <w:lang w:eastAsia="zh-CN"/>
        </w:rPr>
        <w:t>成交供应商</w:t>
      </w:r>
      <w:r>
        <w:rPr>
          <w:rFonts w:hint="eastAsia" w:ascii="宋体" w:hAnsi="宋体" w:eastAsia="宋体" w:cs="宋体"/>
          <w:color w:val="auto"/>
          <w:szCs w:val="21"/>
        </w:rPr>
        <w:t xml:space="preserve">双方无正当理由终止合同的，违约方须向守约方支付合同总额 </w:t>
      </w:r>
      <w:r>
        <w:rPr>
          <w:rFonts w:hint="eastAsia" w:ascii="宋体" w:hAnsi="宋体" w:cs="宋体"/>
          <w:color w:val="auto"/>
          <w:szCs w:val="21"/>
          <w:lang w:val="en-US" w:eastAsia="zh-CN"/>
        </w:rPr>
        <w:t>10</w:t>
      </w:r>
      <w:r>
        <w:rPr>
          <w:rFonts w:hint="eastAsia" w:ascii="宋体" w:hAnsi="宋体" w:eastAsia="宋体" w:cs="宋体"/>
          <w:color w:val="auto"/>
          <w:szCs w:val="21"/>
        </w:rPr>
        <w:t>%的违约金，并返还采购人已支付款项，违约金不足以弥补守约方所受损失的，守约方有权进一步追偿。若采购人解除合同后，</w:t>
      </w:r>
      <w:r>
        <w:rPr>
          <w:rFonts w:hint="eastAsia" w:ascii="宋体" w:hAnsi="宋体" w:eastAsia="宋体" w:cs="宋体"/>
          <w:color w:val="auto"/>
          <w:szCs w:val="21"/>
          <w:lang w:eastAsia="zh-CN"/>
        </w:rPr>
        <w:t>成交供应商</w:t>
      </w:r>
      <w:r>
        <w:rPr>
          <w:rFonts w:hint="eastAsia" w:ascii="宋体" w:hAnsi="宋体" w:eastAsia="宋体" w:cs="宋体"/>
          <w:color w:val="auto"/>
          <w:szCs w:val="21"/>
        </w:rPr>
        <w:t>须在接到采购人解约通知之日起 10 天内退回采购人已支付的价款。</w:t>
      </w:r>
    </w:p>
    <w:p>
      <w:pPr>
        <w:keepNext w:val="0"/>
        <w:keepLines w:val="0"/>
        <w:pageBreakBefore w:val="0"/>
        <w:widowControl w:val="0"/>
        <w:numPr>
          <w:ilvl w:val="0"/>
          <w:numId w:val="1"/>
        </w:numPr>
        <w:tabs>
          <w:tab w:val="left" w:pos="420"/>
          <w:tab w:val="left" w:pos="54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Cs w:val="21"/>
        </w:rPr>
      </w:pPr>
      <w:r>
        <w:rPr>
          <w:rFonts w:hint="eastAsia" w:ascii="宋体" w:hAnsi="宋体" w:eastAsia="宋体" w:cs="宋体"/>
          <w:b/>
          <w:bCs/>
          <w:color w:val="auto"/>
          <w:szCs w:val="21"/>
        </w:rPr>
        <w:t>争议的解决</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本合同发生争议，由双方协商或调解解决，协商或调解不成时，向有采购人所在地具有管辖权的人民法院提起诉讼。（在仲裁或诉讼期间，除有争议部分的事项外，合同其他部分仍应继续履行。）</w:t>
      </w:r>
    </w:p>
    <w:p>
      <w:pPr>
        <w:keepNext w:val="0"/>
        <w:keepLines w:val="0"/>
        <w:pageBreakBefore w:val="0"/>
        <w:widowControl w:val="0"/>
        <w:numPr>
          <w:ilvl w:val="0"/>
          <w:numId w:val="1"/>
        </w:numPr>
        <w:tabs>
          <w:tab w:val="left" w:pos="420"/>
          <w:tab w:val="left" w:pos="54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Cs w:val="21"/>
        </w:rPr>
      </w:pPr>
      <w:r>
        <w:rPr>
          <w:rFonts w:hint="eastAsia" w:ascii="宋体" w:hAnsi="宋体" w:eastAsia="宋体" w:cs="宋体"/>
          <w:b/>
          <w:bCs/>
          <w:color w:val="auto"/>
          <w:szCs w:val="21"/>
        </w:rPr>
        <w:t>不可抗力</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Cs w:val="21"/>
          <w:lang w:val="zh-CN"/>
        </w:rPr>
      </w:pPr>
      <w:r>
        <w:rPr>
          <w:rFonts w:hint="eastAsia" w:ascii="宋体" w:hAnsi="宋体" w:eastAsia="宋体" w:cs="宋体"/>
          <w:color w:val="auto"/>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w:t>
      </w:r>
      <w:r>
        <w:rPr>
          <w:rFonts w:hint="eastAsia" w:ascii="宋体" w:hAnsi="宋体" w:eastAsia="宋体" w:cs="宋体"/>
          <w:color w:val="auto"/>
          <w:szCs w:val="21"/>
          <w:lang w:val="zh-CN"/>
        </w:rPr>
        <w:t>部分或全部免于承担违约责任。</w:t>
      </w:r>
    </w:p>
    <w:p>
      <w:pPr>
        <w:pStyle w:val="2"/>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tabs>
          <w:tab w:val="left" w:pos="247"/>
        </w:tabs>
        <w:bidi w:val="0"/>
        <w:jc w:val="left"/>
        <w:rPr>
          <w:rFonts w:hint="eastAsia"/>
          <w:lang w:eastAsia="zh-CN"/>
        </w:rPr>
      </w:pPr>
      <w:r>
        <w:rPr>
          <w:rFonts w:hint="eastAsia"/>
          <w:lang w:eastAsia="zh-CN"/>
        </w:rPr>
        <w:tab/>
      </w:r>
    </w:p>
    <w:p>
      <w:pPr>
        <w:pStyle w:val="2"/>
        <w:rPr>
          <w:rFonts w:hint="default"/>
          <w:b/>
          <w:bCs/>
          <w:sz w:val="40"/>
          <w:szCs w:val="40"/>
          <w:lang w:val="en-US" w:eastAsia="zh-CN"/>
        </w:rPr>
      </w:pPr>
      <w:r>
        <w:rPr>
          <w:rFonts w:hint="eastAsia"/>
          <w:b/>
          <w:bCs/>
          <w:sz w:val="40"/>
          <w:szCs w:val="40"/>
          <w:lang w:val="en-US" w:eastAsia="zh-CN"/>
        </w:rPr>
        <w:t>图纸展示</w:t>
      </w:r>
    </w:p>
    <w:p>
      <w:pPr>
        <w:pStyle w:val="2"/>
        <w:ind w:left="0" w:leftChars="0" w:firstLine="0" w:firstLineChars="0"/>
        <w:rPr>
          <w:rFonts w:hint="eastAsia" w:ascii="宋体" w:hAnsi="宋体" w:eastAsia="宋体" w:cs="宋体"/>
          <w:color w:val="auto"/>
          <w:szCs w:val="21"/>
          <w:lang w:val="zh-CN"/>
        </w:rPr>
      </w:pPr>
      <w:r>
        <w:rPr>
          <w:rFonts w:hint="eastAsia" w:ascii="宋体" w:hAnsi="宋体" w:eastAsia="宋体" w:cs="宋体"/>
          <w:color w:val="auto"/>
          <w:szCs w:val="21"/>
          <w:lang w:val="zh-CN"/>
        </w:rPr>
        <w:drawing>
          <wp:inline distT="0" distB="0" distL="114300" distR="114300">
            <wp:extent cx="6115685" cy="8164830"/>
            <wp:effectExtent l="0" t="0" r="18415" b="7620"/>
            <wp:docPr id="1" name="图片 1" descr="左操作台图（3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左操作台图（3套）"/>
                    <pic:cNvPicPr>
                      <a:picLocks noChangeAspect="1"/>
                    </pic:cNvPicPr>
                  </pic:nvPicPr>
                  <pic:blipFill>
                    <a:blip r:embed="rId5"/>
                    <a:stretch>
                      <a:fillRect/>
                    </a:stretch>
                  </pic:blipFill>
                  <pic:spPr>
                    <a:xfrm>
                      <a:off x="0" y="0"/>
                      <a:ext cx="6115685" cy="8164830"/>
                    </a:xfrm>
                    <a:prstGeom prst="rect">
                      <a:avLst/>
                    </a:prstGeom>
                  </pic:spPr>
                </pic:pic>
              </a:graphicData>
            </a:graphic>
          </wp:inline>
        </w:drawing>
      </w:r>
    </w:p>
    <w:p>
      <w:pPr>
        <w:pStyle w:val="2"/>
        <w:rPr>
          <w:rFonts w:hint="eastAsia" w:ascii="宋体" w:hAnsi="宋体" w:eastAsia="宋体" w:cs="宋体"/>
          <w:color w:val="auto"/>
          <w:szCs w:val="21"/>
          <w:lang w:val="zh-CN"/>
        </w:rPr>
      </w:pPr>
      <w:r>
        <w:rPr>
          <w:rFonts w:hint="eastAsia" w:ascii="宋体" w:hAnsi="宋体" w:eastAsia="宋体" w:cs="宋体"/>
          <w:color w:val="auto"/>
          <w:szCs w:val="21"/>
          <w:lang w:val="zh-CN"/>
        </w:rPr>
        <w:drawing>
          <wp:inline distT="0" distB="0" distL="114300" distR="114300">
            <wp:extent cx="6115685" cy="8032115"/>
            <wp:effectExtent l="0" t="0" r="18415" b="6985"/>
            <wp:docPr id="2" name="图片 2" descr="右操作台图（4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右操作台图（4套）"/>
                    <pic:cNvPicPr>
                      <a:picLocks noChangeAspect="1"/>
                    </pic:cNvPicPr>
                  </pic:nvPicPr>
                  <pic:blipFill>
                    <a:blip r:embed="rId6"/>
                    <a:stretch>
                      <a:fillRect/>
                    </a:stretch>
                  </pic:blipFill>
                  <pic:spPr>
                    <a:xfrm>
                      <a:off x="0" y="0"/>
                      <a:ext cx="6115685" cy="8032115"/>
                    </a:xfrm>
                    <a:prstGeom prst="rect">
                      <a:avLst/>
                    </a:prstGeom>
                  </pic:spPr>
                </pic:pic>
              </a:graphicData>
            </a:graphic>
          </wp:inline>
        </w:drawing>
      </w:r>
    </w:p>
    <w:p>
      <w:pPr>
        <w:pStyle w:val="2"/>
        <w:rPr>
          <w:rFonts w:hint="eastAsia" w:ascii="宋体" w:hAnsi="宋体" w:eastAsia="宋体" w:cs="宋体"/>
          <w:color w:val="auto"/>
          <w:szCs w:val="21"/>
          <w:lang w:val="zh-CN"/>
        </w:rPr>
      </w:pPr>
    </w:p>
    <w:p>
      <w:pPr>
        <w:pStyle w:val="2"/>
        <w:rPr>
          <w:rFonts w:hint="eastAsia" w:ascii="宋体" w:hAnsi="宋体" w:eastAsia="宋体" w:cs="宋体"/>
          <w:color w:val="auto"/>
          <w:szCs w:val="21"/>
          <w:lang w:val="zh-CN"/>
        </w:rPr>
      </w:pPr>
    </w:p>
    <w:p>
      <w:pPr>
        <w:ind w:left="0" w:leftChars="0" w:firstLine="0" w:firstLineChars="0"/>
      </w:pPr>
    </w:p>
    <w:sectPr>
      <w:footerReference r:id="rId3"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auto"/>
    <w:pitch w:val="default"/>
    <w:sig w:usb0="E00006FF" w:usb1="0000FCFF" w:usb2="00000001" w:usb3="00000000" w:csb0="6000019F" w:csb1="DFD7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4</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8A105D"/>
    <w:multiLevelType w:val="singleLevel"/>
    <w:tmpl w:val="958A105D"/>
    <w:lvl w:ilvl="0" w:tentative="0">
      <w:start w:val="1"/>
      <w:numFmt w:val="chineseCounting"/>
      <w:suff w:val="nothing"/>
      <w:lvlText w:val="%1、"/>
      <w:lvlJc w:val="left"/>
      <w:pPr>
        <w:ind w:left="210" w:firstLine="420"/>
      </w:pPr>
      <w:rPr>
        <w:rFonts w:hint="eastAsia" w:ascii="宋体" w:hAnsi="宋体" w:eastAsia="宋体" w:cs="宋体"/>
        <w:b/>
        <w:bCs/>
        <w:sz w:val="21"/>
        <w:szCs w:val="21"/>
      </w:rPr>
    </w:lvl>
  </w:abstractNum>
  <w:abstractNum w:abstractNumId="1">
    <w:nsid w:val="00000012"/>
    <w:multiLevelType w:val="multilevel"/>
    <w:tmpl w:val="00000012"/>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08B3721"/>
    <w:multiLevelType w:val="singleLevel"/>
    <w:tmpl w:val="708B3721"/>
    <w:lvl w:ilvl="0" w:tentative="0">
      <w:start w:val="1"/>
      <w:numFmt w:val="decimal"/>
      <w:lvlText w:val="%1."/>
      <w:lvlJc w:val="left"/>
      <w:pPr>
        <w:tabs>
          <w:tab w:val="left" w:pos="420"/>
        </w:tabs>
        <w:ind w:left="84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DD41FD"/>
    <w:rsid w:val="60A20017"/>
    <w:rsid w:val="6AD96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 w:lineRule="auto"/>
      <w:ind w:firstLine="482"/>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1"/>
    </w:rPr>
  </w:style>
  <w:style w:type="paragraph" w:styleId="3">
    <w:name w:val="Plain Text"/>
    <w:basedOn w:val="1"/>
    <w:qFormat/>
    <w:uiPriority w:val="99"/>
    <w:pPr>
      <w:spacing w:line="240" w:lineRule="auto"/>
      <w:ind w:firstLine="0"/>
    </w:pPr>
    <w:rPr>
      <w:rFonts w:ascii="宋体" w:hAnsi="Courier New"/>
      <w:kern w:val="0"/>
      <w:sz w:val="20"/>
      <w:szCs w:val="21"/>
    </w:rPr>
  </w:style>
  <w:style w:type="paragraph" w:styleId="4">
    <w:name w:val="footer"/>
    <w:basedOn w:val="1"/>
    <w:qFormat/>
    <w:uiPriority w:val="0"/>
    <w:pPr>
      <w:tabs>
        <w:tab w:val="center" w:pos="4153"/>
        <w:tab w:val="right" w:pos="8306"/>
      </w:tabs>
      <w:snapToGrid w:val="0"/>
      <w:spacing w:line="240" w:lineRule="auto"/>
      <w:jc w:val="left"/>
    </w:pPr>
    <w:rPr>
      <w:sz w:val="18"/>
      <w:szCs w:val="18"/>
    </w:rPr>
  </w:style>
  <w:style w:type="character" w:styleId="6">
    <w:name w:val="Strong"/>
    <w:basedOn w:val="5"/>
    <w:qFormat/>
    <w:uiPriority w:val="0"/>
    <w:rPr>
      <w:b/>
    </w:rPr>
  </w:style>
  <w:style w:type="character" w:styleId="7">
    <w:name w:val="FollowedHyperlink"/>
    <w:basedOn w:val="5"/>
    <w:uiPriority w:val="0"/>
    <w:rPr>
      <w:color w:val="4293F4"/>
      <w:u w:val="none"/>
    </w:rPr>
  </w:style>
  <w:style w:type="character" w:styleId="8">
    <w:name w:val="Emphasis"/>
    <w:basedOn w:val="5"/>
    <w:qFormat/>
    <w:uiPriority w:val="0"/>
    <w:rPr>
      <w:i/>
    </w:rPr>
  </w:style>
  <w:style w:type="character" w:styleId="9">
    <w:name w:val="HTML Definition"/>
    <w:basedOn w:val="5"/>
    <w:uiPriority w:val="0"/>
    <w:rPr>
      <w:i/>
    </w:rPr>
  </w:style>
  <w:style w:type="character" w:styleId="10">
    <w:name w:val="HTML Acronym"/>
    <w:basedOn w:val="5"/>
    <w:uiPriority w:val="0"/>
    <w:rPr>
      <w:bdr w:val="none" w:color="auto" w:sz="0" w:space="0"/>
    </w:rPr>
  </w:style>
  <w:style w:type="character" w:styleId="11">
    <w:name w:val="HTML Variable"/>
    <w:basedOn w:val="5"/>
    <w:uiPriority w:val="0"/>
    <w:rPr>
      <w:i/>
    </w:rPr>
  </w:style>
  <w:style w:type="character" w:styleId="12">
    <w:name w:val="Hyperlink"/>
    <w:basedOn w:val="5"/>
    <w:uiPriority w:val="0"/>
    <w:rPr>
      <w:color w:val="4293F4"/>
      <w:u w:val="none"/>
    </w:rPr>
  </w:style>
  <w:style w:type="character" w:styleId="13">
    <w:name w:val="HTML Code"/>
    <w:basedOn w:val="5"/>
    <w:uiPriority w:val="0"/>
    <w:rPr>
      <w:rFonts w:hint="default" w:ascii="Consolas" w:hAnsi="Consolas" w:eastAsia="Consolas" w:cs="Consolas"/>
      <w:color w:val="C7254E"/>
      <w:sz w:val="21"/>
      <w:szCs w:val="21"/>
      <w:bdr w:val="none" w:color="auto" w:sz="0" w:space="0"/>
      <w:shd w:val="clear" w:fill="F9F2F4"/>
    </w:rPr>
  </w:style>
  <w:style w:type="character" w:styleId="14">
    <w:name w:val="HTML Cite"/>
    <w:basedOn w:val="5"/>
    <w:uiPriority w:val="0"/>
    <w:rPr>
      <w:i/>
    </w:rPr>
  </w:style>
  <w:style w:type="character" w:styleId="15">
    <w:name w:val="HTML Keyboard"/>
    <w:basedOn w:val="5"/>
    <w:uiPriority w:val="0"/>
    <w:rPr>
      <w:rFonts w:ascii="Consolas" w:hAnsi="Consolas" w:eastAsia="Consolas" w:cs="Consolas"/>
      <w:color w:val="FFFFFF"/>
      <w:sz w:val="21"/>
      <w:szCs w:val="21"/>
      <w:bdr w:val="none" w:color="auto" w:sz="0" w:space="0"/>
      <w:shd w:val="clear" w:fill="333333"/>
    </w:rPr>
  </w:style>
  <w:style w:type="character" w:styleId="16">
    <w:name w:val="HTML Sample"/>
    <w:basedOn w:val="5"/>
    <w:uiPriority w:val="0"/>
    <w:rPr>
      <w:rFonts w:hint="default" w:ascii="Consolas" w:hAnsi="Consolas" w:eastAsia="Consolas" w:cs="Consolas"/>
      <w:sz w:val="21"/>
      <w:szCs w:val="21"/>
    </w:rPr>
  </w:style>
  <w:style w:type="paragraph" w:styleId="18">
    <w:name w:val="List Paragraph"/>
    <w:basedOn w:val="1"/>
    <w:qFormat/>
    <w:uiPriority w:val="99"/>
    <w:pPr>
      <w:ind w:firstLine="420" w:firstLineChars="200"/>
    </w:pPr>
  </w:style>
  <w:style w:type="character" w:customStyle="1" w:styleId="19">
    <w:name w:val="oz-l-btn-left"/>
    <w:basedOn w:val="5"/>
    <w:uiPriority w:val="0"/>
    <w:rPr>
      <w:bdr w:val="none" w:color="auto" w:sz="0" w:space="0"/>
    </w:rPr>
  </w:style>
  <w:style w:type="character" w:customStyle="1" w:styleId="20">
    <w:name w:val="oz-l-btn-left1"/>
    <w:basedOn w:val="5"/>
    <w:uiPriority w:val="0"/>
    <w:rPr>
      <w:bdr w:val="none" w:color="auto" w:sz="0" w:space="0"/>
    </w:rPr>
  </w:style>
  <w:style w:type="character" w:customStyle="1" w:styleId="21">
    <w:name w:val="oz-l-btn-left2"/>
    <w:basedOn w:val="5"/>
    <w:uiPriority w:val="0"/>
    <w:rPr>
      <w:bdr w:val="none" w:color="auto" w:sz="0" w:space="0"/>
    </w:rPr>
  </w:style>
  <w:style w:type="character" w:customStyle="1" w:styleId="22">
    <w:name w:val="oz-l-btn-left3"/>
    <w:basedOn w:val="5"/>
    <w:uiPriority w:val="0"/>
    <w:rPr>
      <w:bdr w:val="none" w:color="auto" w:sz="0" w:space="0"/>
    </w:rPr>
  </w:style>
  <w:style w:type="character" w:customStyle="1" w:styleId="23">
    <w:name w:val="oz-l-btn-text"/>
    <w:basedOn w:val="5"/>
    <w:uiPriority w:val="0"/>
    <w:rPr>
      <w:bdr w:val="none" w:color="auto" w:sz="0" w:space="0"/>
    </w:rPr>
  </w:style>
  <w:style w:type="character" w:customStyle="1" w:styleId="24">
    <w:name w:val="oz-l-btn-text1"/>
    <w:basedOn w:val="5"/>
    <w:uiPriority w:val="0"/>
  </w:style>
  <w:style w:type="character" w:customStyle="1" w:styleId="25">
    <w:name w:val="warn"/>
    <w:basedOn w:val="5"/>
    <w:uiPriority w:val="0"/>
  </w:style>
  <w:style w:type="character" w:customStyle="1" w:styleId="26">
    <w:name w:val="profiledisabled"/>
    <w:basedOn w:val="5"/>
    <w:uiPriority w:val="0"/>
  </w:style>
  <w:style w:type="character" w:customStyle="1" w:styleId="27">
    <w:name w:val="debug"/>
    <w:basedOn w:val="5"/>
    <w:uiPriority w:val="0"/>
  </w:style>
  <w:style w:type="character" w:customStyle="1" w:styleId="28">
    <w:name w:val="close8"/>
    <w:basedOn w:val="5"/>
    <w:uiPriority w:val="0"/>
  </w:style>
  <w:style w:type="character" w:customStyle="1" w:styleId="29">
    <w:name w:val="errordisabled"/>
    <w:basedOn w:val="5"/>
    <w:uiPriority w:val="0"/>
  </w:style>
  <w:style w:type="character" w:customStyle="1" w:styleId="30">
    <w:name w:val="debugdisabled"/>
    <w:basedOn w:val="5"/>
    <w:uiPriority w:val="0"/>
  </w:style>
  <w:style w:type="character" w:customStyle="1" w:styleId="31">
    <w:name w:val="desc"/>
    <w:basedOn w:val="5"/>
    <w:uiPriority w:val="0"/>
  </w:style>
  <w:style w:type="character" w:customStyle="1" w:styleId="32">
    <w:name w:val="oz-tabs-strip-text"/>
    <w:basedOn w:val="5"/>
    <w:uiPriority w:val="0"/>
    <w:rPr>
      <w:rFonts w:ascii="Tahoma" w:hAnsi="Tahoma" w:eastAsia="Tahoma" w:cs="Tahoma"/>
      <w:color w:val="416AA3"/>
      <w:sz w:val="21"/>
      <w:szCs w:val="21"/>
      <w:bdr w:val="none" w:color="auto" w:sz="0" w:space="0"/>
    </w:rPr>
  </w:style>
  <w:style w:type="character" w:customStyle="1" w:styleId="33">
    <w:name w:val="oz-tabs-strip-text1"/>
    <w:basedOn w:val="5"/>
    <w:uiPriority w:val="0"/>
    <w:rPr>
      <w:bdr w:val="none" w:color="auto" w:sz="0" w:space="0"/>
    </w:rPr>
  </w:style>
  <w:style w:type="character" w:customStyle="1" w:styleId="34">
    <w:name w:val="oz-tabs-strip-text2"/>
    <w:basedOn w:val="5"/>
    <w:uiPriority w:val="0"/>
  </w:style>
  <w:style w:type="character" w:customStyle="1" w:styleId="35">
    <w:name w:val="oz-tabs-strip-text3"/>
    <w:basedOn w:val="5"/>
    <w:uiPriority w:val="0"/>
    <w:rPr>
      <w:color w:val="15428B"/>
    </w:rPr>
  </w:style>
  <w:style w:type="character" w:customStyle="1" w:styleId="36">
    <w:name w:val="oz-tabs-strip-text4"/>
    <w:basedOn w:val="5"/>
    <w:uiPriority w:val="0"/>
    <w:rPr>
      <w:b/>
      <w:color w:val="15428B"/>
    </w:rPr>
  </w:style>
  <w:style w:type="character" w:customStyle="1" w:styleId="37">
    <w:name w:val="oz-tabs-strip-text5"/>
    <w:basedOn w:val="5"/>
    <w:uiPriority w:val="0"/>
  </w:style>
  <w:style w:type="character" w:customStyle="1" w:styleId="38">
    <w:name w:val="oz-l-btn-empty"/>
    <w:basedOn w:val="5"/>
    <w:uiPriority w:val="0"/>
    <w:rPr>
      <w:bdr w:val="none" w:color="auto" w:sz="0" w:space="0"/>
    </w:rPr>
  </w:style>
  <w:style w:type="character" w:customStyle="1" w:styleId="39">
    <w:name w:val="warndisabled"/>
    <w:basedOn w:val="5"/>
    <w:uiPriority w:val="0"/>
  </w:style>
  <w:style w:type="character" w:customStyle="1" w:styleId="40">
    <w:name w:val="error"/>
    <w:basedOn w:val="5"/>
    <w:uiPriority w:val="0"/>
  </w:style>
  <w:style w:type="character" w:customStyle="1" w:styleId="41">
    <w:name w:val="info"/>
    <w:basedOn w:val="5"/>
    <w:uiPriority w:val="0"/>
  </w:style>
  <w:style w:type="character" w:customStyle="1" w:styleId="42">
    <w:name w:val="infodisabled"/>
    <w:basedOn w:val="5"/>
    <w:uiPriority w:val="0"/>
  </w:style>
  <w:style w:type="character" w:customStyle="1" w:styleId="43">
    <w:name w:val="profile"/>
    <w:basedOn w:val="5"/>
    <w:uiPriority w:val="0"/>
  </w:style>
  <w:style w:type="character" w:customStyle="1" w:styleId="44">
    <w:name w:val="clear"/>
    <w:basedOn w:val="5"/>
    <w:uiPriority w:val="0"/>
  </w:style>
  <w:style w:type="character" w:customStyle="1" w:styleId="45">
    <w:name w:val="descdisabled"/>
    <w:basedOn w:val="5"/>
    <w:uiPriority w:val="0"/>
  </w:style>
  <w:style w:type="paragraph" w:styleId="46">
    <w:name w:val=""/>
    <w:basedOn w:val="1"/>
    <w:next w:val="1"/>
    <w:uiPriority w:val="0"/>
    <w:pPr>
      <w:pBdr>
        <w:bottom w:val="single" w:color="auto" w:sz="6" w:space="1"/>
      </w:pBdr>
      <w:jc w:val="center"/>
    </w:pPr>
    <w:rPr>
      <w:rFonts w:ascii="Arial" w:eastAsia="宋体"/>
      <w:vanish/>
      <w:sz w:val="16"/>
    </w:rPr>
  </w:style>
  <w:style w:type="paragraph" w:styleId="47">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候良业</cp:lastModifiedBy>
  <dcterms:modified xsi:type="dcterms:W3CDTF">2025-01-02T06:46:57Z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