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32"/>
          <w:szCs w:val="32"/>
        </w:rPr>
      </w:pPr>
      <w:r>
        <w:rPr>
          <w:rFonts w:hint="eastAsia" w:ascii="宋体" w:hAnsi="宋体"/>
          <w:b/>
          <w:sz w:val="44"/>
          <w:szCs w:val="44"/>
        </w:rPr>
        <w:t>需求书</w:t>
      </w:r>
    </w:p>
    <w:p>
      <w:pPr>
        <w:keepNext w:val="0"/>
        <w:keepLines w:val="0"/>
        <w:pageBreakBefore w:val="0"/>
        <w:widowControl w:val="0"/>
        <w:kinsoku/>
        <w:wordWrap/>
        <w:overflowPunct/>
        <w:topLinePunct w:val="0"/>
        <w:autoSpaceDE/>
        <w:autoSpaceDN/>
        <w:bidi w:val="0"/>
        <w:adjustRightInd/>
        <w:snapToGrid/>
        <w:spacing w:line="500" w:lineRule="exact"/>
        <w:ind w:firstLine="666" w:firstLineChars="221"/>
        <w:textAlignment w:val="auto"/>
        <w:rPr>
          <w:rFonts w:hint="eastAsia" w:ascii="仿宋_GB2312" w:eastAsia="仿宋_GB2312"/>
          <w:b/>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66" w:firstLineChars="221"/>
        <w:textAlignment w:val="auto"/>
        <w:rPr>
          <w:rFonts w:ascii="仿宋_GB2312" w:eastAsia="仿宋_GB2312"/>
          <w:b/>
          <w:sz w:val="30"/>
          <w:szCs w:val="30"/>
        </w:rPr>
      </w:pPr>
      <w:r>
        <w:rPr>
          <w:rFonts w:hint="eastAsia" w:ascii="仿宋_GB2312" w:eastAsia="仿宋_GB2312"/>
          <w:b/>
          <w:sz w:val="30"/>
          <w:szCs w:val="30"/>
        </w:rPr>
        <w:t>一、项目概况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eastAsia="仿宋_GB2312"/>
          <w:sz w:val="30"/>
          <w:szCs w:val="30"/>
        </w:rPr>
      </w:pPr>
      <w:r>
        <w:rPr>
          <w:rFonts w:hint="eastAsia" w:ascii="仿宋_GB2312" w:hAnsi="Times New Roman" w:eastAsia="仿宋_GB2312" w:cs="Times New Roman"/>
          <w:sz w:val="30"/>
          <w:szCs w:val="30"/>
          <w:lang w:val="en-US" w:eastAsia="zh-CN"/>
        </w:rPr>
        <w:t xml:space="preserve">    </w:t>
      </w:r>
      <w:r>
        <w:rPr>
          <w:rFonts w:hint="eastAsia" w:ascii="仿宋_GB2312" w:hAnsi="Times New Roman" w:eastAsia="仿宋_GB2312" w:cs="Times New Roman"/>
          <w:sz w:val="30"/>
          <w:szCs w:val="30"/>
        </w:rPr>
        <w:t>（一）项目</w:t>
      </w:r>
      <w:r>
        <w:rPr>
          <w:rFonts w:hint="eastAsia" w:ascii="仿宋_GB2312" w:eastAsia="仿宋_GB2312"/>
          <w:sz w:val="30"/>
          <w:szCs w:val="30"/>
        </w:rPr>
        <w:t>名称：</w:t>
      </w:r>
      <w:r>
        <w:rPr>
          <w:rFonts w:hint="eastAsia" w:ascii="仿宋_GB2312" w:hAnsi="Times New Roman" w:eastAsia="仿宋_GB2312" w:cs="Times New Roman"/>
          <w:sz w:val="30"/>
          <w:szCs w:val="30"/>
          <w:lang w:eastAsia="zh-CN"/>
        </w:rPr>
        <w:t>肇庆</w:t>
      </w:r>
      <w:r>
        <w:rPr>
          <w:rFonts w:hint="eastAsia" w:ascii="仿宋_GB2312" w:hAnsi="Times New Roman" w:eastAsia="仿宋_GB2312" w:cs="Times New Roman"/>
          <w:sz w:val="30"/>
          <w:szCs w:val="30"/>
        </w:rPr>
        <w:t>监狱</w:t>
      </w:r>
      <w:r>
        <w:rPr>
          <w:rFonts w:hint="eastAsia" w:ascii="仿宋_GB2312" w:hAnsi="Times New Roman" w:eastAsia="仿宋_GB2312" w:cs="Times New Roman"/>
          <w:sz w:val="30"/>
          <w:szCs w:val="30"/>
          <w:lang w:val="en-US" w:eastAsia="zh-CN"/>
        </w:rPr>
        <w:t>12、14、15号地块</w:t>
      </w:r>
      <w:r>
        <w:rPr>
          <w:rFonts w:hint="eastAsia" w:ascii="仿宋_GB2312" w:hAnsi="Times New Roman" w:eastAsia="仿宋_GB2312" w:cs="Times New Roman"/>
          <w:sz w:val="30"/>
          <w:szCs w:val="30"/>
        </w:rPr>
        <w:t>出租价格评估项目</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hint="default" w:ascii="仿宋_GB2312" w:eastAsia="仿宋_GB2312"/>
          <w:sz w:val="30"/>
          <w:szCs w:val="30"/>
          <w:lang w:val="en-US" w:eastAsia="zh-CN"/>
        </w:rPr>
      </w:pPr>
      <w:r>
        <w:rPr>
          <w:rFonts w:hint="eastAsia" w:ascii="仿宋_GB2312" w:eastAsia="仿宋_GB2312"/>
          <w:sz w:val="30"/>
          <w:szCs w:val="30"/>
        </w:rPr>
        <w:t>（二）项目地点：四会市</w:t>
      </w:r>
      <w:r>
        <w:rPr>
          <w:rFonts w:hint="eastAsia" w:ascii="仿宋_GB2312" w:eastAsia="仿宋_GB2312"/>
          <w:sz w:val="30"/>
          <w:szCs w:val="30"/>
          <w:lang w:val="en-US" w:eastAsia="zh-CN"/>
        </w:rPr>
        <w:t>城中街道城北社区汶塘路一号</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（三）评估土地位置及亩数</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12号地块（其他草地）约15亩，位于中储粮西侧，未通电。</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hint="eastAsia" w:eastAsia="宋体"/>
          <w:lang w:eastAsia="zh-CN"/>
        </w:rPr>
      </w:pPr>
      <w:r>
        <w:rPr>
          <w:rFonts w:hint="eastAsia" w:ascii="仿宋_GB2312" w:hAnsi="Times New Roman" w:eastAsia="仿宋_GB2312" w:cs="Times New Roman"/>
          <w:sz w:val="30"/>
          <w:szCs w:val="30"/>
          <w:lang w:val="en-US" w:eastAsia="zh-CN"/>
        </w:rPr>
        <w:t>14号地块（鱼塘）约8亩、15号地块（鱼塘）约26亩，位于武警营房北侧，14号地块为建设用地，15号地块约一半为建设用地，未通电。</w:t>
      </w:r>
    </w:p>
    <w:p>
      <w:pPr>
        <w:keepNext w:val="0"/>
        <w:keepLines w:val="0"/>
        <w:pageBreakBefore w:val="0"/>
        <w:widowControl w:val="0"/>
        <w:kinsoku/>
        <w:wordWrap/>
        <w:overflowPunct/>
        <w:topLinePunct w:val="0"/>
        <w:autoSpaceDE/>
        <w:autoSpaceDN/>
        <w:bidi w:val="0"/>
        <w:adjustRightInd/>
        <w:snapToGrid/>
        <w:spacing w:line="500" w:lineRule="exact"/>
        <w:ind w:firstLine="666" w:firstLineChars="221"/>
        <w:textAlignment w:val="auto"/>
        <w:rPr>
          <w:rFonts w:ascii="仿宋_GB2312" w:eastAsia="仿宋_GB2312"/>
          <w:b/>
          <w:sz w:val="30"/>
          <w:szCs w:val="30"/>
        </w:rPr>
      </w:pPr>
      <w:r>
        <w:rPr>
          <w:rFonts w:hint="eastAsia" w:ascii="仿宋_GB2312" w:eastAsia="仿宋_GB2312"/>
          <w:b/>
          <w:sz w:val="30"/>
          <w:szCs w:val="30"/>
        </w:rPr>
        <w:t>二、投标人资格</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一</w:t>
      </w:r>
      <w:r>
        <w:rPr>
          <w:rFonts w:hint="eastAsia" w:ascii="仿宋_GB2312" w:eastAsia="仿宋_GB2312"/>
          <w:sz w:val="30"/>
          <w:szCs w:val="30"/>
          <w:lang w:eastAsia="zh-CN"/>
        </w:rPr>
        <w:t>）</w:t>
      </w:r>
      <w:r>
        <w:rPr>
          <w:rFonts w:hint="eastAsia" w:ascii="仿宋_GB2312" w:eastAsia="仿宋_GB2312"/>
          <w:sz w:val="30"/>
          <w:szCs w:val="30"/>
        </w:rPr>
        <w:t>在中华人民共和国境内注册依法取得有效的工商营业执照、税务登记证、组织机构代码证。【如已办理了多证合一，则仅需提供合证后的营业执照】（提供营业执照复印件加盖公章）</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二</w:t>
      </w:r>
      <w:r>
        <w:rPr>
          <w:rFonts w:hint="eastAsia" w:ascii="仿宋_GB2312" w:eastAsia="仿宋_GB2312"/>
          <w:sz w:val="30"/>
          <w:szCs w:val="30"/>
          <w:lang w:eastAsia="zh-CN"/>
        </w:rPr>
        <w:t>）</w:t>
      </w:r>
      <w:r>
        <w:rPr>
          <w:rFonts w:hint="eastAsia" w:ascii="仿宋_GB2312" w:eastAsia="仿宋_GB2312"/>
          <w:sz w:val="30"/>
          <w:szCs w:val="30"/>
        </w:rPr>
        <w:t>具有资产评估资质（含土地）。</w:t>
      </w:r>
    </w:p>
    <w:p>
      <w:pPr>
        <w:keepNext w:val="0"/>
        <w:keepLines w:val="0"/>
        <w:pageBreakBefore w:val="0"/>
        <w:widowControl w:val="0"/>
        <w:kinsoku/>
        <w:wordWrap/>
        <w:overflowPunct/>
        <w:topLinePunct w:val="0"/>
        <w:autoSpaceDE/>
        <w:autoSpaceDN/>
        <w:bidi w:val="0"/>
        <w:adjustRightInd/>
        <w:snapToGrid/>
        <w:spacing w:line="500" w:lineRule="exact"/>
        <w:ind w:firstLine="666" w:firstLineChars="221"/>
        <w:textAlignment w:val="auto"/>
        <w:rPr>
          <w:rFonts w:ascii="仿宋_GB2312" w:eastAsia="仿宋_GB2312"/>
          <w:b/>
          <w:sz w:val="30"/>
          <w:szCs w:val="30"/>
        </w:rPr>
      </w:pPr>
      <w:r>
        <w:rPr>
          <w:rFonts w:hint="eastAsia" w:ascii="仿宋_GB2312" w:eastAsia="仿宋_GB2312"/>
          <w:b/>
          <w:sz w:val="30"/>
          <w:szCs w:val="30"/>
        </w:rPr>
        <w:t>三、评估依据</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ascii="仿宋_GB2312" w:eastAsia="仿宋_GB2312"/>
          <w:sz w:val="30"/>
          <w:szCs w:val="30"/>
        </w:rPr>
      </w:pPr>
      <w:r>
        <w:rPr>
          <w:rFonts w:hint="eastAsia" w:ascii="仿宋_GB2312" w:eastAsia="仿宋_GB2312"/>
          <w:sz w:val="30"/>
          <w:szCs w:val="30"/>
        </w:rPr>
        <w:t>（一）国家有关法规、政策文件。以上土地出租价格结论须参照《中华人民共和国价格法》、《中华人民共和国资产评估法》、《中华人民共和国价格管理条例》、《价格评估机构资质认定管理办法》、《广东省价格和产业发展协会评估鉴定机构和专业人员会员管理办法（试行）》和其他有关的法律、法规、政策。</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ascii="仿宋_GB2312" w:eastAsia="仿宋_GB2312"/>
          <w:sz w:val="30"/>
          <w:szCs w:val="30"/>
        </w:rPr>
      </w:pPr>
      <w:r>
        <w:rPr>
          <w:rFonts w:hint="eastAsia" w:ascii="仿宋_GB2312" w:eastAsia="仿宋_GB2312"/>
          <w:sz w:val="30"/>
          <w:szCs w:val="30"/>
        </w:rPr>
        <w:t>（二）市场公开价值标准。</w:t>
      </w:r>
    </w:p>
    <w:p>
      <w:pPr>
        <w:keepNext w:val="0"/>
        <w:keepLines w:val="0"/>
        <w:pageBreakBefore w:val="0"/>
        <w:widowControl w:val="0"/>
        <w:kinsoku/>
        <w:wordWrap/>
        <w:overflowPunct/>
        <w:topLinePunct w:val="0"/>
        <w:autoSpaceDE/>
        <w:autoSpaceDN/>
        <w:bidi w:val="0"/>
        <w:adjustRightInd/>
        <w:snapToGrid/>
        <w:spacing w:line="500" w:lineRule="exact"/>
        <w:ind w:firstLine="666" w:firstLineChars="221"/>
        <w:textAlignment w:val="auto"/>
        <w:rPr>
          <w:rFonts w:hint="eastAsia" w:ascii="仿宋_GB2312" w:eastAsia="仿宋_GB2312"/>
          <w:b/>
          <w:sz w:val="30"/>
          <w:szCs w:val="30"/>
        </w:rPr>
      </w:pPr>
      <w:r>
        <w:rPr>
          <w:rFonts w:hint="eastAsia" w:ascii="仿宋_GB2312" w:eastAsia="仿宋_GB2312"/>
          <w:b/>
          <w:sz w:val="30"/>
          <w:szCs w:val="30"/>
        </w:rPr>
        <w:t>四、评估费用</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ascii="仿宋_GB2312" w:eastAsia="仿宋_GB2312"/>
          <w:sz w:val="30"/>
          <w:szCs w:val="30"/>
        </w:rPr>
      </w:pPr>
      <w:r>
        <w:rPr>
          <w:rFonts w:hint="eastAsia" w:ascii="仿宋_GB2312" w:eastAsia="仿宋_GB2312"/>
          <w:sz w:val="30"/>
          <w:szCs w:val="30"/>
        </w:rPr>
        <w:t>本项目</w:t>
      </w:r>
      <w:r>
        <w:rPr>
          <w:rFonts w:hint="eastAsia" w:ascii="仿宋_GB2312" w:eastAsia="仿宋_GB2312"/>
          <w:sz w:val="30"/>
          <w:szCs w:val="30"/>
          <w:lang w:val="en-US" w:eastAsia="zh-CN"/>
        </w:rPr>
        <w:t>评估费最高限价为4166</w:t>
      </w:r>
      <w:r>
        <w:rPr>
          <w:rFonts w:hint="eastAsia" w:ascii="仿宋_GB2312" w:eastAsia="仿宋_GB2312"/>
          <w:sz w:val="30"/>
          <w:szCs w:val="30"/>
        </w:rPr>
        <w:t>元。</w:t>
      </w:r>
    </w:p>
    <w:p>
      <w:pPr>
        <w:keepNext w:val="0"/>
        <w:keepLines w:val="0"/>
        <w:pageBreakBefore w:val="0"/>
        <w:widowControl w:val="0"/>
        <w:kinsoku/>
        <w:wordWrap/>
        <w:overflowPunct/>
        <w:topLinePunct w:val="0"/>
        <w:autoSpaceDE/>
        <w:autoSpaceDN/>
        <w:bidi w:val="0"/>
        <w:adjustRightInd/>
        <w:snapToGrid/>
        <w:spacing w:line="500" w:lineRule="exact"/>
        <w:ind w:firstLine="666" w:firstLineChars="221"/>
        <w:textAlignment w:val="auto"/>
        <w:rPr>
          <w:rFonts w:ascii="仿宋_GB2312" w:eastAsia="仿宋_GB2312"/>
          <w:b/>
          <w:sz w:val="30"/>
          <w:szCs w:val="30"/>
        </w:rPr>
      </w:pPr>
      <w:r>
        <w:rPr>
          <w:rFonts w:hint="eastAsia" w:ascii="仿宋_GB2312" w:eastAsia="仿宋_GB2312"/>
          <w:b/>
          <w:sz w:val="30"/>
          <w:szCs w:val="30"/>
        </w:rPr>
        <w:t>五、投标要求</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ascii="仿宋_GB2312" w:eastAsia="仿宋_GB2312"/>
          <w:sz w:val="30"/>
          <w:szCs w:val="30"/>
        </w:rPr>
      </w:pPr>
      <w:r>
        <w:rPr>
          <w:rFonts w:hint="eastAsia" w:ascii="仿宋_GB2312" w:eastAsia="仿宋_GB2312"/>
          <w:sz w:val="30"/>
          <w:szCs w:val="30"/>
        </w:rPr>
        <w:t>（一）投标报价须为人民币报价，投标报价不得超出采购预算，否则其投标价格将作为无效投标处理。</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二</w:t>
      </w:r>
      <w:r>
        <w:rPr>
          <w:rFonts w:hint="eastAsia" w:ascii="仿宋_GB2312" w:eastAsia="仿宋_GB2312"/>
          <w:sz w:val="30"/>
          <w:szCs w:val="30"/>
        </w:rPr>
        <w:t>）报价人应认真在填报投标报价之前，仔细阅读所有有关章节以及相关资料，确保本次招标的所有招标范围内的各种价格风险均已包含在投标报价内。</w:t>
      </w:r>
      <w:r>
        <w:rPr>
          <w:rFonts w:hint="eastAsia" w:ascii="仿宋_GB2312" w:eastAsia="仿宋_GB2312"/>
          <w:sz w:val="30"/>
          <w:szCs w:val="30"/>
          <w:lang w:val="en-US" w:eastAsia="zh-CN"/>
        </w:rPr>
        <w:t>竞价</w:t>
      </w:r>
      <w:r>
        <w:rPr>
          <w:rFonts w:hint="eastAsia" w:ascii="仿宋_GB2312" w:eastAsia="仿宋_GB2312"/>
          <w:sz w:val="30"/>
          <w:szCs w:val="30"/>
        </w:rPr>
        <w:t>后，任何因报价人的疏漏而提出的不利于采购人的合同调价申请将不被接受。</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三</w:t>
      </w:r>
      <w:r>
        <w:rPr>
          <w:rFonts w:hint="eastAsia" w:ascii="仿宋_GB2312" w:eastAsia="仿宋_GB2312"/>
          <w:sz w:val="30"/>
          <w:szCs w:val="30"/>
        </w:rPr>
        <w:t>）报价人的报价已包含完成本项目全部内容的费用的人工费、设备费、管理费和技术服务费、税金及合同实施中不可预见费用等一切费用。</w:t>
      </w:r>
    </w:p>
    <w:p>
      <w:pPr>
        <w:keepNext w:val="0"/>
        <w:keepLines w:val="0"/>
        <w:pageBreakBefore w:val="0"/>
        <w:widowControl w:val="0"/>
        <w:kinsoku/>
        <w:wordWrap/>
        <w:overflowPunct/>
        <w:topLinePunct w:val="0"/>
        <w:autoSpaceDE/>
        <w:autoSpaceDN/>
        <w:bidi w:val="0"/>
        <w:adjustRightInd/>
        <w:snapToGrid/>
        <w:spacing w:line="500" w:lineRule="exact"/>
        <w:ind w:firstLine="666" w:firstLineChars="221"/>
        <w:textAlignment w:val="auto"/>
        <w:rPr>
          <w:rFonts w:ascii="仿宋_GB2312" w:eastAsia="仿宋_GB2312"/>
          <w:b/>
          <w:sz w:val="30"/>
          <w:szCs w:val="30"/>
        </w:rPr>
      </w:pPr>
      <w:r>
        <w:rPr>
          <w:rFonts w:hint="eastAsia" w:ascii="仿宋_GB2312" w:eastAsia="仿宋_GB2312"/>
          <w:b/>
          <w:sz w:val="30"/>
          <w:szCs w:val="30"/>
        </w:rPr>
        <w:t>六、付款方式</w:t>
      </w:r>
    </w:p>
    <w:p>
      <w:pPr>
        <w:keepNext w:val="0"/>
        <w:keepLines w:val="0"/>
        <w:pageBreakBefore w:val="0"/>
        <w:widowControl w:val="0"/>
        <w:kinsoku/>
        <w:wordWrap/>
        <w:overflowPunct/>
        <w:topLinePunct w:val="0"/>
        <w:autoSpaceDE/>
        <w:autoSpaceDN/>
        <w:bidi w:val="0"/>
        <w:adjustRightInd/>
        <w:snapToGrid/>
        <w:spacing w:line="500" w:lineRule="exact"/>
        <w:ind w:firstLine="663" w:firstLineChars="221"/>
        <w:textAlignment w:val="auto"/>
        <w:rPr>
          <w:rFonts w:hint="eastAsia" w:ascii="仿宋_GB2312" w:eastAsia="仿宋_GB2312"/>
          <w:sz w:val="30"/>
          <w:szCs w:val="30"/>
        </w:rPr>
      </w:pPr>
      <w:r>
        <w:rPr>
          <w:rFonts w:hint="eastAsia" w:ascii="仿宋_GB2312" w:eastAsia="仿宋_GB2312"/>
          <w:sz w:val="30"/>
          <w:szCs w:val="30"/>
        </w:rPr>
        <w:t>本项目以人民币方式进行结算，中标方出具合法评估报告书经招标方确认后，中标</w:t>
      </w:r>
      <w:bookmarkStart w:id="0" w:name="_GoBack"/>
      <w:bookmarkEnd w:id="0"/>
      <w:r>
        <w:rPr>
          <w:rFonts w:hint="eastAsia" w:ascii="仿宋_GB2312" w:eastAsia="仿宋_GB2312"/>
          <w:sz w:val="30"/>
          <w:szCs w:val="30"/>
        </w:rPr>
        <w:t>方提供</w:t>
      </w:r>
      <w:r>
        <w:rPr>
          <w:rFonts w:hint="eastAsia" w:ascii="仿宋_GB2312" w:eastAsia="仿宋_GB2312"/>
          <w:sz w:val="30"/>
          <w:szCs w:val="30"/>
          <w:lang w:val="en-US" w:eastAsia="zh-CN"/>
        </w:rPr>
        <w:t>专用</w:t>
      </w:r>
      <w:r>
        <w:rPr>
          <w:rFonts w:hint="eastAsia" w:ascii="仿宋_GB2312" w:eastAsia="仿宋_GB2312"/>
          <w:sz w:val="30"/>
          <w:szCs w:val="30"/>
        </w:rPr>
        <w:t>发票后15个工作日内付清。</w:t>
      </w:r>
    </w:p>
    <w:p>
      <w:pPr>
        <w:keepNext w:val="0"/>
        <w:keepLines w:val="0"/>
        <w:pageBreakBefore w:val="0"/>
        <w:widowControl w:val="0"/>
        <w:kinsoku/>
        <w:wordWrap/>
        <w:overflowPunct/>
        <w:topLinePunct w:val="0"/>
        <w:autoSpaceDE/>
        <w:autoSpaceDN/>
        <w:bidi w:val="0"/>
        <w:adjustRightInd/>
        <w:snapToGrid/>
        <w:spacing w:line="500" w:lineRule="exact"/>
        <w:ind w:firstLine="6354" w:firstLineChars="2118"/>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354" w:firstLineChars="2118"/>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354" w:firstLineChars="2118"/>
        <w:textAlignment w:val="auto"/>
        <w:rPr>
          <w:rFonts w:hint="eastAsia" w:ascii="仿宋_GB2312" w:eastAsia="仿宋_GB2312"/>
          <w:sz w:val="30"/>
          <w:szCs w:val="30"/>
        </w:rPr>
      </w:pPr>
    </w:p>
    <w:p/>
    <w:sectPr>
      <w:footerReference r:id="rId3" w:type="default"/>
      <w:pgSz w:w="11906" w:h="16838"/>
      <w:pgMar w:top="1418" w:right="1418" w:bottom="136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C06F1"/>
    <w:rsid w:val="5BF049F1"/>
    <w:rsid w:val="7E97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候良业</cp:lastModifiedBy>
  <dcterms:modified xsi:type="dcterms:W3CDTF">2024-12-20T01:46:59Z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