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63D3" w14:textId="77777777" w:rsidR="00EB64F7" w:rsidRDefault="00EB64F7">
      <w:pPr>
        <w:snapToGrid w:val="0"/>
        <w:spacing w:beforeLines="50" w:before="156"/>
        <w:jc w:val="center"/>
        <w:rPr>
          <w:rFonts w:ascii="宋体" w:hAnsi="宋体" w:hint="eastAsia"/>
          <w:b/>
          <w:color w:val="000000"/>
          <w:sz w:val="84"/>
          <w:szCs w:val="84"/>
        </w:rPr>
      </w:pPr>
    </w:p>
    <w:p w14:paraId="36648AD7" w14:textId="77777777" w:rsidR="00EB64F7" w:rsidRDefault="00EB64F7">
      <w:pPr>
        <w:snapToGrid w:val="0"/>
        <w:spacing w:beforeLines="50" w:before="156"/>
        <w:jc w:val="center"/>
        <w:rPr>
          <w:rFonts w:ascii="宋体" w:hAnsi="宋体" w:hint="eastAsia"/>
          <w:b/>
          <w:color w:val="000000"/>
          <w:sz w:val="84"/>
          <w:szCs w:val="84"/>
        </w:rPr>
      </w:pPr>
    </w:p>
    <w:p w14:paraId="4A2F373E" w14:textId="77777777" w:rsidR="00EB64F7"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106716E6" w14:textId="77777777" w:rsidR="00EB64F7" w:rsidRDefault="00EB64F7">
      <w:pPr>
        <w:spacing w:line="360" w:lineRule="auto"/>
        <w:jc w:val="center"/>
        <w:rPr>
          <w:rFonts w:ascii="宋体" w:hAnsi="宋体" w:hint="eastAsia"/>
          <w:b/>
          <w:bCs/>
          <w:color w:val="000000"/>
          <w:sz w:val="24"/>
          <w:szCs w:val="24"/>
        </w:rPr>
      </w:pPr>
    </w:p>
    <w:p w14:paraId="5DE63312" w14:textId="77777777" w:rsidR="00EB64F7" w:rsidRDefault="00EB64F7">
      <w:pPr>
        <w:spacing w:line="360" w:lineRule="auto"/>
        <w:rPr>
          <w:rFonts w:ascii="宋体" w:hAnsi="宋体" w:hint="eastAsia"/>
          <w:color w:val="000000"/>
          <w:sz w:val="30"/>
          <w:szCs w:val="30"/>
        </w:rPr>
      </w:pPr>
    </w:p>
    <w:p w14:paraId="6342183F" w14:textId="77777777" w:rsidR="00EB64F7" w:rsidRDefault="00EB64F7">
      <w:pPr>
        <w:spacing w:line="360" w:lineRule="auto"/>
        <w:rPr>
          <w:rFonts w:ascii="宋体" w:hAnsi="宋体" w:hint="eastAsia"/>
          <w:color w:val="000000"/>
          <w:sz w:val="30"/>
          <w:szCs w:val="30"/>
        </w:rPr>
      </w:pPr>
    </w:p>
    <w:p w14:paraId="79A91980" w14:textId="77777777" w:rsidR="00EB64F7" w:rsidRDefault="00EB64F7">
      <w:pPr>
        <w:spacing w:line="360" w:lineRule="auto"/>
        <w:rPr>
          <w:rFonts w:ascii="宋体" w:hAnsi="宋体" w:hint="eastAsia"/>
          <w:color w:val="000000"/>
          <w:sz w:val="30"/>
          <w:szCs w:val="30"/>
        </w:rPr>
      </w:pPr>
    </w:p>
    <w:p w14:paraId="674443ED" w14:textId="77777777" w:rsidR="00EB64F7" w:rsidRDefault="00EB64F7">
      <w:pPr>
        <w:spacing w:line="360" w:lineRule="auto"/>
        <w:rPr>
          <w:rFonts w:ascii="宋体" w:hAnsi="宋体" w:hint="eastAsia"/>
          <w:color w:val="000000"/>
          <w:sz w:val="30"/>
          <w:szCs w:val="30"/>
        </w:rPr>
      </w:pPr>
    </w:p>
    <w:p w14:paraId="40EEC1D3" w14:textId="77777777" w:rsidR="00EB64F7"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228E969E" w14:textId="77777777" w:rsidR="00EB64F7"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广东省肇庆监狱采购2025年桶装水（含支装水）项目</w:t>
      </w:r>
    </w:p>
    <w:p w14:paraId="5334F281" w14:textId="77777777" w:rsidR="00EB64F7" w:rsidRDefault="00EB64F7">
      <w:pPr>
        <w:snapToGrid w:val="0"/>
        <w:spacing w:beforeLines="50" w:before="156" w:afterLines="50" w:after="156" w:line="360" w:lineRule="auto"/>
        <w:jc w:val="center"/>
        <w:rPr>
          <w:rFonts w:ascii="宋体" w:hAnsi="宋体" w:hint="eastAsia"/>
          <w:color w:val="000000"/>
          <w:sz w:val="30"/>
          <w:szCs w:val="30"/>
        </w:rPr>
      </w:pPr>
    </w:p>
    <w:p w14:paraId="3148272A" w14:textId="77777777" w:rsidR="00EB64F7" w:rsidRDefault="00EB64F7">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38134A1A" w14:textId="77777777" w:rsidR="00EB64F7" w:rsidRDefault="00EB64F7">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570EAB19" w14:textId="77777777" w:rsidR="00EB64F7"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68C6CE3F" w14:textId="77777777" w:rsidR="00EB64F7"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2DE343DE" w14:textId="77777777" w:rsidR="00EB64F7"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二〇二四年十一</w:t>
      </w:r>
      <w:r>
        <w:rPr>
          <w:rFonts w:ascii="宋体" w:hAnsi="宋体" w:hint="eastAsia"/>
          <w:b/>
          <w:sz w:val="28"/>
        </w:rPr>
        <w:t>月</w:t>
      </w:r>
    </w:p>
    <w:p w14:paraId="02AF7498" w14:textId="77777777" w:rsidR="00EB64F7" w:rsidRDefault="00000000">
      <w:pPr>
        <w:widowControl/>
        <w:jc w:val="left"/>
        <w:rPr>
          <w:rFonts w:ascii="宋体" w:hAnsi="宋体" w:hint="eastAsia"/>
          <w:color w:val="000000"/>
          <w:sz w:val="28"/>
        </w:rPr>
      </w:pPr>
      <w:r>
        <w:rPr>
          <w:rFonts w:ascii="宋体" w:hAnsi="宋体"/>
          <w:color w:val="000000"/>
          <w:sz w:val="28"/>
        </w:rPr>
        <w:br w:type="page"/>
      </w:r>
    </w:p>
    <w:p w14:paraId="20188FA3" w14:textId="77777777" w:rsidR="00EB64F7"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694B1E55" w14:textId="77777777" w:rsidR="00EB64F7"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01D7839E" w14:textId="77777777" w:rsidR="00EB64F7"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43E0E49E" w14:textId="77777777" w:rsidR="00EB64F7"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5AF5F4A" w14:textId="77777777" w:rsidR="00EB64F7"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53E754DA" w14:textId="77777777" w:rsidR="00EB64F7"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6CAF0729" w14:textId="77777777" w:rsidR="00EB64F7" w:rsidRDefault="00000000">
      <w:pPr>
        <w:pStyle w:val="afc"/>
        <w:numPr>
          <w:ilvl w:val="0"/>
          <w:numId w:val="3"/>
        </w:numPr>
        <w:spacing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11B2932D" w14:textId="77777777" w:rsidR="00EB64F7" w:rsidRDefault="00000000">
      <w:pPr>
        <w:pStyle w:val="afc"/>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0AC4F2C1"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40A17B94"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0E0EAFB7"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6477B5E0"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F894DA1"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317411F9"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4CE25A4B" w14:textId="77777777" w:rsidR="00EB64F7"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2AECB1C" w14:textId="77777777" w:rsidR="00EB64F7"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26B2BF2D" w14:textId="77777777" w:rsidR="00EB64F7"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325CD832" w14:textId="77777777" w:rsidR="00EB64F7"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2EDECE82" w14:textId="77777777" w:rsidR="00EB64F7"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34A50A9F" w14:textId="77777777" w:rsidR="00EB64F7"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A9554D9" w14:textId="77777777" w:rsidR="00EB64F7"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0DE4CF91" w14:textId="77777777" w:rsidR="00EB64F7"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1DFBB323" w14:textId="77777777" w:rsidR="00EB64F7"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5C1407CD" w14:textId="77777777" w:rsidR="00EB64F7"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077C2542" w14:textId="77777777" w:rsidR="00EB64F7" w:rsidRDefault="00000000">
      <w:pPr>
        <w:pStyle w:val="afc"/>
        <w:numPr>
          <w:ilvl w:val="0"/>
          <w:numId w:val="3"/>
        </w:numPr>
        <w:spacing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40AE0A07" w14:textId="77777777" w:rsidR="00EB64F7" w:rsidRDefault="00000000">
      <w:pPr>
        <w:pStyle w:val="afc"/>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FC37918" w14:textId="77777777" w:rsidR="00EB64F7"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90983A8" w14:textId="77777777" w:rsidR="00EB64F7"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3D0C9A46" w14:textId="77777777" w:rsidR="00EB64F7"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27874BE5" w14:textId="77777777" w:rsidR="00EB64F7" w:rsidRDefault="00000000">
      <w:pPr>
        <w:pStyle w:val="afc"/>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0C774937" w14:textId="77777777" w:rsidR="00EB64F7" w:rsidRDefault="00000000">
      <w:pPr>
        <w:pStyle w:val="afc"/>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7407F39" w14:textId="77777777" w:rsidR="00EB64F7"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605D890B" w14:textId="77777777" w:rsidR="00EB64F7" w:rsidRDefault="00000000">
      <w:pPr>
        <w:pStyle w:val="afc"/>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ascii="宋体" w:hAnsi="宋体" w:hint="eastAsia"/>
          <w:bCs/>
          <w:color w:val="000000"/>
        </w:rPr>
        <w:t>。</w:t>
      </w:r>
    </w:p>
    <w:p w14:paraId="7F5F54F1" w14:textId="77777777" w:rsidR="00EB64F7"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074A9B9D" w14:textId="77777777" w:rsidR="00EB64F7"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下浮率报价没有大于或等于100%，也没有为负数，且是固定唯一值的，否则为无效报价。</w:t>
      </w:r>
    </w:p>
    <w:p w14:paraId="54408577" w14:textId="77777777" w:rsidR="00EB64F7"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4A4CFF3F" w14:textId="77777777" w:rsidR="00EB64F7"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06E8E5A3" w14:textId="77777777" w:rsidR="00EB64F7"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2FBE5836" w14:textId="77777777" w:rsidR="00EB64F7" w:rsidRDefault="00000000">
      <w:pPr>
        <w:pStyle w:val="af4"/>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44AD9B9" w14:textId="77777777" w:rsidR="00EB64F7"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368F5A56" w14:textId="77777777" w:rsidR="00EB64F7"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34895DB3"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14DC684F"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669A4EBA"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48CB1FF8" w14:textId="77777777" w:rsidR="00EB64F7"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3396443D"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26C49527" w14:textId="77777777" w:rsidR="00EB64F7" w:rsidRDefault="00000000">
      <w:pPr>
        <w:pStyle w:val="afc"/>
        <w:widowControl/>
        <w:numPr>
          <w:ilvl w:val="0"/>
          <w:numId w:val="10"/>
        </w:numPr>
        <w:spacing w:line="360" w:lineRule="auto"/>
        <w:ind w:left="1191" w:firstLineChars="0" w:hanging="340"/>
        <w:jc w:val="left"/>
        <w:rPr>
          <w:rFonts w:ascii="宋体" w:hAnsi="宋体" w:hint="eastAsia"/>
          <w:color w:val="000000"/>
          <w:szCs w:val="21"/>
        </w:rPr>
      </w:pPr>
      <w:r>
        <w:rPr>
          <w:rFonts w:ascii="宋体" w:hAnsi="宋体" w:hint="eastAsia"/>
          <w:color w:val="000000"/>
          <w:szCs w:val="21"/>
        </w:rPr>
        <w:t>不同供应商的响应文件异常一致</w:t>
      </w:r>
      <w:r>
        <w:rPr>
          <w:rFonts w:ascii="宋体" w:hAnsi="宋体" w:hint="eastAsia"/>
          <w:color w:val="000000"/>
          <w:szCs w:val="21"/>
          <w:lang w:bidi="ar"/>
        </w:rPr>
        <w:t>(格式相同，字体一样，表格颜色相同等)</w:t>
      </w:r>
      <w:r>
        <w:rPr>
          <w:rFonts w:ascii="宋体" w:hAnsi="宋体" w:hint="eastAsia"/>
          <w:color w:val="000000"/>
          <w:szCs w:val="21"/>
        </w:rPr>
        <w:t>或者报价呈规律性差异；</w:t>
      </w:r>
    </w:p>
    <w:p w14:paraId="5E9ACD76"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3C90EF7" w14:textId="77777777" w:rsidR="00EB64F7"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0350178A" w14:textId="77777777" w:rsidR="00EB64F7"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32A3BBB6" w14:textId="77777777" w:rsidR="00EB64F7"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4E64FFE6" w14:textId="77777777" w:rsidR="00EB64F7"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13B9EFAD" w14:textId="77777777" w:rsidR="00EB64F7"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5F2C8082" w14:textId="77777777" w:rsidR="00EB64F7"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494AF210" w14:textId="77777777" w:rsidR="00EB64F7"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5B352CCC" w14:textId="77777777" w:rsidR="00EB64F7"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220477E9" w14:textId="77777777" w:rsidR="00EB64F7"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1.成交供应商须向平台服务商云采链线上采购一体化平台缴纳平台使用费，金额为预算金额的1.2%（四舍五入取整数）。</w:t>
      </w:r>
    </w:p>
    <w:p w14:paraId="2078EB68" w14:textId="77777777" w:rsidR="00EB64F7"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59EBAC60" w14:textId="77777777" w:rsidR="00EB64F7"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4140D689" w14:textId="77777777" w:rsidR="00EB64F7"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6F7322AE" w14:textId="77777777" w:rsidR="00EB64F7" w:rsidRDefault="00000000">
      <w:pPr>
        <w:pStyle w:val="afc"/>
        <w:spacing w:line="360" w:lineRule="auto"/>
        <w:ind w:left="420" w:firstLineChars="0" w:firstLine="0"/>
        <w:rPr>
          <w:rFonts w:ascii="宋体" w:hAnsi="宋体" w:hint="eastAsia"/>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2F06500B" w14:textId="77777777" w:rsidR="00EB64F7"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20397FF4" w14:textId="77777777" w:rsidR="00EB64F7"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01A85F03" wp14:editId="3351A11A">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58EE71D4" w14:textId="77777777" w:rsidR="00EB64F7" w:rsidRDefault="00000000">
      <w:pPr>
        <w:rPr>
          <w:rFonts w:ascii="宋体" w:hAnsi="宋体" w:hint="eastAsia"/>
          <w:color w:val="000000"/>
        </w:rPr>
      </w:pPr>
      <w:r>
        <w:rPr>
          <w:rFonts w:ascii="宋体" w:hAnsi="宋体" w:hint="eastAsia"/>
          <w:color w:val="000000"/>
        </w:rPr>
        <w:br w:type="page"/>
      </w:r>
    </w:p>
    <w:p w14:paraId="4E91C913" w14:textId="77777777" w:rsidR="00EB64F7"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49DBCFCB" w14:textId="77777777" w:rsidR="00EB64F7"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10BF7C2F" w14:textId="77777777" w:rsidR="00EB64F7"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1D0BDDF5"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2"/>
        <w:gridCol w:w="709"/>
        <w:gridCol w:w="3402"/>
        <w:gridCol w:w="1742"/>
      </w:tblGrid>
      <w:tr w:rsidR="00EB64F7" w14:paraId="2251B650" w14:textId="77777777">
        <w:trPr>
          <w:trHeight w:val="549"/>
          <w:jc w:val="center"/>
        </w:trPr>
        <w:tc>
          <w:tcPr>
            <w:tcW w:w="2652" w:type="dxa"/>
            <w:tcBorders>
              <w:top w:val="single" w:sz="12" w:space="0" w:color="auto"/>
              <w:bottom w:val="single" w:sz="2" w:space="0" w:color="auto"/>
            </w:tcBorders>
            <w:shd w:val="clear" w:color="auto" w:fill="EEECE1"/>
            <w:vAlign w:val="center"/>
          </w:tcPr>
          <w:p w14:paraId="6B4ED366" w14:textId="77777777" w:rsidR="00EB64F7" w:rsidRDefault="00000000">
            <w:pPr>
              <w:jc w:val="center"/>
              <w:rPr>
                <w:rFonts w:ascii="宋体" w:hAnsi="宋体" w:hint="eastAsia"/>
                <w:b/>
                <w:color w:val="000000"/>
                <w:szCs w:val="21"/>
              </w:rPr>
            </w:pPr>
            <w:bookmarkStart w:id="0" w:name="_Hlk181694373"/>
            <w:r>
              <w:rPr>
                <w:rFonts w:ascii="宋体" w:hAnsi="宋体" w:hint="eastAsia"/>
                <w:b/>
                <w:color w:val="000000"/>
                <w:szCs w:val="21"/>
              </w:rPr>
              <w:t>项目名称</w:t>
            </w:r>
          </w:p>
        </w:tc>
        <w:tc>
          <w:tcPr>
            <w:tcW w:w="709" w:type="dxa"/>
            <w:tcBorders>
              <w:top w:val="single" w:sz="12" w:space="0" w:color="auto"/>
              <w:bottom w:val="single" w:sz="2" w:space="0" w:color="auto"/>
            </w:tcBorders>
            <w:shd w:val="clear" w:color="auto" w:fill="EEECE1"/>
            <w:vAlign w:val="center"/>
          </w:tcPr>
          <w:p w14:paraId="4A10D043" w14:textId="77777777" w:rsidR="00EB64F7" w:rsidRDefault="00000000">
            <w:pPr>
              <w:jc w:val="center"/>
              <w:rPr>
                <w:rFonts w:ascii="宋体" w:hAnsi="宋体" w:hint="eastAsia"/>
                <w:b/>
                <w:szCs w:val="21"/>
              </w:rPr>
            </w:pPr>
            <w:r>
              <w:rPr>
                <w:rFonts w:ascii="宋体" w:hAnsi="宋体" w:hint="eastAsia"/>
                <w:b/>
                <w:szCs w:val="21"/>
              </w:rPr>
              <w:t>数量</w:t>
            </w:r>
          </w:p>
        </w:tc>
        <w:tc>
          <w:tcPr>
            <w:tcW w:w="3402" w:type="dxa"/>
            <w:tcBorders>
              <w:top w:val="single" w:sz="12" w:space="0" w:color="auto"/>
              <w:bottom w:val="single" w:sz="2" w:space="0" w:color="auto"/>
            </w:tcBorders>
            <w:shd w:val="clear" w:color="auto" w:fill="EEECE1"/>
            <w:vAlign w:val="center"/>
          </w:tcPr>
          <w:p w14:paraId="02127CE0" w14:textId="77777777" w:rsidR="00EB64F7" w:rsidRDefault="00000000">
            <w:pPr>
              <w:jc w:val="center"/>
              <w:rPr>
                <w:rFonts w:ascii="宋体" w:hAnsi="宋体" w:hint="eastAsia"/>
                <w:b/>
                <w:szCs w:val="21"/>
              </w:rPr>
            </w:pPr>
            <w:r>
              <w:rPr>
                <w:rFonts w:ascii="宋体" w:hAnsi="宋体" w:hint="eastAsia"/>
                <w:b/>
                <w:szCs w:val="21"/>
              </w:rPr>
              <w:t>服务期</w:t>
            </w:r>
          </w:p>
        </w:tc>
        <w:tc>
          <w:tcPr>
            <w:tcW w:w="1742" w:type="dxa"/>
            <w:tcBorders>
              <w:top w:val="single" w:sz="12" w:space="0" w:color="auto"/>
              <w:bottom w:val="single" w:sz="2" w:space="0" w:color="auto"/>
            </w:tcBorders>
            <w:shd w:val="clear" w:color="auto" w:fill="EEECE1"/>
            <w:vAlign w:val="center"/>
          </w:tcPr>
          <w:p w14:paraId="1A4D4B62" w14:textId="77777777" w:rsidR="00EB64F7" w:rsidRDefault="00000000">
            <w:pPr>
              <w:jc w:val="center"/>
              <w:rPr>
                <w:rFonts w:ascii="宋体" w:hAnsi="宋体" w:hint="eastAsia"/>
                <w:b/>
                <w:szCs w:val="21"/>
              </w:rPr>
            </w:pPr>
            <w:r>
              <w:rPr>
                <w:rFonts w:ascii="宋体" w:hAnsi="宋体" w:hint="eastAsia"/>
                <w:b/>
                <w:szCs w:val="21"/>
              </w:rPr>
              <w:t>预算金额</w:t>
            </w:r>
          </w:p>
        </w:tc>
      </w:tr>
      <w:tr w:rsidR="00EB64F7" w14:paraId="224A888B" w14:textId="77777777">
        <w:trPr>
          <w:trHeight w:val="1122"/>
          <w:jc w:val="center"/>
        </w:trPr>
        <w:tc>
          <w:tcPr>
            <w:tcW w:w="2652" w:type="dxa"/>
            <w:tcBorders>
              <w:top w:val="single" w:sz="2" w:space="0" w:color="auto"/>
              <w:bottom w:val="single" w:sz="2" w:space="0" w:color="auto"/>
            </w:tcBorders>
            <w:vAlign w:val="center"/>
          </w:tcPr>
          <w:p w14:paraId="33CBDF06" w14:textId="77777777" w:rsidR="00EB64F7" w:rsidRDefault="00000000">
            <w:pPr>
              <w:jc w:val="center"/>
              <w:rPr>
                <w:rFonts w:ascii="宋体" w:hAnsi="宋体" w:hint="eastAsia"/>
                <w:color w:val="000000"/>
                <w:szCs w:val="21"/>
              </w:rPr>
            </w:pPr>
            <w:r>
              <w:rPr>
                <w:rFonts w:ascii="宋体" w:hAnsi="宋体" w:hint="eastAsia"/>
                <w:color w:val="000000"/>
                <w:szCs w:val="21"/>
              </w:rPr>
              <w:t>广东省肇庆监狱采购2025年桶装水（含支装水）项目</w:t>
            </w:r>
          </w:p>
        </w:tc>
        <w:tc>
          <w:tcPr>
            <w:tcW w:w="709" w:type="dxa"/>
            <w:tcBorders>
              <w:top w:val="single" w:sz="2" w:space="0" w:color="auto"/>
              <w:bottom w:val="single" w:sz="2" w:space="0" w:color="auto"/>
            </w:tcBorders>
            <w:vAlign w:val="center"/>
          </w:tcPr>
          <w:p w14:paraId="2F37B95B" w14:textId="77777777" w:rsidR="00EB64F7" w:rsidRDefault="00000000">
            <w:pPr>
              <w:keepNext/>
              <w:adjustRightInd w:val="0"/>
              <w:jc w:val="center"/>
              <w:textAlignment w:val="center"/>
              <w:rPr>
                <w:rFonts w:ascii="宋体" w:hAnsi="宋体" w:hint="eastAsia"/>
                <w:szCs w:val="21"/>
              </w:rPr>
            </w:pPr>
            <w:r>
              <w:rPr>
                <w:rFonts w:ascii="宋体" w:hAnsi="宋体" w:hint="eastAsia"/>
                <w:szCs w:val="21"/>
              </w:rPr>
              <w:t>1批</w:t>
            </w:r>
          </w:p>
        </w:tc>
        <w:tc>
          <w:tcPr>
            <w:tcW w:w="3402" w:type="dxa"/>
            <w:tcBorders>
              <w:top w:val="single" w:sz="2" w:space="0" w:color="auto"/>
              <w:bottom w:val="single" w:sz="2" w:space="0" w:color="auto"/>
            </w:tcBorders>
            <w:vAlign w:val="center"/>
          </w:tcPr>
          <w:p w14:paraId="07CE992D" w14:textId="77777777" w:rsidR="00EB64F7" w:rsidRDefault="00000000">
            <w:pPr>
              <w:pStyle w:val="ab"/>
              <w:tabs>
                <w:tab w:val="left" w:pos="540"/>
              </w:tabs>
              <w:adjustRightInd w:val="0"/>
              <w:snapToGrid w:val="0"/>
              <w:jc w:val="center"/>
              <w:rPr>
                <w:rFonts w:hAnsi="宋体" w:hint="eastAsia"/>
                <w:sz w:val="21"/>
              </w:rPr>
            </w:pPr>
            <w:r>
              <w:rPr>
                <w:rFonts w:hAnsi="宋体" w:cs="宋体" w:hint="eastAsia"/>
                <w:color w:val="000000" w:themeColor="text1"/>
                <w:sz w:val="21"/>
              </w:rPr>
              <w:t>服务期为自合同签订之日起1年或采购人累计采购量达到项目预算金额后合同期限结束，以先到者为准</w:t>
            </w:r>
          </w:p>
        </w:tc>
        <w:tc>
          <w:tcPr>
            <w:tcW w:w="1742" w:type="dxa"/>
            <w:tcBorders>
              <w:top w:val="single" w:sz="2" w:space="0" w:color="auto"/>
              <w:bottom w:val="single" w:sz="2" w:space="0" w:color="auto"/>
            </w:tcBorders>
            <w:vAlign w:val="center"/>
          </w:tcPr>
          <w:p w14:paraId="1BD700E8" w14:textId="77777777" w:rsidR="00EB64F7" w:rsidRDefault="00000000">
            <w:pPr>
              <w:pStyle w:val="ab"/>
              <w:tabs>
                <w:tab w:val="left" w:pos="540"/>
              </w:tabs>
              <w:adjustRightInd w:val="0"/>
              <w:snapToGrid w:val="0"/>
              <w:jc w:val="center"/>
              <w:rPr>
                <w:rFonts w:hAnsi="宋体" w:hint="eastAsia"/>
                <w:sz w:val="21"/>
              </w:rPr>
            </w:pPr>
            <w:r>
              <w:rPr>
                <w:rFonts w:hAnsi="宋体" w:hint="eastAsia"/>
                <w:sz w:val="21"/>
              </w:rPr>
              <w:t>人民币</w:t>
            </w:r>
            <w:r>
              <w:rPr>
                <w:rFonts w:hAnsi="宋体" w:cs="仿宋" w:hint="eastAsia"/>
                <w:bCs/>
                <w:sz w:val="21"/>
                <w:u w:val="single"/>
              </w:rPr>
              <w:t>300000</w:t>
            </w:r>
            <w:r>
              <w:rPr>
                <w:rFonts w:hAnsi="宋体" w:hint="eastAsia"/>
                <w:sz w:val="21"/>
              </w:rPr>
              <w:t>元</w:t>
            </w:r>
          </w:p>
        </w:tc>
      </w:tr>
    </w:tbl>
    <w:bookmarkEnd w:id="0"/>
    <w:p w14:paraId="2065022F"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项目内容</w:t>
      </w:r>
    </w:p>
    <w:p w14:paraId="5E1175B4" w14:textId="77777777" w:rsidR="00EB64F7" w:rsidRDefault="00000000">
      <w:pPr>
        <w:autoSpaceDE w:val="0"/>
        <w:spacing w:line="360" w:lineRule="auto"/>
        <w:rPr>
          <w:rFonts w:ascii="宋体" w:hAnsi="宋体" w:cs="Times New Roman" w:hint="eastAsia"/>
          <w:szCs w:val="21"/>
        </w:rPr>
      </w:pPr>
      <w:r>
        <w:rPr>
          <w:rFonts w:ascii="宋体" w:hAnsi="宋体" w:cs="Times New Roman" w:hint="eastAsia"/>
          <w:szCs w:val="21"/>
        </w:rPr>
        <w:tab/>
        <w:t>项目名称：广东省肇庆监狱采购2025年桶装水（含支装水）项目</w:t>
      </w:r>
    </w:p>
    <w:p w14:paraId="5EDD4FCF"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货物清单</w:t>
      </w:r>
    </w:p>
    <w:tbl>
      <w:tblPr>
        <w:tblStyle w:val="1f"/>
        <w:tblW w:w="8505" w:type="dxa"/>
        <w:jc w:val="center"/>
        <w:tblLayout w:type="fixed"/>
        <w:tblLook w:val="04A0" w:firstRow="1" w:lastRow="0" w:firstColumn="1" w:lastColumn="0" w:noHBand="0" w:noVBand="1"/>
      </w:tblPr>
      <w:tblGrid>
        <w:gridCol w:w="667"/>
        <w:gridCol w:w="2694"/>
        <w:gridCol w:w="850"/>
        <w:gridCol w:w="2126"/>
        <w:gridCol w:w="2168"/>
      </w:tblGrid>
      <w:tr w:rsidR="00EB64F7" w14:paraId="3357894D" w14:textId="77777777">
        <w:trPr>
          <w:trHeight w:val="412"/>
          <w:jc w:val="center"/>
        </w:trPr>
        <w:tc>
          <w:tcPr>
            <w:tcW w:w="667" w:type="dxa"/>
            <w:tcBorders>
              <w:top w:val="single" w:sz="4" w:space="0" w:color="auto"/>
              <w:left w:val="single" w:sz="4" w:space="0" w:color="auto"/>
              <w:bottom w:val="single" w:sz="4" w:space="0" w:color="auto"/>
              <w:right w:val="single" w:sz="4" w:space="0" w:color="auto"/>
            </w:tcBorders>
            <w:vAlign w:val="center"/>
          </w:tcPr>
          <w:p w14:paraId="6B4B94BC" w14:textId="77777777" w:rsidR="00EB64F7" w:rsidRDefault="00000000">
            <w:pPr>
              <w:autoSpaceDE w:val="0"/>
              <w:jc w:val="center"/>
              <w:rPr>
                <w:rFonts w:ascii="宋体" w:hAnsi="宋体" w:cs="Times New Roman" w:hint="eastAsia"/>
                <w:b/>
                <w:color w:val="000000"/>
                <w:szCs w:val="21"/>
              </w:rPr>
            </w:pPr>
            <w:r>
              <w:rPr>
                <w:rFonts w:ascii="宋体" w:hAnsi="宋体" w:cs="Times New Roman" w:hint="eastAsia"/>
                <w:b/>
                <w:color w:val="000000"/>
                <w:szCs w:val="21"/>
              </w:rPr>
              <w:t>序号</w:t>
            </w:r>
          </w:p>
        </w:tc>
        <w:tc>
          <w:tcPr>
            <w:tcW w:w="2694" w:type="dxa"/>
            <w:tcBorders>
              <w:top w:val="single" w:sz="4" w:space="0" w:color="auto"/>
              <w:left w:val="single" w:sz="4" w:space="0" w:color="auto"/>
              <w:bottom w:val="single" w:sz="4" w:space="0" w:color="auto"/>
              <w:right w:val="single" w:sz="4" w:space="0" w:color="auto"/>
            </w:tcBorders>
            <w:vAlign w:val="center"/>
          </w:tcPr>
          <w:p w14:paraId="4D95D6A6" w14:textId="77777777" w:rsidR="00EB64F7" w:rsidRDefault="00000000">
            <w:pPr>
              <w:autoSpaceDE w:val="0"/>
              <w:jc w:val="center"/>
              <w:rPr>
                <w:rFonts w:ascii="宋体" w:hAnsi="宋体" w:cs="Times New Roman" w:hint="eastAsia"/>
                <w:b/>
                <w:color w:val="000000"/>
                <w:szCs w:val="21"/>
              </w:rPr>
            </w:pPr>
            <w:r>
              <w:rPr>
                <w:rFonts w:ascii="宋体" w:hAnsi="宋体" w:cs="Times New Roman" w:hint="eastAsia"/>
                <w:b/>
                <w:color w:val="000000"/>
                <w:szCs w:val="21"/>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08587CF1" w14:textId="77777777" w:rsidR="00EB64F7" w:rsidRDefault="00000000">
            <w:pPr>
              <w:autoSpaceDE w:val="0"/>
              <w:jc w:val="center"/>
              <w:rPr>
                <w:rFonts w:ascii="宋体" w:hAnsi="宋体" w:cs="Times New Roman" w:hint="eastAsia"/>
                <w:b/>
                <w:color w:val="000000"/>
                <w:szCs w:val="21"/>
              </w:rPr>
            </w:pPr>
            <w:r>
              <w:rPr>
                <w:rFonts w:ascii="宋体" w:hAnsi="宋体" w:cs="Times New Roman" w:hint="eastAsia"/>
                <w:b/>
                <w:color w:val="000000"/>
                <w:szCs w:val="21"/>
              </w:rPr>
              <w:t>单位</w:t>
            </w:r>
          </w:p>
        </w:tc>
        <w:tc>
          <w:tcPr>
            <w:tcW w:w="2126" w:type="dxa"/>
            <w:tcBorders>
              <w:top w:val="single" w:sz="4" w:space="0" w:color="auto"/>
              <w:left w:val="single" w:sz="4" w:space="0" w:color="auto"/>
              <w:bottom w:val="single" w:sz="4" w:space="0" w:color="auto"/>
              <w:right w:val="single" w:sz="4" w:space="0" w:color="auto"/>
            </w:tcBorders>
            <w:vAlign w:val="center"/>
          </w:tcPr>
          <w:p w14:paraId="45BDECD6" w14:textId="77777777" w:rsidR="00EB64F7" w:rsidRDefault="00000000">
            <w:pPr>
              <w:autoSpaceDE w:val="0"/>
              <w:jc w:val="center"/>
              <w:rPr>
                <w:rFonts w:ascii="宋体" w:hAnsi="宋体" w:cs="Times New Roman" w:hint="eastAsia"/>
                <w:b/>
                <w:color w:val="000000"/>
                <w:szCs w:val="21"/>
              </w:rPr>
            </w:pPr>
            <w:r>
              <w:rPr>
                <w:rFonts w:ascii="宋体" w:hAnsi="宋体" w:cs="Times New Roman" w:hint="eastAsia"/>
                <w:b/>
                <w:color w:val="000000"/>
                <w:szCs w:val="21"/>
              </w:rPr>
              <w:t>数量</w:t>
            </w:r>
          </w:p>
        </w:tc>
        <w:tc>
          <w:tcPr>
            <w:tcW w:w="2168" w:type="dxa"/>
            <w:tcBorders>
              <w:top w:val="single" w:sz="4" w:space="0" w:color="auto"/>
              <w:left w:val="single" w:sz="4" w:space="0" w:color="auto"/>
              <w:bottom w:val="single" w:sz="4" w:space="0" w:color="auto"/>
              <w:right w:val="single" w:sz="4" w:space="0" w:color="auto"/>
            </w:tcBorders>
            <w:vAlign w:val="center"/>
          </w:tcPr>
          <w:p w14:paraId="2233ABEE" w14:textId="77777777" w:rsidR="00EB64F7" w:rsidRDefault="00000000">
            <w:pPr>
              <w:autoSpaceDE w:val="0"/>
              <w:jc w:val="center"/>
              <w:rPr>
                <w:rFonts w:ascii="宋体" w:hAnsi="宋体" w:cs="Times New Roman" w:hint="eastAsia"/>
                <w:b/>
                <w:color w:val="000000"/>
                <w:szCs w:val="21"/>
              </w:rPr>
            </w:pPr>
            <w:r>
              <w:rPr>
                <w:rFonts w:ascii="宋体" w:hAnsi="宋体" w:cs="Times New Roman" w:hint="eastAsia"/>
                <w:b/>
                <w:color w:val="000000"/>
                <w:szCs w:val="21"/>
              </w:rPr>
              <w:t>单价最高限价（元）</w:t>
            </w:r>
          </w:p>
        </w:tc>
      </w:tr>
      <w:tr w:rsidR="00EB64F7" w14:paraId="41F1152B" w14:textId="77777777">
        <w:trPr>
          <w:trHeight w:val="560"/>
          <w:jc w:val="center"/>
        </w:trPr>
        <w:tc>
          <w:tcPr>
            <w:tcW w:w="667" w:type="dxa"/>
            <w:tcBorders>
              <w:top w:val="single" w:sz="4" w:space="0" w:color="auto"/>
              <w:left w:val="single" w:sz="4" w:space="0" w:color="auto"/>
              <w:bottom w:val="single" w:sz="4" w:space="0" w:color="auto"/>
              <w:right w:val="single" w:sz="4" w:space="0" w:color="auto"/>
            </w:tcBorders>
            <w:vAlign w:val="center"/>
          </w:tcPr>
          <w:p w14:paraId="403B1F85"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1</w:t>
            </w:r>
          </w:p>
        </w:tc>
        <w:tc>
          <w:tcPr>
            <w:tcW w:w="2694" w:type="dxa"/>
            <w:tcBorders>
              <w:top w:val="single" w:sz="4" w:space="0" w:color="auto"/>
              <w:left w:val="single" w:sz="4" w:space="0" w:color="auto"/>
              <w:bottom w:val="single" w:sz="4" w:space="0" w:color="auto"/>
              <w:right w:val="single" w:sz="4" w:space="0" w:color="auto"/>
            </w:tcBorders>
            <w:vAlign w:val="center"/>
          </w:tcPr>
          <w:p w14:paraId="37351546"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鼎湖山泉桶装水18.9L/桶</w:t>
            </w:r>
          </w:p>
        </w:tc>
        <w:tc>
          <w:tcPr>
            <w:tcW w:w="850" w:type="dxa"/>
            <w:tcBorders>
              <w:top w:val="single" w:sz="4" w:space="0" w:color="auto"/>
              <w:left w:val="single" w:sz="4" w:space="0" w:color="auto"/>
              <w:bottom w:val="single" w:sz="4" w:space="0" w:color="auto"/>
              <w:right w:val="single" w:sz="4" w:space="0" w:color="auto"/>
            </w:tcBorders>
            <w:vAlign w:val="center"/>
          </w:tcPr>
          <w:p w14:paraId="0A7DDDBF"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桶</w:t>
            </w:r>
          </w:p>
        </w:tc>
        <w:tc>
          <w:tcPr>
            <w:tcW w:w="2126" w:type="dxa"/>
            <w:tcBorders>
              <w:top w:val="single" w:sz="4" w:space="0" w:color="auto"/>
              <w:left w:val="single" w:sz="4" w:space="0" w:color="auto"/>
              <w:bottom w:val="single" w:sz="4" w:space="0" w:color="auto"/>
              <w:right w:val="single" w:sz="4" w:space="0" w:color="auto"/>
            </w:tcBorders>
            <w:vAlign w:val="center"/>
          </w:tcPr>
          <w:p w14:paraId="19B0AE86"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以实际供应数量为准</w:t>
            </w:r>
          </w:p>
        </w:tc>
        <w:tc>
          <w:tcPr>
            <w:tcW w:w="2168" w:type="dxa"/>
            <w:tcBorders>
              <w:top w:val="single" w:sz="4" w:space="0" w:color="auto"/>
              <w:left w:val="single" w:sz="4" w:space="0" w:color="auto"/>
              <w:bottom w:val="single" w:sz="4" w:space="0" w:color="auto"/>
              <w:right w:val="single" w:sz="4" w:space="0" w:color="auto"/>
            </w:tcBorders>
            <w:vAlign w:val="center"/>
          </w:tcPr>
          <w:p w14:paraId="2A23FEC2" w14:textId="77777777" w:rsidR="00EB64F7" w:rsidRDefault="00000000">
            <w:pPr>
              <w:autoSpaceDE w:val="0"/>
              <w:jc w:val="center"/>
              <w:rPr>
                <w:rFonts w:ascii="宋体" w:hAnsi="宋体" w:cs="Times New Roman" w:hint="eastAsia"/>
                <w:szCs w:val="21"/>
              </w:rPr>
            </w:pPr>
            <w:r>
              <w:rPr>
                <w:rFonts w:ascii="宋体" w:hAnsi="宋体" w:cs="Times New Roman" w:hint="eastAsia"/>
                <w:szCs w:val="21"/>
              </w:rPr>
              <w:t>18.66</w:t>
            </w:r>
          </w:p>
        </w:tc>
      </w:tr>
      <w:tr w:rsidR="00EB64F7" w14:paraId="3ECFC626" w14:textId="77777777">
        <w:trPr>
          <w:jc w:val="center"/>
        </w:trPr>
        <w:tc>
          <w:tcPr>
            <w:tcW w:w="667" w:type="dxa"/>
            <w:tcBorders>
              <w:top w:val="single" w:sz="4" w:space="0" w:color="auto"/>
              <w:left w:val="single" w:sz="4" w:space="0" w:color="auto"/>
              <w:bottom w:val="single" w:sz="4" w:space="0" w:color="auto"/>
              <w:right w:val="single" w:sz="4" w:space="0" w:color="auto"/>
            </w:tcBorders>
            <w:vAlign w:val="center"/>
          </w:tcPr>
          <w:p w14:paraId="58C5F167"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2</w:t>
            </w:r>
          </w:p>
        </w:tc>
        <w:tc>
          <w:tcPr>
            <w:tcW w:w="2694" w:type="dxa"/>
            <w:tcBorders>
              <w:top w:val="single" w:sz="4" w:space="0" w:color="auto"/>
              <w:left w:val="single" w:sz="4" w:space="0" w:color="auto"/>
              <w:bottom w:val="single" w:sz="4" w:space="0" w:color="auto"/>
              <w:right w:val="single" w:sz="4" w:space="0" w:color="auto"/>
            </w:tcBorders>
            <w:vAlign w:val="center"/>
          </w:tcPr>
          <w:p w14:paraId="3CCAF401" w14:textId="77777777" w:rsidR="00EB64F7" w:rsidRDefault="00000000">
            <w:pPr>
              <w:autoSpaceDE w:val="0"/>
              <w:jc w:val="center"/>
              <w:rPr>
                <w:rFonts w:ascii="宋体" w:hAnsi="宋体" w:cs="Times New Roman" w:hint="eastAsia"/>
                <w:szCs w:val="21"/>
              </w:rPr>
            </w:pPr>
            <w:r>
              <w:rPr>
                <w:rFonts w:ascii="宋体" w:hAnsi="宋体" w:cs="Times New Roman" w:hint="eastAsia"/>
                <w:bCs/>
                <w:color w:val="000000"/>
                <w:szCs w:val="21"/>
              </w:rPr>
              <w:t>鼎湖山泉支装水365ml（24支/箱）</w:t>
            </w:r>
          </w:p>
        </w:tc>
        <w:tc>
          <w:tcPr>
            <w:tcW w:w="850" w:type="dxa"/>
            <w:tcBorders>
              <w:top w:val="single" w:sz="4" w:space="0" w:color="auto"/>
              <w:left w:val="single" w:sz="4" w:space="0" w:color="auto"/>
              <w:bottom w:val="single" w:sz="4" w:space="0" w:color="auto"/>
              <w:right w:val="single" w:sz="4" w:space="0" w:color="auto"/>
            </w:tcBorders>
            <w:vAlign w:val="center"/>
          </w:tcPr>
          <w:p w14:paraId="50FFA04E"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箱</w:t>
            </w:r>
          </w:p>
        </w:tc>
        <w:tc>
          <w:tcPr>
            <w:tcW w:w="2126" w:type="dxa"/>
            <w:tcBorders>
              <w:top w:val="single" w:sz="4" w:space="0" w:color="auto"/>
              <w:left w:val="single" w:sz="4" w:space="0" w:color="auto"/>
              <w:bottom w:val="single" w:sz="4" w:space="0" w:color="auto"/>
              <w:right w:val="single" w:sz="4" w:space="0" w:color="auto"/>
            </w:tcBorders>
            <w:vAlign w:val="center"/>
          </w:tcPr>
          <w:p w14:paraId="79B5B749"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以实际供应数量为准</w:t>
            </w:r>
          </w:p>
        </w:tc>
        <w:tc>
          <w:tcPr>
            <w:tcW w:w="2168" w:type="dxa"/>
            <w:tcBorders>
              <w:top w:val="single" w:sz="4" w:space="0" w:color="auto"/>
              <w:left w:val="single" w:sz="4" w:space="0" w:color="auto"/>
              <w:bottom w:val="single" w:sz="4" w:space="0" w:color="auto"/>
              <w:right w:val="single" w:sz="4" w:space="0" w:color="auto"/>
            </w:tcBorders>
            <w:vAlign w:val="center"/>
          </w:tcPr>
          <w:p w14:paraId="4B455B63" w14:textId="77777777" w:rsidR="00EB64F7" w:rsidRDefault="00000000">
            <w:pPr>
              <w:autoSpaceDE w:val="0"/>
              <w:jc w:val="center"/>
              <w:rPr>
                <w:rFonts w:ascii="宋体" w:hAnsi="宋体" w:cs="Times New Roman" w:hint="eastAsia"/>
                <w:szCs w:val="21"/>
              </w:rPr>
            </w:pPr>
            <w:r>
              <w:rPr>
                <w:rFonts w:ascii="宋体" w:hAnsi="宋体" w:cs="Times New Roman" w:hint="eastAsia"/>
                <w:szCs w:val="21"/>
              </w:rPr>
              <w:t>31.2</w:t>
            </w:r>
          </w:p>
        </w:tc>
      </w:tr>
      <w:tr w:rsidR="00EB64F7" w14:paraId="001B9981" w14:textId="77777777">
        <w:trPr>
          <w:jc w:val="center"/>
        </w:trPr>
        <w:tc>
          <w:tcPr>
            <w:tcW w:w="667" w:type="dxa"/>
            <w:tcBorders>
              <w:top w:val="single" w:sz="4" w:space="0" w:color="auto"/>
              <w:left w:val="single" w:sz="4" w:space="0" w:color="auto"/>
              <w:bottom w:val="single" w:sz="4" w:space="0" w:color="auto"/>
              <w:right w:val="single" w:sz="4" w:space="0" w:color="auto"/>
            </w:tcBorders>
            <w:vAlign w:val="center"/>
          </w:tcPr>
          <w:p w14:paraId="43F169D5"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3</w:t>
            </w:r>
          </w:p>
        </w:tc>
        <w:tc>
          <w:tcPr>
            <w:tcW w:w="2694" w:type="dxa"/>
            <w:tcBorders>
              <w:top w:val="single" w:sz="4" w:space="0" w:color="auto"/>
              <w:left w:val="single" w:sz="4" w:space="0" w:color="auto"/>
              <w:bottom w:val="single" w:sz="4" w:space="0" w:color="auto"/>
              <w:right w:val="single" w:sz="4" w:space="0" w:color="auto"/>
            </w:tcBorders>
            <w:vAlign w:val="center"/>
          </w:tcPr>
          <w:p w14:paraId="1F75FBE7"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鼎湖山泉支装水500ml（24支/箱）</w:t>
            </w:r>
          </w:p>
        </w:tc>
        <w:tc>
          <w:tcPr>
            <w:tcW w:w="850" w:type="dxa"/>
            <w:tcBorders>
              <w:top w:val="single" w:sz="4" w:space="0" w:color="auto"/>
              <w:left w:val="single" w:sz="4" w:space="0" w:color="auto"/>
              <w:bottom w:val="single" w:sz="4" w:space="0" w:color="auto"/>
              <w:right w:val="single" w:sz="4" w:space="0" w:color="auto"/>
            </w:tcBorders>
            <w:vAlign w:val="center"/>
          </w:tcPr>
          <w:p w14:paraId="0C4D9980"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箱</w:t>
            </w:r>
          </w:p>
        </w:tc>
        <w:tc>
          <w:tcPr>
            <w:tcW w:w="2126" w:type="dxa"/>
            <w:tcBorders>
              <w:top w:val="single" w:sz="4" w:space="0" w:color="auto"/>
              <w:left w:val="single" w:sz="4" w:space="0" w:color="auto"/>
              <w:bottom w:val="single" w:sz="4" w:space="0" w:color="auto"/>
              <w:right w:val="single" w:sz="4" w:space="0" w:color="auto"/>
            </w:tcBorders>
            <w:vAlign w:val="center"/>
          </w:tcPr>
          <w:p w14:paraId="1806690B" w14:textId="77777777" w:rsidR="00EB64F7" w:rsidRDefault="00000000">
            <w:pPr>
              <w:autoSpaceDE w:val="0"/>
              <w:jc w:val="center"/>
              <w:rPr>
                <w:rFonts w:ascii="宋体" w:hAnsi="宋体" w:cs="Times New Roman" w:hint="eastAsia"/>
                <w:bCs/>
                <w:color w:val="000000"/>
                <w:szCs w:val="21"/>
              </w:rPr>
            </w:pPr>
            <w:r>
              <w:rPr>
                <w:rFonts w:ascii="宋体" w:hAnsi="宋体" w:cs="Times New Roman" w:hint="eastAsia"/>
                <w:bCs/>
                <w:color w:val="000000"/>
                <w:szCs w:val="21"/>
              </w:rPr>
              <w:t>以实际供应数量为准</w:t>
            </w:r>
          </w:p>
        </w:tc>
        <w:tc>
          <w:tcPr>
            <w:tcW w:w="2168" w:type="dxa"/>
            <w:tcBorders>
              <w:top w:val="single" w:sz="4" w:space="0" w:color="auto"/>
              <w:left w:val="single" w:sz="4" w:space="0" w:color="auto"/>
              <w:bottom w:val="single" w:sz="4" w:space="0" w:color="auto"/>
              <w:right w:val="single" w:sz="4" w:space="0" w:color="auto"/>
            </w:tcBorders>
            <w:vAlign w:val="center"/>
          </w:tcPr>
          <w:p w14:paraId="48F87E8C" w14:textId="77777777" w:rsidR="00EB64F7" w:rsidRDefault="00000000">
            <w:pPr>
              <w:autoSpaceDE w:val="0"/>
              <w:jc w:val="center"/>
              <w:rPr>
                <w:rFonts w:ascii="宋体" w:hAnsi="宋体" w:cs="Times New Roman" w:hint="eastAsia"/>
                <w:szCs w:val="21"/>
              </w:rPr>
            </w:pPr>
            <w:r>
              <w:rPr>
                <w:rFonts w:ascii="宋体" w:hAnsi="宋体" w:cs="Times New Roman" w:hint="eastAsia"/>
                <w:szCs w:val="21"/>
              </w:rPr>
              <w:t>29.8</w:t>
            </w:r>
          </w:p>
        </w:tc>
      </w:tr>
      <w:tr w:rsidR="00EB64F7" w14:paraId="52DD8C2B" w14:textId="77777777">
        <w:trPr>
          <w:trHeight w:val="501"/>
          <w:jc w:val="center"/>
        </w:trPr>
        <w:tc>
          <w:tcPr>
            <w:tcW w:w="8505" w:type="dxa"/>
            <w:gridSpan w:val="5"/>
            <w:tcBorders>
              <w:top w:val="single" w:sz="4" w:space="0" w:color="auto"/>
              <w:left w:val="single" w:sz="4" w:space="0" w:color="auto"/>
              <w:bottom w:val="single" w:sz="4" w:space="0" w:color="auto"/>
              <w:right w:val="single" w:sz="4" w:space="0" w:color="auto"/>
            </w:tcBorders>
            <w:vAlign w:val="center"/>
          </w:tcPr>
          <w:p w14:paraId="3DDC98C5" w14:textId="77777777" w:rsidR="00EB64F7" w:rsidRDefault="00000000">
            <w:pPr>
              <w:autoSpaceDE w:val="0"/>
              <w:jc w:val="center"/>
              <w:rPr>
                <w:rFonts w:ascii="宋体" w:hAnsi="宋体" w:cs="Times New Roman" w:hint="eastAsia"/>
                <w:szCs w:val="21"/>
              </w:rPr>
            </w:pPr>
            <w:r>
              <w:rPr>
                <w:rFonts w:ascii="宋体" w:hAnsi="宋体" w:cs="Times New Roman" w:hint="eastAsia"/>
                <w:szCs w:val="21"/>
              </w:rPr>
              <w:t>注：单价包括但不限于产品采购费用、货物配送费、包装费、运输费、保险费、装卸费、质保期售后服务费、全额含税发票费用等完成双方交易及合同实施过程中的应预见和不可预见的所有费用。</w:t>
            </w:r>
          </w:p>
        </w:tc>
      </w:tr>
    </w:tbl>
    <w:p w14:paraId="1857243E"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合同金额</w:t>
      </w:r>
    </w:p>
    <w:p w14:paraId="62161119" w14:textId="77777777" w:rsidR="00EB64F7" w:rsidRDefault="00000000">
      <w:pPr>
        <w:spacing w:line="360" w:lineRule="auto"/>
        <w:ind w:firstLineChars="200" w:firstLine="420"/>
        <w:rPr>
          <w:rFonts w:ascii="宋体" w:hAnsi="宋体" w:hint="eastAsia"/>
          <w:szCs w:val="21"/>
        </w:rPr>
      </w:pPr>
      <w:r>
        <w:rPr>
          <w:rFonts w:ascii="宋体" w:hAnsi="宋体" w:hint="eastAsia"/>
          <w:szCs w:val="21"/>
        </w:rPr>
        <w:t>（一）合同总价：人民币</w:t>
      </w:r>
      <w:r>
        <w:rPr>
          <w:rFonts w:ascii="宋体" w:hAnsi="宋体" w:hint="eastAsia"/>
          <w:szCs w:val="21"/>
          <w:u w:val="single"/>
        </w:rPr>
        <w:t>叁拾万圆整</w:t>
      </w:r>
      <w:r>
        <w:rPr>
          <w:rFonts w:ascii="宋体" w:hAnsi="宋体" w:hint="eastAsia"/>
          <w:szCs w:val="21"/>
        </w:rPr>
        <w:t>（</w:t>
      </w:r>
      <w:r>
        <w:rPr>
          <w:rFonts w:ascii="宋体" w:hAnsi="宋体" w:cs="Calibri"/>
          <w:szCs w:val="21"/>
        </w:rPr>
        <w:t>¥</w:t>
      </w:r>
      <w:r>
        <w:rPr>
          <w:rFonts w:ascii="宋体" w:hAnsi="宋体" w:hint="eastAsia"/>
          <w:szCs w:val="21"/>
          <w:u w:val="single"/>
        </w:rPr>
        <w:t>300000</w:t>
      </w:r>
      <w:r>
        <w:rPr>
          <w:rFonts w:ascii="宋体" w:hAnsi="宋体" w:hint="eastAsia"/>
          <w:szCs w:val="21"/>
        </w:rPr>
        <w:t>）。最终以实际配送发生数量作为结算依据，采购费用超出项目预算金额，采购人有权立即终止合同。本项目结算以采购人实际提出的需求数量和经采购人确认的成交供应商实际送货数量为准，未经采购人确认的，采购人有权拒绝付款。</w:t>
      </w:r>
    </w:p>
    <w:p w14:paraId="039ADD3A" w14:textId="77777777" w:rsidR="00EB64F7" w:rsidRDefault="00000000">
      <w:pPr>
        <w:spacing w:line="360" w:lineRule="auto"/>
        <w:ind w:firstLineChars="200" w:firstLine="420"/>
        <w:rPr>
          <w:rFonts w:ascii="宋体" w:hAnsi="宋体" w:hint="eastAsia"/>
          <w:b/>
          <w:bCs/>
          <w:spacing w:val="-3"/>
          <w:szCs w:val="21"/>
        </w:rPr>
      </w:pPr>
      <w:r>
        <w:rPr>
          <w:rFonts w:ascii="宋体" w:hAnsi="宋体" w:hint="eastAsia"/>
          <w:szCs w:val="21"/>
        </w:rPr>
        <w:t>（二）</w:t>
      </w:r>
      <w:r>
        <w:rPr>
          <w:rFonts w:ascii="宋体" w:hAnsi="宋体" w:hint="eastAsia"/>
          <w:spacing w:val="-3"/>
          <w:szCs w:val="21"/>
        </w:rPr>
        <w:t>在项目履行过程中，综合单价（即销售额，含成交供应商销项税额）不随法律法规政策、物价成本等的变动或其他任何原因而做调整。成交供应商履行本项目合同所需的所有费用，包括但不限于所投入的人工成本、货物的包装、运输保险、卸货、各项税费及合同实施过程中不可预见费用。</w:t>
      </w:r>
    </w:p>
    <w:p w14:paraId="6725B82F"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交货要求</w:t>
      </w:r>
    </w:p>
    <w:p w14:paraId="2D17D32B" w14:textId="77777777" w:rsidR="00EB64F7" w:rsidRDefault="00000000">
      <w:pPr>
        <w:spacing w:line="360" w:lineRule="auto"/>
        <w:ind w:firstLineChars="200" w:firstLine="408"/>
        <w:rPr>
          <w:rFonts w:ascii="宋体" w:hAnsi="宋体" w:hint="eastAsia"/>
          <w:spacing w:val="-3"/>
          <w:szCs w:val="21"/>
        </w:rPr>
      </w:pPr>
      <w:r>
        <w:rPr>
          <w:rFonts w:ascii="宋体" w:hAnsi="宋体" w:hint="eastAsia"/>
          <w:spacing w:val="-3"/>
          <w:szCs w:val="21"/>
        </w:rPr>
        <w:t>（一）交货地点：广东省肇庆监狱（具体位置由采购人指定的地点）。</w:t>
      </w:r>
    </w:p>
    <w:p w14:paraId="060CE846" w14:textId="77777777" w:rsidR="00EB64F7" w:rsidRDefault="00000000">
      <w:pPr>
        <w:spacing w:line="360" w:lineRule="auto"/>
        <w:ind w:firstLineChars="200" w:firstLine="408"/>
        <w:rPr>
          <w:rFonts w:ascii="宋体" w:hAnsi="宋体" w:hint="eastAsia"/>
          <w:spacing w:val="-3"/>
          <w:szCs w:val="21"/>
        </w:rPr>
      </w:pPr>
      <w:r>
        <w:rPr>
          <w:rFonts w:ascii="宋体" w:hAnsi="宋体" w:hint="eastAsia"/>
          <w:spacing w:val="-3"/>
          <w:szCs w:val="21"/>
        </w:rPr>
        <w:t>（二）服务期：自合同签订之日起</w:t>
      </w:r>
      <w:r>
        <w:rPr>
          <w:rFonts w:ascii="宋体" w:hAnsi="宋体" w:hint="eastAsia"/>
          <w:spacing w:val="-3"/>
          <w:szCs w:val="21"/>
          <w:u w:val="single"/>
        </w:rPr>
        <w:t>1</w:t>
      </w:r>
      <w:r>
        <w:rPr>
          <w:rFonts w:ascii="宋体" w:hAnsi="宋体" w:hint="eastAsia"/>
          <w:spacing w:val="-3"/>
          <w:szCs w:val="21"/>
        </w:rPr>
        <w:t>年。</w:t>
      </w:r>
    </w:p>
    <w:p w14:paraId="38377C21"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lastRenderedPageBreak/>
        <w:t>合同签订期限</w:t>
      </w:r>
    </w:p>
    <w:p w14:paraId="43A1C864" w14:textId="77777777" w:rsidR="00EB64F7"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color w:val="000000"/>
          <w:sz w:val="21"/>
        </w:rPr>
        <w:t>成交供应商与采购人在</w:t>
      </w:r>
      <w:r>
        <w:rPr>
          <w:rFonts w:hAnsi="宋体" w:cs="宋体" w:hint="eastAsia"/>
          <w:color w:val="000000"/>
          <w:sz w:val="21"/>
        </w:rPr>
        <w:t>本项目</w:t>
      </w:r>
      <w:r>
        <w:rPr>
          <w:rFonts w:hAnsi="宋体" w:cs="宋体"/>
          <w:color w:val="000000"/>
          <w:sz w:val="21"/>
        </w:rPr>
        <w:t>结果公告发布之日起15个工作日内签订合同。</w:t>
      </w:r>
    </w:p>
    <w:p w14:paraId="30918C54"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质量要求</w:t>
      </w:r>
    </w:p>
    <w:p w14:paraId="5AC150D9" w14:textId="77777777" w:rsidR="00EB64F7" w:rsidRDefault="00000000">
      <w:pPr>
        <w:spacing w:line="360" w:lineRule="auto"/>
        <w:ind w:firstLineChars="200" w:firstLine="408"/>
        <w:rPr>
          <w:rFonts w:ascii="宋体" w:hAnsi="宋体" w:hint="eastAsia"/>
          <w:spacing w:val="-3"/>
          <w:szCs w:val="21"/>
        </w:rPr>
      </w:pPr>
      <w:r>
        <w:rPr>
          <w:rFonts w:ascii="宋体" w:hAnsi="宋体" w:hint="eastAsia"/>
          <w:spacing w:val="-3"/>
          <w:szCs w:val="21"/>
        </w:rPr>
        <w:t>（一）成交供应商提供的桶装水、支装水品牌应为鼎湖山泉，否则采购人有权拒绝接收并解除合同、没收成交供应商履约保证金。</w:t>
      </w:r>
    </w:p>
    <w:p w14:paraId="454788F9" w14:textId="77777777" w:rsidR="00EB64F7" w:rsidRDefault="00000000">
      <w:pPr>
        <w:spacing w:line="360" w:lineRule="auto"/>
        <w:ind w:firstLineChars="200" w:firstLine="408"/>
        <w:rPr>
          <w:rFonts w:ascii="宋体" w:hAnsi="宋体" w:hint="eastAsia"/>
          <w:spacing w:val="-3"/>
          <w:szCs w:val="21"/>
        </w:rPr>
      </w:pPr>
      <w:r>
        <w:rPr>
          <w:rFonts w:ascii="宋体" w:hAnsi="宋体" w:hint="eastAsia"/>
          <w:spacing w:val="-3"/>
          <w:szCs w:val="21"/>
        </w:rPr>
        <w:t>（二）购置桶装水规格为每桶18.9L，支装水365ml（24支/箱），支装水500ml（24支/箱）。</w:t>
      </w:r>
    </w:p>
    <w:p w14:paraId="645E80C3" w14:textId="77777777" w:rsidR="00EB64F7" w:rsidRDefault="00000000">
      <w:pPr>
        <w:spacing w:line="360" w:lineRule="auto"/>
        <w:ind w:firstLineChars="200" w:firstLine="408"/>
        <w:rPr>
          <w:rFonts w:ascii="宋体" w:hAnsi="宋体" w:hint="eastAsia"/>
          <w:spacing w:val="-3"/>
          <w:szCs w:val="21"/>
        </w:rPr>
      </w:pPr>
      <w:r>
        <w:rPr>
          <w:rFonts w:ascii="宋体" w:hAnsi="宋体" w:hint="eastAsia"/>
          <w:spacing w:val="-3"/>
          <w:szCs w:val="21"/>
        </w:rPr>
        <w:t>（三）成交供应商不得提供所列要求以外档次货物，如不符合要求档次的，采购人有权拒绝。</w:t>
      </w:r>
    </w:p>
    <w:p w14:paraId="187E9D8C"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服务要求</w:t>
      </w:r>
    </w:p>
    <w:p w14:paraId="4C6EBC21" w14:textId="77777777" w:rsidR="00EB64F7" w:rsidRDefault="00000000">
      <w:pPr>
        <w:autoSpaceDE w:val="0"/>
        <w:spacing w:line="360" w:lineRule="auto"/>
        <w:ind w:firstLineChars="202" w:firstLine="424"/>
        <w:rPr>
          <w:rFonts w:ascii="宋体" w:hAnsi="宋体" w:cs="Times New Roman" w:hint="eastAsia"/>
          <w:szCs w:val="21"/>
        </w:rPr>
      </w:pPr>
      <w:r>
        <w:rPr>
          <w:rFonts w:ascii="宋体" w:hAnsi="宋体" w:cs="Times New Roman" w:hint="eastAsia"/>
          <w:szCs w:val="21"/>
        </w:rPr>
        <w:t>（一）不管楼层高低或者有无电梯，成交供应商均须负责送水上门，不能加收运输费或上门费等额外费用。</w:t>
      </w:r>
    </w:p>
    <w:p w14:paraId="4F3427A3" w14:textId="77777777" w:rsidR="00EB64F7" w:rsidRDefault="00000000">
      <w:pPr>
        <w:autoSpaceDE w:val="0"/>
        <w:spacing w:line="360" w:lineRule="auto"/>
        <w:ind w:firstLineChars="202" w:firstLine="424"/>
        <w:rPr>
          <w:rFonts w:ascii="宋体" w:hAnsi="宋体" w:cs="Times New Roman" w:hint="eastAsia"/>
          <w:szCs w:val="21"/>
        </w:rPr>
      </w:pPr>
      <w:r>
        <w:rPr>
          <w:rFonts w:ascii="宋体" w:hAnsi="宋体" w:cs="Times New Roman" w:hint="eastAsia"/>
          <w:szCs w:val="21"/>
        </w:rPr>
        <w:t>（二）紧急用水时，成交供应商接到电话通知后三小时内（包括节假日）须将货物送到指定地点，采购人指定专人进行清点验收，如因运输过程中发生货物短少现象，由成交供应商负责。</w:t>
      </w:r>
    </w:p>
    <w:p w14:paraId="1EE17667"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供货要求</w:t>
      </w:r>
    </w:p>
    <w:p w14:paraId="4A880D42" w14:textId="77777777" w:rsidR="00EB64F7" w:rsidRDefault="00000000">
      <w:pPr>
        <w:spacing w:line="360" w:lineRule="auto"/>
        <w:ind w:firstLineChars="200" w:firstLine="420"/>
        <w:rPr>
          <w:rFonts w:ascii="宋体" w:hAnsi="宋体" w:cs="Times New Roman" w:hint="eastAsia"/>
          <w:szCs w:val="21"/>
        </w:rPr>
      </w:pPr>
      <w:r>
        <w:rPr>
          <w:rFonts w:ascii="宋体" w:hAnsi="宋体" w:cs="Times New Roman" w:hint="eastAsia"/>
          <w:szCs w:val="21"/>
        </w:rPr>
        <w:t>（一）成交供应商应严格按照合同要求和国家标准生产和检验，保证所提供的饮用水符合国家颁布的饮用水卫生标准。</w:t>
      </w:r>
    </w:p>
    <w:p w14:paraId="60716D86" w14:textId="77777777" w:rsidR="00EB64F7" w:rsidRDefault="00000000">
      <w:pPr>
        <w:spacing w:line="360" w:lineRule="auto"/>
        <w:ind w:firstLineChars="200" w:firstLine="420"/>
        <w:rPr>
          <w:rFonts w:ascii="宋体" w:hAnsi="宋体" w:cs="Times New Roman" w:hint="eastAsia"/>
          <w:bCs/>
          <w:szCs w:val="21"/>
        </w:rPr>
      </w:pPr>
      <w:r>
        <w:rPr>
          <w:rFonts w:ascii="宋体" w:hAnsi="宋体" w:cs="Times New Roman" w:hint="eastAsia"/>
          <w:szCs w:val="21"/>
        </w:rPr>
        <w:t>（二）成交供应商每季度提供一次桶装水检验报告，如因采购人工作需要，成交供应商需无条件提供该批次饮用水检验合格证明，并由成交供应商承担检验费用。</w:t>
      </w:r>
    </w:p>
    <w:p w14:paraId="7A8391A1" w14:textId="77777777" w:rsidR="00EB64F7" w:rsidRDefault="00000000">
      <w:pPr>
        <w:autoSpaceDE w:val="0"/>
        <w:spacing w:line="360" w:lineRule="auto"/>
        <w:ind w:firstLineChars="200" w:firstLine="420"/>
        <w:rPr>
          <w:rFonts w:ascii="宋体" w:hAnsi="宋体" w:cs="Times New Roman" w:hint="eastAsia"/>
          <w:bCs/>
          <w:szCs w:val="21"/>
        </w:rPr>
      </w:pPr>
      <w:r>
        <w:rPr>
          <w:rFonts w:ascii="宋体" w:hAnsi="宋体" w:cs="Times New Roman" w:hint="eastAsia"/>
          <w:szCs w:val="21"/>
        </w:rPr>
        <w:t>（三）成交供应商不得提供所列要求以外档次货物，如不符合要求档次的，采购人有权拒绝。</w:t>
      </w:r>
    </w:p>
    <w:p w14:paraId="2476D988"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（四）成交供应商提供假冒伪劣、不合格产品的，一经发现，采购人有权要求无条件退货或换货，没收成交供应商所提供的桶装水和履约保证金，并终止合同。</w:t>
      </w:r>
    </w:p>
    <w:p w14:paraId="7E83FC9C"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五）成交供应商提供假冒伪劣、不合格产品的，造成安全事故的，经有关单位鉴定原因后，如确实为成交供应商提供货物的问题，成交供应商除需负担全数医药费、没收履约保证金之外，采购人将取消成交供应商供货资格以及供货合同，成交供应商还需同时承担相应的民事及刑事法律责任及放弃先诉抗辩权。</w:t>
      </w:r>
    </w:p>
    <w:p w14:paraId="287EF472"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管理要求</w:t>
      </w:r>
    </w:p>
    <w:p w14:paraId="297471FD" w14:textId="77777777" w:rsidR="00EB64F7" w:rsidRDefault="00000000">
      <w:pPr>
        <w:autoSpaceDE w:val="0"/>
        <w:spacing w:line="360" w:lineRule="auto"/>
        <w:ind w:firstLineChars="202" w:firstLine="424"/>
        <w:rPr>
          <w:rFonts w:ascii="宋体" w:hAnsi="宋体" w:cs="Times New Roman" w:hint="eastAsia"/>
          <w:szCs w:val="21"/>
        </w:rPr>
      </w:pPr>
      <w:r>
        <w:rPr>
          <w:rFonts w:ascii="宋体" w:hAnsi="宋体" w:cs="Times New Roman" w:hint="eastAsia"/>
          <w:szCs w:val="21"/>
        </w:rPr>
        <w:t>（一）成交供应商应自觉遵守采购人管理有关规定，服从采购人的管理，做好本公司工</w:t>
      </w:r>
      <w:r>
        <w:rPr>
          <w:rFonts w:ascii="宋体" w:hAnsi="宋体" w:cs="Times New Roman" w:hint="eastAsia"/>
          <w:szCs w:val="21"/>
        </w:rPr>
        <w:lastRenderedPageBreak/>
        <w:t>作人员的教育工作，加强对送水员工的日常安全教育与安全管理，避免任何安全事故的发生。因管理不善而造成的人身或设备损坏，由成交供应商承担全部责任。</w:t>
      </w:r>
    </w:p>
    <w:p w14:paraId="7345AFB4" w14:textId="77777777" w:rsidR="00EB64F7" w:rsidRDefault="00000000">
      <w:pPr>
        <w:autoSpaceDE w:val="0"/>
        <w:spacing w:line="360" w:lineRule="auto"/>
        <w:ind w:firstLineChars="202" w:firstLine="424"/>
        <w:rPr>
          <w:rFonts w:ascii="宋体" w:hAnsi="宋体" w:cs="Times New Roman" w:hint="eastAsia"/>
          <w:szCs w:val="21"/>
        </w:rPr>
      </w:pPr>
      <w:r>
        <w:rPr>
          <w:rFonts w:ascii="宋体" w:hAnsi="宋体" w:cs="Times New Roman" w:hint="eastAsia"/>
          <w:szCs w:val="21"/>
        </w:rPr>
        <w:t>（二）如果成交供应商违反管理规定，经采购人书面警告三次仍不改正的，采购人有权单方面解除合同；因采购人单方面解除合同所带来的经济损失，由成交供应商负责赔偿，同时，没收成交供应商的履约保证金。</w:t>
      </w:r>
    </w:p>
    <w:p w14:paraId="53728074"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（三）成交供应商应保证使用方在使用该货物或其任何一部分时，不受第三方侵权指控。同时，成交供应商不得向第三方泄露采购人提供的技术文件等资料。</w:t>
      </w:r>
    </w:p>
    <w:p w14:paraId="6AB6C9EA" w14:textId="77777777" w:rsidR="00EB64F7" w:rsidRDefault="00000000">
      <w:pPr>
        <w:overflowPunct w:val="0"/>
        <w:autoSpaceDE w:val="0"/>
        <w:autoSpaceDN w:val="0"/>
        <w:adjustRightInd w:val="0"/>
        <w:spacing w:line="360" w:lineRule="auto"/>
        <w:ind w:firstLineChars="200" w:firstLine="408"/>
        <w:textAlignment w:val="baseline"/>
        <w:rPr>
          <w:rFonts w:ascii="宋体" w:hAnsi="宋体" w:hint="eastAsia"/>
          <w:spacing w:val="-3"/>
          <w:szCs w:val="21"/>
        </w:rPr>
      </w:pPr>
      <w:r>
        <w:rPr>
          <w:rFonts w:ascii="宋体" w:hAnsi="宋体" w:hint="eastAsia"/>
          <w:spacing w:val="-3"/>
          <w:szCs w:val="21"/>
        </w:rPr>
        <w:t>（四）合同期内，如成交供应商出现以下情形之一的，采购人有权单方解除本项目合同，同时没收成交供应商履约保证金。包括但不限于：</w:t>
      </w:r>
    </w:p>
    <w:p w14:paraId="016D05CE" w14:textId="77777777" w:rsidR="00EB64F7" w:rsidRDefault="00000000">
      <w:pPr>
        <w:overflowPunct w:val="0"/>
        <w:autoSpaceDE w:val="0"/>
        <w:autoSpaceDN w:val="0"/>
        <w:adjustRightInd w:val="0"/>
        <w:spacing w:line="360" w:lineRule="auto"/>
        <w:ind w:firstLineChars="200" w:firstLine="408"/>
        <w:textAlignment w:val="baseline"/>
        <w:rPr>
          <w:rFonts w:ascii="宋体" w:hAnsi="宋体" w:hint="eastAsia"/>
          <w:spacing w:val="-3"/>
          <w:szCs w:val="21"/>
        </w:rPr>
      </w:pPr>
      <w:r>
        <w:rPr>
          <w:rFonts w:ascii="宋体" w:hAnsi="宋体" w:hint="eastAsia"/>
          <w:spacing w:val="-3"/>
          <w:szCs w:val="21"/>
        </w:rPr>
        <w:t>1.成交供应商未能满足紧急用水送货需求或送货短少累计出现</w:t>
      </w:r>
      <w:r>
        <w:rPr>
          <w:rFonts w:ascii="宋体" w:hAnsi="宋体" w:hint="eastAsia"/>
          <w:spacing w:val="-3"/>
          <w:szCs w:val="21"/>
          <w:u w:val="single"/>
        </w:rPr>
        <w:t xml:space="preserve"> 3 </w:t>
      </w:r>
      <w:r>
        <w:rPr>
          <w:rFonts w:ascii="宋体" w:hAnsi="宋体" w:hint="eastAsia"/>
          <w:spacing w:val="-3"/>
          <w:szCs w:val="21"/>
        </w:rPr>
        <w:t>次（含</w:t>
      </w:r>
      <w:r>
        <w:rPr>
          <w:rFonts w:ascii="宋体" w:hAnsi="宋体" w:hint="eastAsia"/>
          <w:spacing w:val="-3"/>
          <w:szCs w:val="21"/>
          <w:u w:val="single"/>
        </w:rPr>
        <w:t xml:space="preserve"> 3 </w:t>
      </w:r>
      <w:r>
        <w:rPr>
          <w:rFonts w:ascii="宋体" w:hAnsi="宋体" w:hint="eastAsia"/>
          <w:spacing w:val="-3"/>
          <w:szCs w:val="21"/>
        </w:rPr>
        <w:t>次）；</w:t>
      </w:r>
    </w:p>
    <w:p w14:paraId="4E84639C" w14:textId="77777777" w:rsidR="00EB64F7" w:rsidRDefault="005D3D64">
      <w:pPr>
        <w:overflowPunct w:val="0"/>
        <w:autoSpaceDE w:val="0"/>
        <w:autoSpaceDN w:val="0"/>
        <w:adjustRightInd w:val="0"/>
        <w:spacing w:line="360" w:lineRule="auto"/>
        <w:ind w:firstLineChars="200" w:firstLine="408"/>
        <w:textAlignment w:val="baseline"/>
        <w:rPr>
          <w:rFonts w:ascii="宋体" w:hAnsi="宋体" w:hint="eastAsia"/>
          <w:kern w:val="0"/>
          <w:szCs w:val="21"/>
        </w:rPr>
      </w:pPr>
      <w:r>
        <w:rPr>
          <w:rFonts w:ascii="宋体" w:hAnsi="宋体" w:hint="eastAsia"/>
          <w:spacing w:val="-3"/>
          <w:szCs w:val="21"/>
        </w:rPr>
        <w:t>2.逾期送货超过</w:t>
      </w:r>
      <w:r>
        <w:rPr>
          <w:rFonts w:ascii="宋体" w:hAnsi="宋体" w:hint="eastAsia"/>
          <w:spacing w:val="-3"/>
          <w:szCs w:val="21"/>
          <w:u w:val="single"/>
        </w:rPr>
        <w:t xml:space="preserve"> 1 </w:t>
      </w:r>
      <w:r>
        <w:rPr>
          <w:rFonts w:ascii="宋体" w:hAnsi="宋体" w:hint="eastAsia"/>
          <w:spacing w:val="-3"/>
          <w:szCs w:val="21"/>
        </w:rPr>
        <w:t>日。</w:t>
      </w:r>
    </w:p>
    <w:p w14:paraId="47EE4538"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保险</w:t>
      </w:r>
    </w:p>
    <w:p w14:paraId="1AE249B7"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货物到达交货地点之前的所有保险费用和派往采购人进行服务人员的人身险和其他有关险种，以及有关费用由成交供应商负责。</w:t>
      </w:r>
    </w:p>
    <w:p w14:paraId="7632B92F"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付款</w:t>
      </w:r>
    </w:p>
    <w:p w14:paraId="12F739C3"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（一）货款按当月实际采购的总货价进行结算，并于次月底前一次性凭成交供应商开具的国家正式发票结清上月货款。</w:t>
      </w:r>
    </w:p>
    <w:p w14:paraId="316FA0B8"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（二）采购人以银行转账</w:t>
      </w:r>
      <w:r>
        <w:rPr>
          <w:rFonts w:ascii="宋体" w:hAnsi="宋体" w:cs="Times New Roman" w:hint="eastAsia"/>
          <w:szCs w:val="21"/>
        </w:rPr>
        <w:t>、银行汇付（含电汇）等方式</w:t>
      </w:r>
      <w:r>
        <w:rPr>
          <w:rFonts w:ascii="宋体" w:hAnsi="宋体" w:cs="Times New Roman" w:hint="eastAsia"/>
          <w:spacing w:val="-3"/>
          <w:szCs w:val="21"/>
        </w:rPr>
        <w:t>付款。如采购人对对账款项存在异议应两个工作日内告知成交供应商，双方应尽快重新进行确认。异议期间，采购人有权终止款项支付且不构成违约。</w:t>
      </w:r>
    </w:p>
    <w:p w14:paraId="22757322"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履约保证金</w:t>
      </w:r>
    </w:p>
    <w:p w14:paraId="0ECEB359"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（一）交纳履约保证金。签订合同后</w:t>
      </w:r>
      <w:r>
        <w:rPr>
          <w:rFonts w:ascii="宋体" w:hAnsi="宋体" w:cs="Times New Roman" w:hint="eastAsia"/>
          <w:szCs w:val="21"/>
          <w:u w:val="single"/>
        </w:rPr>
        <w:t>五个工作日内</w:t>
      </w:r>
      <w:r>
        <w:rPr>
          <w:rFonts w:ascii="宋体" w:hAnsi="宋体" w:cs="Times New Roman" w:hint="eastAsia"/>
          <w:szCs w:val="21"/>
        </w:rPr>
        <w:t>，成交供应商需提交一份金额为合同总金额</w:t>
      </w:r>
      <w:r>
        <w:rPr>
          <w:rFonts w:ascii="宋体" w:hAnsi="宋体" w:cs="Times New Roman" w:hint="eastAsia"/>
          <w:szCs w:val="21"/>
          <w:u w:val="single"/>
        </w:rPr>
        <w:t>5%</w:t>
      </w:r>
      <w:r>
        <w:rPr>
          <w:rFonts w:ascii="宋体" w:hAnsi="宋体" w:cs="Times New Roman" w:hint="eastAsia"/>
          <w:szCs w:val="21"/>
        </w:rPr>
        <w:t>的履约保证金。如成交供应商逾期未足额缴纳履约保证金的，采购人有权立即解除本项目合同，如因此造成采购人需要重新采购等损失的，采购人保留追究权利。</w:t>
      </w:r>
    </w:p>
    <w:p w14:paraId="2AC32890"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（二）退还履约保证金。成交供应商履行完成合同约定权利义务事项在合同期满之日起且验收合格</w:t>
      </w:r>
      <w:r>
        <w:rPr>
          <w:rFonts w:ascii="宋体" w:hAnsi="宋体" w:cs="Times New Roman" w:hint="eastAsia"/>
          <w:szCs w:val="21"/>
          <w:u w:val="single"/>
        </w:rPr>
        <w:t>15个工作日</w:t>
      </w:r>
      <w:r>
        <w:rPr>
          <w:rFonts w:ascii="宋体" w:hAnsi="宋体" w:cs="Times New Roman" w:hint="eastAsia"/>
          <w:szCs w:val="21"/>
        </w:rPr>
        <w:t>内退还。不计利息。</w:t>
      </w:r>
    </w:p>
    <w:p w14:paraId="1BF7DDE1"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（三）如成交供应商未能按要求履行合同，违反相关规定的，采购人将有权没收履约保证金或扣除相应违约金额。发生以下情形之一，经调查属实的，扣除5%履约保证金：</w:t>
      </w:r>
    </w:p>
    <w:p w14:paraId="0F07B1BF"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1.未按要求随货提供相关票证；</w:t>
      </w:r>
    </w:p>
    <w:p w14:paraId="353A97EC"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2.货物质量验收不合格，出现假冒伪劣、以次充好的产品；</w:t>
      </w:r>
    </w:p>
    <w:p w14:paraId="23E300AB"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lastRenderedPageBreak/>
        <w:t>3.未按采购人计划的时间供货（提前一天与采购人协商除外）；</w:t>
      </w:r>
    </w:p>
    <w:p w14:paraId="569D61FB"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4.配送的货物未按采购人要求包装、分类或指定地点卸货；</w:t>
      </w:r>
    </w:p>
    <w:p w14:paraId="6EC4CD6C" w14:textId="77777777" w:rsidR="00EB64F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5.货物出现质量问题，成交供应商需在2个工作日内查找出原因，并向采购人反馈处理结果。</w:t>
      </w:r>
    </w:p>
    <w:p w14:paraId="0F099003"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异议索赔</w:t>
      </w:r>
    </w:p>
    <w:p w14:paraId="7CE68C97"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（一）</w:t>
      </w:r>
      <w:r>
        <w:rPr>
          <w:rFonts w:ascii="宋体" w:hAnsi="宋体" w:cs="Times New Roman" w:hint="eastAsia"/>
          <w:szCs w:val="21"/>
        </w:rPr>
        <w:t>采购人有权拒收不符合质量标准的货物。成交供应商对于所提供不符要求的服务与合同负有责任，成交供应商负担由此发生的一切损失和费用。包括银行利息、运输和保险费、检验费、仓储和装卸费等必要的费用。</w:t>
      </w:r>
    </w:p>
    <w:p w14:paraId="33AC8454" w14:textId="77777777" w:rsidR="00EB64F7" w:rsidRDefault="00000000">
      <w:pPr>
        <w:spacing w:line="360" w:lineRule="auto"/>
        <w:ind w:firstLineChars="200" w:firstLine="408"/>
        <w:rPr>
          <w:rFonts w:ascii="宋体" w:hAnsi="宋体" w:cs="Times New Roman" w:hint="eastAsia"/>
          <w:spacing w:val="-3"/>
          <w:szCs w:val="21"/>
        </w:rPr>
      </w:pPr>
      <w:r>
        <w:rPr>
          <w:rFonts w:ascii="宋体" w:hAnsi="宋体" w:cs="Times New Roman" w:hint="eastAsia"/>
          <w:spacing w:val="-3"/>
          <w:szCs w:val="21"/>
        </w:rPr>
        <w:t>（二）如果在采购人发出索赔通知后</w:t>
      </w:r>
      <w:r>
        <w:rPr>
          <w:rFonts w:ascii="宋体" w:hAnsi="宋体" w:cs="Times New Roman" w:hint="eastAsia"/>
          <w:spacing w:val="-3"/>
          <w:szCs w:val="21"/>
          <w:u w:val="single"/>
        </w:rPr>
        <w:t>10</w:t>
      </w:r>
      <w:r>
        <w:rPr>
          <w:rFonts w:ascii="宋体" w:hAnsi="宋体" w:cs="Times New Roman" w:hint="eastAsia"/>
          <w:spacing w:val="-3"/>
          <w:szCs w:val="21"/>
        </w:rPr>
        <w:t>天内，成交供应商未作答复，上述索赔应视为已被成交供应商接受。如成交供应商未能在收到索赔通知后</w:t>
      </w:r>
      <w:r>
        <w:rPr>
          <w:rFonts w:ascii="宋体" w:hAnsi="宋体" w:cs="Times New Roman" w:hint="eastAsia"/>
          <w:spacing w:val="-3"/>
          <w:szCs w:val="21"/>
          <w:u w:val="single"/>
        </w:rPr>
        <w:t>10</w:t>
      </w:r>
      <w:r>
        <w:rPr>
          <w:rFonts w:ascii="宋体" w:hAnsi="宋体" w:cs="Times New Roman" w:hint="eastAsia"/>
          <w:spacing w:val="-3"/>
          <w:szCs w:val="21"/>
        </w:rPr>
        <w:t>天内或征得采购人同意的延长期内，按照采购人选择的方法解决索赔事宜，采购人将有权从货款或从成交供应商开具的履约保证金中扣回索赔金额，同时保留进一步要求索赔的权力。</w:t>
      </w:r>
    </w:p>
    <w:p w14:paraId="7C5D4D93"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不可抗力</w:t>
      </w:r>
    </w:p>
    <w:p w14:paraId="2275F00C" w14:textId="77777777" w:rsidR="00EB64F7" w:rsidRDefault="00000000">
      <w:pPr>
        <w:pStyle w:val="ab"/>
        <w:tabs>
          <w:tab w:val="left" w:pos="540"/>
        </w:tabs>
        <w:adjustRightInd w:val="0"/>
        <w:snapToGrid w:val="0"/>
        <w:spacing w:line="360" w:lineRule="auto"/>
        <w:ind w:firstLineChars="200" w:firstLine="408"/>
        <w:rPr>
          <w:rFonts w:hAnsi="宋体" w:hint="eastAsia"/>
          <w:spacing w:val="-3"/>
          <w:sz w:val="21"/>
        </w:rPr>
      </w:pPr>
      <w:r>
        <w:rPr>
          <w:rFonts w:hAnsi="宋体" w:hint="eastAsia"/>
          <w:spacing w:val="-3"/>
          <w:sz w:val="21"/>
        </w:rPr>
        <w:t>（一）由于不可预见、不可避免、不可克服等不可抗力的原因，一方不能履行合同义务的，应当在不可抗力发生之日起</w:t>
      </w:r>
      <w:r>
        <w:rPr>
          <w:rFonts w:hAnsi="宋体" w:hint="eastAsia"/>
          <w:spacing w:val="-3"/>
          <w:sz w:val="21"/>
          <w:u w:val="single"/>
        </w:rPr>
        <w:t>14</w:t>
      </w:r>
      <w:r>
        <w:rPr>
          <w:rFonts w:hAnsi="宋体" w:hint="eastAsia"/>
          <w:spacing w:val="-3"/>
          <w:sz w:val="21"/>
        </w:rPr>
        <w:t>天内以书面形式通知对方，证明不可抗力事件的存在。</w:t>
      </w:r>
    </w:p>
    <w:p w14:paraId="2186C8B7" w14:textId="77777777" w:rsidR="00EB64F7" w:rsidRDefault="00000000">
      <w:pPr>
        <w:pStyle w:val="ab"/>
        <w:tabs>
          <w:tab w:val="left" w:pos="540"/>
        </w:tabs>
        <w:adjustRightInd w:val="0"/>
        <w:snapToGrid w:val="0"/>
        <w:spacing w:line="360" w:lineRule="auto"/>
        <w:ind w:firstLineChars="200" w:firstLine="408"/>
        <w:rPr>
          <w:rFonts w:hAnsi="宋体" w:cs="宋体" w:hint="eastAsia"/>
          <w:b/>
          <w:bCs/>
          <w:color w:val="000000"/>
          <w:sz w:val="21"/>
        </w:rPr>
      </w:pPr>
      <w:r>
        <w:rPr>
          <w:rFonts w:hAnsi="宋体" w:hint="eastAsia"/>
          <w:spacing w:val="-3"/>
          <w:sz w:val="21"/>
        </w:rPr>
        <w:t>（二）不可抗力事件发生后，采购人和成交供应商应当积极寻求以合理的方式履行本项目合同。如不可抗力无法消除，致使合同目的无法实现的，双方均有权解除合同，且均不互相索赔。</w:t>
      </w:r>
    </w:p>
    <w:p w14:paraId="4ACECB7A" w14:textId="77777777" w:rsidR="00EB64F7"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争议解决方式</w:t>
      </w:r>
    </w:p>
    <w:p w14:paraId="7A60ED98" w14:textId="77777777" w:rsidR="00EB64F7" w:rsidRDefault="00000000">
      <w:pPr>
        <w:spacing w:line="360" w:lineRule="auto"/>
        <w:ind w:firstLineChars="200" w:firstLine="408"/>
        <w:rPr>
          <w:rFonts w:ascii="宋体" w:hAnsi="宋体" w:cs="Times New Roman" w:hint="eastAsia"/>
          <w:szCs w:val="21"/>
        </w:rPr>
      </w:pPr>
      <w:r>
        <w:rPr>
          <w:rFonts w:ascii="宋体" w:hAnsi="宋体" w:cs="Times New Roman" w:hint="eastAsia"/>
          <w:spacing w:val="-3"/>
          <w:szCs w:val="21"/>
        </w:rPr>
        <w:t>本项目合同发生争议，由双方协商或由政府采购监督管理部门调解解决，协商或调解不成时可以向采购人所在地人民法院提起诉讼（在诉讼期间，除有争议部分的事项外，合同其他部分仍应继续履行）。</w:t>
      </w:r>
    </w:p>
    <w:p w14:paraId="7387DE18" w14:textId="77777777" w:rsidR="00EB64F7" w:rsidRDefault="00EB64F7">
      <w:pPr>
        <w:pStyle w:val="ab"/>
        <w:tabs>
          <w:tab w:val="left" w:pos="540"/>
        </w:tabs>
        <w:adjustRightInd w:val="0"/>
        <w:snapToGrid w:val="0"/>
        <w:spacing w:line="360" w:lineRule="auto"/>
        <w:ind w:firstLineChars="200" w:firstLine="420"/>
        <w:rPr>
          <w:rFonts w:hAnsi="宋体" w:cs="宋体" w:hint="eastAsia"/>
          <w:color w:val="000000" w:themeColor="text1"/>
          <w:sz w:val="21"/>
        </w:rPr>
      </w:pPr>
    </w:p>
    <w:p w14:paraId="3E6044EA" w14:textId="77777777" w:rsidR="00EB64F7" w:rsidRDefault="00000000">
      <w:pPr>
        <w:pStyle w:val="ab"/>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color w:val="000000" w:themeColor="text1"/>
          <w:sz w:val="21"/>
        </w:rPr>
        <w:t xml:space="preserve">   </w:t>
      </w:r>
    </w:p>
    <w:p w14:paraId="0E40AB23" w14:textId="77777777" w:rsidR="00EB64F7"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61F2274B" w14:textId="77777777" w:rsidR="00EB64F7"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21DA5053" w14:textId="77777777" w:rsidR="00EB64F7"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EB64F7" w14:paraId="39CCF3AC"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4F483F17" w14:textId="77777777" w:rsidR="00EB64F7"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21A94560" w14:textId="77777777" w:rsidR="00EB64F7"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75D73C8D" w14:textId="77777777" w:rsidR="00EB64F7"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418" w:type="dxa"/>
            <w:tcBorders>
              <w:top w:val="single" w:sz="12" w:space="0" w:color="auto"/>
              <w:left w:val="single" w:sz="2" w:space="0" w:color="auto"/>
              <w:bottom w:val="single" w:sz="2" w:space="0" w:color="auto"/>
              <w:right w:val="single" w:sz="12" w:space="0" w:color="auto"/>
            </w:tcBorders>
            <w:vAlign w:val="center"/>
          </w:tcPr>
          <w:p w14:paraId="5D3AF4C4" w14:textId="77777777" w:rsidR="00EB64F7"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EB64F7" w14:paraId="437599EF"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06ACD99E" w14:textId="77777777" w:rsidR="00EB64F7" w:rsidRDefault="00000000">
            <w:pPr>
              <w:jc w:val="center"/>
              <w:rPr>
                <w:rFonts w:ascii="宋体" w:hAnsi="宋体" w:hint="eastAsia"/>
                <w:color w:val="000000"/>
                <w:szCs w:val="21"/>
              </w:rPr>
            </w:pPr>
            <w:r>
              <w:rPr>
                <w:rFonts w:ascii="宋体" w:hAnsi="宋体" w:hint="eastAsia"/>
                <w:color w:val="000000"/>
                <w:szCs w:val="21"/>
              </w:rPr>
              <w:t>广东省肇庆监狱采购2025年桶装水（含支装水）项目</w:t>
            </w:r>
          </w:p>
        </w:tc>
        <w:tc>
          <w:tcPr>
            <w:tcW w:w="1065" w:type="dxa"/>
            <w:tcBorders>
              <w:top w:val="single" w:sz="2" w:space="0" w:color="auto"/>
              <w:left w:val="single" w:sz="2" w:space="0" w:color="auto"/>
              <w:bottom w:val="single" w:sz="12" w:space="0" w:color="auto"/>
              <w:right w:val="single" w:sz="2" w:space="0" w:color="auto"/>
            </w:tcBorders>
            <w:vAlign w:val="center"/>
          </w:tcPr>
          <w:p w14:paraId="3025247E" w14:textId="2363C1B2" w:rsidR="00EB64F7" w:rsidRDefault="00000000">
            <w:pPr>
              <w:jc w:val="center"/>
              <w:rPr>
                <w:rFonts w:ascii="宋体" w:hAnsi="宋体" w:hint="eastAsia"/>
                <w:color w:val="000000"/>
                <w:szCs w:val="21"/>
              </w:rPr>
            </w:pPr>
            <w:r>
              <w:rPr>
                <w:rFonts w:ascii="宋体" w:hAnsi="宋体" w:hint="eastAsia"/>
                <w:color w:val="000000"/>
                <w:szCs w:val="21"/>
              </w:rPr>
              <w:t>1</w:t>
            </w:r>
            <w:r w:rsidR="007316A7">
              <w:rPr>
                <w:rFonts w:ascii="宋体" w:hAnsi="宋体" w:hint="eastAsia"/>
                <w:color w:val="000000"/>
                <w:szCs w:val="21"/>
              </w:rPr>
              <w:t>批</w:t>
            </w:r>
          </w:p>
        </w:tc>
        <w:tc>
          <w:tcPr>
            <w:tcW w:w="2151" w:type="dxa"/>
            <w:tcBorders>
              <w:top w:val="single" w:sz="2" w:space="0" w:color="auto"/>
              <w:left w:val="single" w:sz="2" w:space="0" w:color="auto"/>
              <w:bottom w:val="single" w:sz="12" w:space="0" w:color="auto"/>
              <w:right w:val="single" w:sz="2" w:space="0" w:color="auto"/>
            </w:tcBorders>
            <w:vAlign w:val="center"/>
          </w:tcPr>
          <w:p w14:paraId="1BF5C20E" w14:textId="77777777" w:rsidR="00EB64F7" w:rsidRDefault="00000000">
            <w:pPr>
              <w:shd w:val="clear" w:color="auto" w:fill="FFFFFF"/>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418" w:type="dxa"/>
            <w:tcBorders>
              <w:top w:val="single" w:sz="2" w:space="0" w:color="auto"/>
              <w:left w:val="single" w:sz="2" w:space="0" w:color="auto"/>
              <w:bottom w:val="single" w:sz="12" w:space="0" w:color="auto"/>
              <w:right w:val="single" w:sz="12" w:space="0" w:color="auto"/>
            </w:tcBorders>
            <w:vAlign w:val="center"/>
          </w:tcPr>
          <w:p w14:paraId="3E22431E" w14:textId="77777777" w:rsidR="00EB64F7" w:rsidRDefault="00EB64F7">
            <w:pPr>
              <w:shd w:val="clear" w:color="auto" w:fill="FFFFFF"/>
              <w:jc w:val="center"/>
              <w:rPr>
                <w:rFonts w:ascii="宋体" w:hAnsi="宋体" w:hint="eastAsia"/>
                <w:szCs w:val="21"/>
                <w:shd w:val="clear" w:color="auto" w:fill="FFFFFF"/>
              </w:rPr>
            </w:pPr>
          </w:p>
        </w:tc>
      </w:tr>
    </w:tbl>
    <w:p w14:paraId="119F3CF8" w14:textId="77777777" w:rsidR="00EB64F7" w:rsidRDefault="00EB64F7">
      <w:pPr>
        <w:spacing w:line="500" w:lineRule="exact"/>
        <w:rPr>
          <w:rFonts w:ascii="宋体" w:hAnsi="宋体" w:hint="eastAsia"/>
          <w:b/>
          <w:color w:val="000000"/>
          <w:spacing w:val="4"/>
          <w:szCs w:val="21"/>
        </w:rPr>
      </w:pPr>
    </w:p>
    <w:p w14:paraId="24F2B316" w14:textId="77777777" w:rsidR="00EB64F7"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0DCD274A" w14:textId="77777777" w:rsidR="00EB64F7"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供应商必须按报价表的格式填写，不得增加或删除表格内容。除目要求填写的内容外，不得擅自改动报价表内容，否则将有可能影响成交结果，不推荐为成交候选人；</w:t>
      </w:r>
    </w:p>
    <w:p w14:paraId="126902A0" w14:textId="77777777" w:rsidR="00EB64F7"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61966534" w14:textId="77777777" w:rsidR="00EB64F7"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61B554C1" w14:textId="77777777" w:rsidR="00EB64F7"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04815A4A" w14:textId="77777777" w:rsidR="00EB64F7"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下浮率的报价均应包含国家规定的税费；</w:t>
      </w:r>
    </w:p>
    <w:p w14:paraId="71718B1E" w14:textId="77777777" w:rsidR="00EB64F7" w:rsidRDefault="00000000">
      <w:pPr>
        <w:widowControl/>
        <w:numPr>
          <w:ilvl w:val="0"/>
          <w:numId w:val="14"/>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本项目不接受有选择性的报价，只允许报一个下浮率，且所报的下浮率应当适用于该类别所有产品单品</w:t>
      </w:r>
      <w:r>
        <w:rPr>
          <w:rFonts w:ascii="宋体" w:hAnsi="宋体" w:hint="eastAsia"/>
          <w:b/>
          <w:bCs/>
          <w:kern w:val="0"/>
        </w:rPr>
        <w:t>。</w:t>
      </w:r>
    </w:p>
    <w:p w14:paraId="2BF2ED9E" w14:textId="77777777" w:rsidR="00EB64F7" w:rsidRDefault="00000000">
      <w:pPr>
        <w:widowControl/>
        <w:spacing w:line="360" w:lineRule="auto"/>
        <w:ind w:left="420"/>
        <w:jc w:val="left"/>
        <w:rPr>
          <w:kern w:val="0"/>
          <w:sz w:val="20"/>
          <w:szCs w:val="20"/>
        </w:rPr>
      </w:pPr>
      <w:r>
        <w:rPr>
          <w:rFonts w:ascii="宋体" w:hAnsi="宋体" w:hint="eastAsia"/>
          <w:b/>
          <w:bCs/>
          <w:kern w:val="0"/>
        </w:rPr>
        <w:t xml:space="preserve">                                                                         </w:t>
      </w:r>
    </w:p>
    <w:p w14:paraId="219299A5" w14:textId="77777777" w:rsidR="00EB64F7"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01D2137" w14:textId="77777777" w:rsidR="00EB64F7" w:rsidRDefault="00EB64F7">
      <w:pPr>
        <w:spacing w:line="360" w:lineRule="auto"/>
        <w:ind w:right="218"/>
        <w:jc w:val="right"/>
        <w:rPr>
          <w:rFonts w:ascii="宋体" w:hAnsi="宋体" w:hint="eastAsia"/>
          <w:color w:val="000000"/>
          <w:spacing w:val="4"/>
          <w:szCs w:val="21"/>
          <w:u w:val="single"/>
        </w:rPr>
      </w:pPr>
    </w:p>
    <w:p w14:paraId="488FFF64" w14:textId="77777777" w:rsidR="00EB64F7"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74572F2" w14:textId="77777777" w:rsidR="00EB64F7" w:rsidRDefault="00000000">
      <w:pPr>
        <w:pStyle w:val="2"/>
      </w:pPr>
      <w:r>
        <w:br w:type="page"/>
      </w:r>
      <w:r>
        <w:rPr>
          <w:rFonts w:hint="eastAsia"/>
        </w:rPr>
        <w:lastRenderedPageBreak/>
        <w:t>采购需求书响应声明函</w:t>
      </w:r>
    </w:p>
    <w:p w14:paraId="1E57A308" w14:textId="77777777" w:rsidR="00EB64F7"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231619B6" w14:textId="77777777" w:rsidR="00EB64F7" w:rsidRDefault="00EB64F7">
      <w:pPr>
        <w:spacing w:line="360" w:lineRule="auto"/>
        <w:rPr>
          <w:rFonts w:ascii="宋体" w:hAnsi="宋体" w:hint="eastAsia"/>
          <w:color w:val="000000"/>
          <w:lang w:val="zh-CN"/>
        </w:rPr>
      </w:pPr>
    </w:p>
    <w:p w14:paraId="21E5309D" w14:textId="77777777" w:rsidR="00EB64F7"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广东省肇庆监狱采购2025年桶装水（含支装水）项目</w:t>
      </w:r>
      <w:r>
        <w:rPr>
          <w:rFonts w:ascii="宋体" w:hAnsi="宋体" w:hint="eastAsia"/>
          <w:color w:val="000000"/>
          <w:szCs w:val="21"/>
        </w:rPr>
        <w:t>的竞价公告，本公司（企业）愿意参加竞价活动，并作出如下声明：</w:t>
      </w:r>
    </w:p>
    <w:p w14:paraId="7086B42D" w14:textId="77777777" w:rsidR="00EB64F7"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7ABB0493" w14:textId="77777777" w:rsidR="00EB64F7"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73AB80B2" w14:textId="77777777" w:rsidR="00EB64F7"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15753244" w14:textId="77777777" w:rsidR="00EB64F7" w:rsidRDefault="00000000">
      <w:pPr>
        <w:pStyle w:val="afc"/>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4C160915" w14:textId="77777777" w:rsidR="00EB64F7" w:rsidRDefault="00000000">
      <w:pPr>
        <w:pStyle w:val="afc"/>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0467552E" w14:textId="77777777" w:rsidR="00EB64F7" w:rsidRDefault="00EB64F7">
      <w:pPr>
        <w:widowControl/>
        <w:spacing w:line="360" w:lineRule="auto"/>
        <w:jc w:val="left"/>
        <w:rPr>
          <w:rFonts w:ascii="宋体" w:hAnsi="宋体" w:hint="eastAsia"/>
          <w:b/>
          <w:bCs/>
          <w:color w:val="000000"/>
          <w:kern w:val="0"/>
          <w:sz w:val="32"/>
          <w:szCs w:val="32"/>
        </w:rPr>
      </w:pPr>
    </w:p>
    <w:p w14:paraId="0B3B846E" w14:textId="77777777" w:rsidR="00EB64F7"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55424B7" w14:textId="77777777" w:rsidR="00EB64F7" w:rsidRDefault="00EB64F7">
      <w:pPr>
        <w:spacing w:line="360" w:lineRule="auto"/>
        <w:ind w:firstLineChars="50" w:firstLine="105"/>
        <w:jc w:val="right"/>
        <w:rPr>
          <w:rFonts w:ascii="宋体" w:hAnsi="宋体" w:hint="eastAsia"/>
          <w:color w:val="000000"/>
          <w:szCs w:val="21"/>
          <w:u w:val="single"/>
        </w:rPr>
      </w:pPr>
    </w:p>
    <w:p w14:paraId="08112F2A" w14:textId="77777777" w:rsidR="00EB64F7"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64B17F5" w14:textId="77777777" w:rsidR="00EB64F7" w:rsidRDefault="00EB64F7">
      <w:pPr>
        <w:widowControl/>
        <w:spacing w:line="360" w:lineRule="auto"/>
        <w:jc w:val="right"/>
        <w:rPr>
          <w:rFonts w:ascii="宋体" w:hAnsi="宋体" w:hint="eastAsia"/>
          <w:b/>
          <w:bCs/>
          <w:color w:val="000000"/>
          <w:kern w:val="0"/>
          <w:sz w:val="32"/>
          <w:szCs w:val="32"/>
          <w:lang w:val="zh-CN"/>
        </w:rPr>
      </w:pPr>
    </w:p>
    <w:p w14:paraId="59E2C03C" w14:textId="77777777" w:rsidR="00EB64F7" w:rsidRDefault="00EB64F7">
      <w:pPr>
        <w:spacing w:line="360" w:lineRule="auto"/>
        <w:rPr>
          <w:rFonts w:ascii="宋体" w:hAnsi="宋体" w:hint="eastAsia"/>
          <w:color w:val="000000"/>
        </w:rPr>
      </w:pPr>
    </w:p>
    <w:p w14:paraId="6AF59A68" w14:textId="77777777" w:rsidR="00EB64F7"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6B317519" w14:textId="77777777" w:rsidR="00EB64F7" w:rsidRDefault="00000000">
      <w:pPr>
        <w:pStyle w:val="2"/>
      </w:pPr>
      <w:r>
        <w:rPr>
          <w:rFonts w:hint="eastAsia"/>
        </w:rPr>
        <w:lastRenderedPageBreak/>
        <w:t>供应商资格声明函</w:t>
      </w:r>
    </w:p>
    <w:p w14:paraId="636640E2" w14:textId="77777777" w:rsidR="00EB64F7" w:rsidRDefault="00EB64F7">
      <w:pPr>
        <w:rPr>
          <w:rFonts w:ascii="宋体" w:hAnsi="宋体" w:hint="eastAsia"/>
          <w:b/>
          <w:color w:val="000000"/>
          <w:szCs w:val="24"/>
        </w:rPr>
      </w:pPr>
    </w:p>
    <w:p w14:paraId="64D4013B" w14:textId="77777777" w:rsidR="00EB64F7"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34401A30" w14:textId="77777777" w:rsidR="00EB64F7" w:rsidRDefault="00EB64F7">
      <w:pPr>
        <w:rPr>
          <w:rFonts w:ascii="宋体" w:hAnsi="宋体" w:hint="eastAsia"/>
          <w:b/>
          <w:color w:val="000000"/>
          <w:szCs w:val="24"/>
        </w:rPr>
      </w:pPr>
    </w:p>
    <w:p w14:paraId="1A39708B" w14:textId="77777777" w:rsidR="00EB64F7"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广东省肇庆监狱采购2025年桶装水（含支装水）项目</w:t>
      </w:r>
      <w:r>
        <w:rPr>
          <w:rFonts w:ascii="宋体" w:hAnsi="宋体" w:hint="eastAsia"/>
          <w:color w:val="000000"/>
          <w:szCs w:val="24"/>
        </w:rPr>
        <w:t>的竞价公告，本公司（企业）愿意参加竞价活动，并作出如下声明：</w:t>
      </w:r>
    </w:p>
    <w:p w14:paraId="289F3474" w14:textId="77777777" w:rsidR="00EB64F7"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7EAC0334"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2803E385"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383C2216"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75F46561"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3BE22DB4"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6F0028C8" w14:textId="77777777" w:rsidR="00EB64F7"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74296B0D" w14:textId="77777777" w:rsidR="00EB64F7"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73FCCF3A" w14:textId="77777777" w:rsidR="00EB64F7"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44A6C780" w14:textId="77777777" w:rsidR="00EB64F7"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4D4054D6" w14:textId="77777777" w:rsidR="00EB64F7" w:rsidRDefault="00000000">
      <w:pPr>
        <w:spacing w:line="360" w:lineRule="auto"/>
        <w:ind w:firstLine="420"/>
        <w:rPr>
          <w:rFonts w:ascii="宋体" w:hAnsi="宋体" w:hint="eastAsia"/>
          <w:szCs w:val="21"/>
        </w:rPr>
      </w:pPr>
      <w:r>
        <w:rPr>
          <w:rFonts w:ascii="宋体" w:hAnsi="宋体" w:hint="eastAsia"/>
          <w:szCs w:val="21"/>
        </w:rPr>
        <w:t>特此声明！</w:t>
      </w:r>
    </w:p>
    <w:p w14:paraId="38037FB1" w14:textId="77777777" w:rsidR="00EB64F7"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9467CFE" w14:textId="77777777" w:rsidR="00EB64F7"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2036185B" w14:textId="77777777" w:rsidR="00EB64F7"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56512D1B" w14:textId="77777777" w:rsidR="00EB64F7"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33C3AAE" w14:textId="77777777" w:rsidR="00EB64F7" w:rsidRDefault="00000000">
      <w:pPr>
        <w:pStyle w:val="afc"/>
        <w:wordWrap w:val="0"/>
        <w:spacing w:line="360" w:lineRule="auto"/>
        <w:ind w:left="1200" w:right="218" w:firstLineChars="0" w:firstLine="0"/>
        <w:jc w:val="right"/>
        <w:rPr>
          <w:rFonts w:ascii="宋体" w:hAnsi="宋体" w:hint="eastAsia"/>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8A3DED5" w14:textId="77777777" w:rsidR="00EB64F7" w:rsidRDefault="00EB64F7">
      <w:pPr>
        <w:pStyle w:val="afc"/>
        <w:spacing w:line="360" w:lineRule="auto"/>
        <w:ind w:left="1200" w:right="1308" w:firstLineChars="0" w:firstLine="0"/>
        <w:jc w:val="right"/>
        <w:rPr>
          <w:rFonts w:ascii="宋体" w:hAnsi="宋体" w:hint="eastAsia"/>
          <w:color w:val="000000"/>
          <w:spacing w:val="4"/>
          <w:szCs w:val="21"/>
          <w:u w:val="single"/>
        </w:rPr>
      </w:pPr>
    </w:p>
    <w:sectPr w:rsidR="00EB64F7">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C971F" w14:textId="77777777" w:rsidR="002414E3" w:rsidRDefault="002414E3">
      <w:r>
        <w:separator/>
      </w:r>
    </w:p>
  </w:endnote>
  <w:endnote w:type="continuationSeparator" w:id="0">
    <w:p w14:paraId="492D0BE4" w14:textId="77777777" w:rsidR="002414E3" w:rsidRDefault="0024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CED1" w14:textId="77777777" w:rsidR="002414E3" w:rsidRDefault="002414E3">
      <w:r>
        <w:separator/>
      </w:r>
    </w:p>
  </w:footnote>
  <w:footnote w:type="continuationSeparator" w:id="0">
    <w:p w14:paraId="641AE748" w14:textId="77777777" w:rsidR="002414E3" w:rsidRDefault="0024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7453" w14:textId="77777777" w:rsidR="00EB64F7"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0E16" w14:textId="77777777" w:rsidR="00EB64F7"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1328705382">
    <w:abstractNumId w:val="4"/>
  </w:num>
  <w:num w:numId="2" w16cid:durableId="1725449067">
    <w:abstractNumId w:val="13"/>
  </w:num>
  <w:num w:numId="3" w16cid:durableId="647513542">
    <w:abstractNumId w:val="2"/>
  </w:num>
  <w:num w:numId="4" w16cid:durableId="823164227">
    <w:abstractNumId w:val="10"/>
  </w:num>
  <w:num w:numId="5" w16cid:durableId="228196895">
    <w:abstractNumId w:val="0"/>
  </w:num>
  <w:num w:numId="6" w16cid:durableId="550993904">
    <w:abstractNumId w:val="5"/>
  </w:num>
  <w:num w:numId="7" w16cid:durableId="152455873">
    <w:abstractNumId w:val="7"/>
  </w:num>
  <w:num w:numId="8" w16cid:durableId="882667748">
    <w:abstractNumId w:val="12"/>
  </w:num>
  <w:num w:numId="9" w16cid:durableId="1113862819">
    <w:abstractNumId w:val="8"/>
  </w:num>
  <w:num w:numId="10" w16cid:durableId="602538561">
    <w:abstractNumId w:val="1"/>
  </w:num>
  <w:num w:numId="11" w16cid:durableId="1192034949">
    <w:abstractNumId w:val="15"/>
  </w:num>
  <w:num w:numId="12" w16cid:durableId="784275024">
    <w:abstractNumId w:val="6"/>
  </w:num>
  <w:num w:numId="13" w16cid:durableId="39522825">
    <w:abstractNumId w:val="3"/>
  </w:num>
  <w:num w:numId="14" w16cid:durableId="1566337374">
    <w:abstractNumId w:val="14"/>
  </w:num>
  <w:num w:numId="15" w16cid:durableId="1178346858">
    <w:abstractNumId w:val="9"/>
  </w:num>
  <w:num w:numId="16" w16cid:durableId="2066292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A16"/>
    <w:rsid w:val="00000D44"/>
    <w:rsid w:val="000018C2"/>
    <w:rsid w:val="00007615"/>
    <w:rsid w:val="00016D38"/>
    <w:rsid w:val="00026973"/>
    <w:rsid w:val="00043872"/>
    <w:rsid w:val="00061A65"/>
    <w:rsid w:val="000704CE"/>
    <w:rsid w:val="00074B9C"/>
    <w:rsid w:val="000A4FC5"/>
    <w:rsid w:val="000B19CB"/>
    <w:rsid w:val="000B2D5A"/>
    <w:rsid w:val="000C3B05"/>
    <w:rsid w:val="000D5F79"/>
    <w:rsid w:val="000E3AB1"/>
    <w:rsid w:val="000E6264"/>
    <w:rsid w:val="00102F3E"/>
    <w:rsid w:val="00104617"/>
    <w:rsid w:val="00104AAE"/>
    <w:rsid w:val="00117CD6"/>
    <w:rsid w:val="00120C1E"/>
    <w:rsid w:val="001276F0"/>
    <w:rsid w:val="00135164"/>
    <w:rsid w:val="00141970"/>
    <w:rsid w:val="00144BF2"/>
    <w:rsid w:val="001462EF"/>
    <w:rsid w:val="001501EF"/>
    <w:rsid w:val="00154365"/>
    <w:rsid w:val="00154B2B"/>
    <w:rsid w:val="00155218"/>
    <w:rsid w:val="00156670"/>
    <w:rsid w:val="00160F25"/>
    <w:rsid w:val="00161258"/>
    <w:rsid w:val="001723F0"/>
    <w:rsid w:val="00172A27"/>
    <w:rsid w:val="00172E02"/>
    <w:rsid w:val="00181FF7"/>
    <w:rsid w:val="001913D2"/>
    <w:rsid w:val="00197F57"/>
    <w:rsid w:val="001A5D6F"/>
    <w:rsid w:val="001C4EFF"/>
    <w:rsid w:val="001C56C6"/>
    <w:rsid w:val="001D5EA6"/>
    <w:rsid w:val="001D7372"/>
    <w:rsid w:val="001E0379"/>
    <w:rsid w:val="001F2B06"/>
    <w:rsid w:val="00206D14"/>
    <w:rsid w:val="002221A8"/>
    <w:rsid w:val="00232DC3"/>
    <w:rsid w:val="00234E01"/>
    <w:rsid w:val="002414E3"/>
    <w:rsid w:val="00247368"/>
    <w:rsid w:val="002656B7"/>
    <w:rsid w:val="00273482"/>
    <w:rsid w:val="002760EE"/>
    <w:rsid w:val="00286571"/>
    <w:rsid w:val="002B6234"/>
    <w:rsid w:val="002D044C"/>
    <w:rsid w:val="002D5DDF"/>
    <w:rsid w:val="002D62A6"/>
    <w:rsid w:val="002E0A58"/>
    <w:rsid w:val="002E10EE"/>
    <w:rsid w:val="002F2EA1"/>
    <w:rsid w:val="00302C9A"/>
    <w:rsid w:val="00326D3C"/>
    <w:rsid w:val="00337C04"/>
    <w:rsid w:val="003407FE"/>
    <w:rsid w:val="00342AD0"/>
    <w:rsid w:val="00362C13"/>
    <w:rsid w:val="00371FD4"/>
    <w:rsid w:val="00374C08"/>
    <w:rsid w:val="00382368"/>
    <w:rsid w:val="003913BD"/>
    <w:rsid w:val="00392A80"/>
    <w:rsid w:val="00397E05"/>
    <w:rsid w:val="003A4170"/>
    <w:rsid w:val="003A6EAE"/>
    <w:rsid w:val="003B1BDB"/>
    <w:rsid w:val="003B3F1F"/>
    <w:rsid w:val="003D3896"/>
    <w:rsid w:val="003D487C"/>
    <w:rsid w:val="003D4C82"/>
    <w:rsid w:val="003F0A0E"/>
    <w:rsid w:val="003F22B1"/>
    <w:rsid w:val="003F29E1"/>
    <w:rsid w:val="00412760"/>
    <w:rsid w:val="00413EFC"/>
    <w:rsid w:val="0041441D"/>
    <w:rsid w:val="00417451"/>
    <w:rsid w:val="00423BC8"/>
    <w:rsid w:val="00426444"/>
    <w:rsid w:val="00431F72"/>
    <w:rsid w:val="004331B1"/>
    <w:rsid w:val="004335CA"/>
    <w:rsid w:val="004430E1"/>
    <w:rsid w:val="00471EAD"/>
    <w:rsid w:val="00487BD3"/>
    <w:rsid w:val="004A24D5"/>
    <w:rsid w:val="004B3BC5"/>
    <w:rsid w:val="004C2F12"/>
    <w:rsid w:val="004D4B8E"/>
    <w:rsid w:val="004E2034"/>
    <w:rsid w:val="004E293C"/>
    <w:rsid w:val="004F18A3"/>
    <w:rsid w:val="004F38CF"/>
    <w:rsid w:val="00502BD9"/>
    <w:rsid w:val="00502ED8"/>
    <w:rsid w:val="00516A11"/>
    <w:rsid w:val="0052453D"/>
    <w:rsid w:val="0052500F"/>
    <w:rsid w:val="00530992"/>
    <w:rsid w:val="00550BD7"/>
    <w:rsid w:val="00551D76"/>
    <w:rsid w:val="005528E7"/>
    <w:rsid w:val="00562B6B"/>
    <w:rsid w:val="0056621D"/>
    <w:rsid w:val="0057595C"/>
    <w:rsid w:val="0057678F"/>
    <w:rsid w:val="00577D29"/>
    <w:rsid w:val="00581635"/>
    <w:rsid w:val="00593636"/>
    <w:rsid w:val="005C11AA"/>
    <w:rsid w:val="005C533E"/>
    <w:rsid w:val="005D3D64"/>
    <w:rsid w:val="005E0D80"/>
    <w:rsid w:val="005E187C"/>
    <w:rsid w:val="005E61F1"/>
    <w:rsid w:val="005F0513"/>
    <w:rsid w:val="005F18DD"/>
    <w:rsid w:val="00611AA8"/>
    <w:rsid w:val="006131F5"/>
    <w:rsid w:val="00615772"/>
    <w:rsid w:val="00620AF3"/>
    <w:rsid w:val="00620C18"/>
    <w:rsid w:val="00621474"/>
    <w:rsid w:val="00623090"/>
    <w:rsid w:val="006335D9"/>
    <w:rsid w:val="0063394B"/>
    <w:rsid w:val="00645B1A"/>
    <w:rsid w:val="006522F5"/>
    <w:rsid w:val="006536F2"/>
    <w:rsid w:val="0065765F"/>
    <w:rsid w:val="00657B1D"/>
    <w:rsid w:val="00664772"/>
    <w:rsid w:val="0068034A"/>
    <w:rsid w:val="00681622"/>
    <w:rsid w:val="006821A9"/>
    <w:rsid w:val="006850CD"/>
    <w:rsid w:val="00695449"/>
    <w:rsid w:val="00697F53"/>
    <w:rsid w:val="006A0E6C"/>
    <w:rsid w:val="006B6450"/>
    <w:rsid w:val="006C2438"/>
    <w:rsid w:val="006C26DA"/>
    <w:rsid w:val="006D1079"/>
    <w:rsid w:val="006F0948"/>
    <w:rsid w:val="006F38E6"/>
    <w:rsid w:val="007005F8"/>
    <w:rsid w:val="007204B7"/>
    <w:rsid w:val="007245F0"/>
    <w:rsid w:val="0072784B"/>
    <w:rsid w:val="007316A7"/>
    <w:rsid w:val="00735C49"/>
    <w:rsid w:val="007373EE"/>
    <w:rsid w:val="007374AD"/>
    <w:rsid w:val="0074099D"/>
    <w:rsid w:val="00744A48"/>
    <w:rsid w:val="00746D1E"/>
    <w:rsid w:val="00746D86"/>
    <w:rsid w:val="007475F6"/>
    <w:rsid w:val="007504E3"/>
    <w:rsid w:val="00752DAE"/>
    <w:rsid w:val="00753305"/>
    <w:rsid w:val="007536AC"/>
    <w:rsid w:val="00753BB5"/>
    <w:rsid w:val="007549D2"/>
    <w:rsid w:val="007557B5"/>
    <w:rsid w:val="007566BA"/>
    <w:rsid w:val="00756B86"/>
    <w:rsid w:val="007631BA"/>
    <w:rsid w:val="00771B3D"/>
    <w:rsid w:val="007748F0"/>
    <w:rsid w:val="00780F05"/>
    <w:rsid w:val="007A0C99"/>
    <w:rsid w:val="007A34C3"/>
    <w:rsid w:val="007A3709"/>
    <w:rsid w:val="007A3898"/>
    <w:rsid w:val="007A6359"/>
    <w:rsid w:val="007B2A19"/>
    <w:rsid w:val="007B3E44"/>
    <w:rsid w:val="007C0042"/>
    <w:rsid w:val="007C0FA8"/>
    <w:rsid w:val="007C25E1"/>
    <w:rsid w:val="007C4C5B"/>
    <w:rsid w:val="007C7107"/>
    <w:rsid w:val="0080616B"/>
    <w:rsid w:val="00807F9F"/>
    <w:rsid w:val="00817F01"/>
    <w:rsid w:val="00823C2D"/>
    <w:rsid w:val="00824B55"/>
    <w:rsid w:val="00833656"/>
    <w:rsid w:val="00834860"/>
    <w:rsid w:val="008515FB"/>
    <w:rsid w:val="008566F7"/>
    <w:rsid w:val="0088032C"/>
    <w:rsid w:val="008B0829"/>
    <w:rsid w:val="008B2C1A"/>
    <w:rsid w:val="008B3D22"/>
    <w:rsid w:val="008B3EF6"/>
    <w:rsid w:val="008C1693"/>
    <w:rsid w:val="008C2E9E"/>
    <w:rsid w:val="008D1E43"/>
    <w:rsid w:val="008D478D"/>
    <w:rsid w:val="008D7DD1"/>
    <w:rsid w:val="00905BA3"/>
    <w:rsid w:val="00907834"/>
    <w:rsid w:val="00915168"/>
    <w:rsid w:val="00915B2E"/>
    <w:rsid w:val="0091684C"/>
    <w:rsid w:val="00930032"/>
    <w:rsid w:val="00941D32"/>
    <w:rsid w:val="00962AE5"/>
    <w:rsid w:val="00975410"/>
    <w:rsid w:val="009801FB"/>
    <w:rsid w:val="0098088B"/>
    <w:rsid w:val="009834F9"/>
    <w:rsid w:val="00986AD3"/>
    <w:rsid w:val="009909BF"/>
    <w:rsid w:val="009930E9"/>
    <w:rsid w:val="009A0ACE"/>
    <w:rsid w:val="009A42D0"/>
    <w:rsid w:val="009B1DF4"/>
    <w:rsid w:val="009B3A66"/>
    <w:rsid w:val="009C47E9"/>
    <w:rsid w:val="009C5015"/>
    <w:rsid w:val="00A11B2A"/>
    <w:rsid w:val="00A16933"/>
    <w:rsid w:val="00A30267"/>
    <w:rsid w:val="00A311B2"/>
    <w:rsid w:val="00A41892"/>
    <w:rsid w:val="00A50D8A"/>
    <w:rsid w:val="00A633F7"/>
    <w:rsid w:val="00A65C0F"/>
    <w:rsid w:val="00A71343"/>
    <w:rsid w:val="00A72224"/>
    <w:rsid w:val="00A76953"/>
    <w:rsid w:val="00A83882"/>
    <w:rsid w:val="00A84C9E"/>
    <w:rsid w:val="00A85C37"/>
    <w:rsid w:val="00A91DCF"/>
    <w:rsid w:val="00A92A18"/>
    <w:rsid w:val="00AA172D"/>
    <w:rsid w:val="00AA179F"/>
    <w:rsid w:val="00AB09FA"/>
    <w:rsid w:val="00AB1A2E"/>
    <w:rsid w:val="00AB1FB4"/>
    <w:rsid w:val="00AB6E1F"/>
    <w:rsid w:val="00AB774D"/>
    <w:rsid w:val="00AC34FC"/>
    <w:rsid w:val="00AC5A8D"/>
    <w:rsid w:val="00AC5BC5"/>
    <w:rsid w:val="00AD6905"/>
    <w:rsid w:val="00AF08DC"/>
    <w:rsid w:val="00AF4E5F"/>
    <w:rsid w:val="00B104D1"/>
    <w:rsid w:val="00B12375"/>
    <w:rsid w:val="00B206A0"/>
    <w:rsid w:val="00B252DA"/>
    <w:rsid w:val="00B271CD"/>
    <w:rsid w:val="00B317BE"/>
    <w:rsid w:val="00B322D3"/>
    <w:rsid w:val="00B32BDE"/>
    <w:rsid w:val="00B33B50"/>
    <w:rsid w:val="00B33D04"/>
    <w:rsid w:val="00B35FCE"/>
    <w:rsid w:val="00B53687"/>
    <w:rsid w:val="00B67CD5"/>
    <w:rsid w:val="00B82FC0"/>
    <w:rsid w:val="00B866A9"/>
    <w:rsid w:val="00B90814"/>
    <w:rsid w:val="00B92B2F"/>
    <w:rsid w:val="00BA0F28"/>
    <w:rsid w:val="00BB25D8"/>
    <w:rsid w:val="00BC2F19"/>
    <w:rsid w:val="00BC3986"/>
    <w:rsid w:val="00BE3545"/>
    <w:rsid w:val="00BE4D59"/>
    <w:rsid w:val="00BE5574"/>
    <w:rsid w:val="00BE58B2"/>
    <w:rsid w:val="00BE6596"/>
    <w:rsid w:val="00BE7B3F"/>
    <w:rsid w:val="00BF5AA5"/>
    <w:rsid w:val="00C132B2"/>
    <w:rsid w:val="00C13455"/>
    <w:rsid w:val="00C43FD3"/>
    <w:rsid w:val="00C47463"/>
    <w:rsid w:val="00C47767"/>
    <w:rsid w:val="00C515DB"/>
    <w:rsid w:val="00C5327C"/>
    <w:rsid w:val="00C53A8A"/>
    <w:rsid w:val="00C61D2E"/>
    <w:rsid w:val="00C63058"/>
    <w:rsid w:val="00C6574A"/>
    <w:rsid w:val="00C754FD"/>
    <w:rsid w:val="00C86360"/>
    <w:rsid w:val="00C871DF"/>
    <w:rsid w:val="00C87692"/>
    <w:rsid w:val="00CA6264"/>
    <w:rsid w:val="00CC3F1A"/>
    <w:rsid w:val="00CC4B21"/>
    <w:rsid w:val="00CC77CA"/>
    <w:rsid w:val="00CD0635"/>
    <w:rsid w:val="00CD596E"/>
    <w:rsid w:val="00CF3682"/>
    <w:rsid w:val="00CF4B23"/>
    <w:rsid w:val="00D154C5"/>
    <w:rsid w:val="00D16356"/>
    <w:rsid w:val="00D3333E"/>
    <w:rsid w:val="00D350D3"/>
    <w:rsid w:val="00D37621"/>
    <w:rsid w:val="00D413BE"/>
    <w:rsid w:val="00D41AE9"/>
    <w:rsid w:val="00D50C4D"/>
    <w:rsid w:val="00D528EA"/>
    <w:rsid w:val="00D5473C"/>
    <w:rsid w:val="00D61531"/>
    <w:rsid w:val="00D634D5"/>
    <w:rsid w:val="00D951FB"/>
    <w:rsid w:val="00D97AB3"/>
    <w:rsid w:val="00DA6447"/>
    <w:rsid w:val="00DB0ADC"/>
    <w:rsid w:val="00DB1A00"/>
    <w:rsid w:val="00DB4F35"/>
    <w:rsid w:val="00DB576E"/>
    <w:rsid w:val="00DB5AAE"/>
    <w:rsid w:val="00DD275E"/>
    <w:rsid w:val="00DD559E"/>
    <w:rsid w:val="00DE06E6"/>
    <w:rsid w:val="00DF0397"/>
    <w:rsid w:val="00DF0CA1"/>
    <w:rsid w:val="00E009F7"/>
    <w:rsid w:val="00E00E72"/>
    <w:rsid w:val="00E15287"/>
    <w:rsid w:val="00E21ADB"/>
    <w:rsid w:val="00E24F07"/>
    <w:rsid w:val="00E326C9"/>
    <w:rsid w:val="00E50E27"/>
    <w:rsid w:val="00E52680"/>
    <w:rsid w:val="00E536B8"/>
    <w:rsid w:val="00E53D8B"/>
    <w:rsid w:val="00E57F16"/>
    <w:rsid w:val="00E60C49"/>
    <w:rsid w:val="00E64F27"/>
    <w:rsid w:val="00E65A53"/>
    <w:rsid w:val="00E72904"/>
    <w:rsid w:val="00E7466C"/>
    <w:rsid w:val="00E75CC6"/>
    <w:rsid w:val="00E77088"/>
    <w:rsid w:val="00E95384"/>
    <w:rsid w:val="00EA11ED"/>
    <w:rsid w:val="00EA2570"/>
    <w:rsid w:val="00EA2B60"/>
    <w:rsid w:val="00EA3A44"/>
    <w:rsid w:val="00EB4FBE"/>
    <w:rsid w:val="00EB64F7"/>
    <w:rsid w:val="00EC6489"/>
    <w:rsid w:val="00ED1642"/>
    <w:rsid w:val="00EF02B4"/>
    <w:rsid w:val="00EF38D6"/>
    <w:rsid w:val="00F11891"/>
    <w:rsid w:val="00F22FDD"/>
    <w:rsid w:val="00F325C5"/>
    <w:rsid w:val="00F33CA9"/>
    <w:rsid w:val="00F34CA7"/>
    <w:rsid w:val="00F36B0A"/>
    <w:rsid w:val="00F46D31"/>
    <w:rsid w:val="00F50BA0"/>
    <w:rsid w:val="00F550F8"/>
    <w:rsid w:val="00F65E1D"/>
    <w:rsid w:val="00F76483"/>
    <w:rsid w:val="00F76EAF"/>
    <w:rsid w:val="00F810B9"/>
    <w:rsid w:val="00F8603B"/>
    <w:rsid w:val="00F94812"/>
    <w:rsid w:val="00F95005"/>
    <w:rsid w:val="00FB43CD"/>
    <w:rsid w:val="00FE6C64"/>
    <w:rsid w:val="036C04D0"/>
    <w:rsid w:val="060F745A"/>
    <w:rsid w:val="08900357"/>
    <w:rsid w:val="0B92379D"/>
    <w:rsid w:val="10CD1FAB"/>
    <w:rsid w:val="10F05684"/>
    <w:rsid w:val="14870441"/>
    <w:rsid w:val="148853C3"/>
    <w:rsid w:val="14D94420"/>
    <w:rsid w:val="15AB2BAB"/>
    <w:rsid w:val="15FD3A53"/>
    <w:rsid w:val="180A3E84"/>
    <w:rsid w:val="1BA71A14"/>
    <w:rsid w:val="1F034A0D"/>
    <w:rsid w:val="219F62D7"/>
    <w:rsid w:val="238B3100"/>
    <w:rsid w:val="246814FD"/>
    <w:rsid w:val="24B0459D"/>
    <w:rsid w:val="27CB464F"/>
    <w:rsid w:val="2EAE0E76"/>
    <w:rsid w:val="34234817"/>
    <w:rsid w:val="34276F09"/>
    <w:rsid w:val="34442C49"/>
    <w:rsid w:val="3B1F6C48"/>
    <w:rsid w:val="41041E84"/>
    <w:rsid w:val="421E2D67"/>
    <w:rsid w:val="44C606A1"/>
    <w:rsid w:val="456D068D"/>
    <w:rsid w:val="46216104"/>
    <w:rsid w:val="4C4D6142"/>
    <w:rsid w:val="51C851A2"/>
    <w:rsid w:val="527B6176"/>
    <w:rsid w:val="52A8161F"/>
    <w:rsid w:val="55D820F5"/>
    <w:rsid w:val="5BAE671A"/>
    <w:rsid w:val="61A145D6"/>
    <w:rsid w:val="62A229B2"/>
    <w:rsid w:val="6A99123A"/>
    <w:rsid w:val="6AB76D36"/>
    <w:rsid w:val="6C066F22"/>
    <w:rsid w:val="6CCD5207"/>
    <w:rsid w:val="72281D78"/>
    <w:rsid w:val="724F786C"/>
    <w:rsid w:val="73240D44"/>
    <w:rsid w:val="736D5908"/>
    <w:rsid w:val="742C7A74"/>
    <w:rsid w:val="7461705C"/>
    <w:rsid w:val="74FE1A10"/>
    <w:rsid w:val="77AD5BE4"/>
    <w:rsid w:val="77DC609D"/>
    <w:rsid w:val="7A7E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300"/>
  <w15:docId w15:val="{F3A2427F-268E-4CD4-B419-D4DA4B5B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宋体"/>
      <w:kern w:val="2"/>
      <w:sz w:val="21"/>
      <w:szCs w:val="22"/>
    </w:rPr>
  </w:style>
  <w:style w:type="paragraph" w:styleId="10">
    <w:name w:val="heading 1"/>
    <w:basedOn w:val="a"/>
    <w:next w:val="a"/>
    <w:link w:val="11"/>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paragraph" w:styleId="40">
    <w:name w:val="heading 4"/>
    <w:basedOn w:val="a"/>
    <w:next w:val="a"/>
    <w:link w:val="41"/>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2"/>
    <w:uiPriority w:val="99"/>
    <w:qFormat/>
    <w:pPr>
      <w:ind w:firstLineChars="100" w:firstLine="420"/>
    </w:pPr>
    <w:rPr>
      <w:rFonts w:cs="Times New Roman"/>
    </w:rPr>
  </w:style>
  <w:style w:type="paragraph" w:styleId="a7">
    <w:name w:val="Body Text"/>
    <w:basedOn w:val="a"/>
    <w:link w:val="13"/>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4"/>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5"/>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6"/>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uiPriority w:val="10"/>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annotation reference"/>
    <w:basedOn w:val="a0"/>
    <w:uiPriority w:val="99"/>
    <w:qFormat/>
    <w:rPr>
      <w:sz w:val="21"/>
      <w:szCs w:val="21"/>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2"/>
    <w:uiPriority w:val="34"/>
    <w:qFormat/>
    <w:pPr>
      <w:ind w:firstLineChars="200" w:firstLine="420"/>
    </w:pPr>
  </w:style>
  <w:style w:type="character" w:customStyle="1" w:styleId="afd">
    <w:name w:val="批注文字 字符"/>
    <w:basedOn w:val="a0"/>
    <w:qFormat/>
  </w:style>
  <w:style w:type="character" w:customStyle="1" w:styleId="af">
    <w:name w:val="批注框文本 字符"/>
    <w:basedOn w:val="a0"/>
    <w:link w:val="ae"/>
    <w:uiPriority w:val="99"/>
    <w:qFormat/>
    <w:rPr>
      <w:sz w:val="18"/>
      <w:szCs w:val="18"/>
    </w:rPr>
  </w:style>
  <w:style w:type="character" w:customStyle="1" w:styleId="a5">
    <w:name w:val="批注主题 字符"/>
    <w:basedOn w:val="afd"/>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2">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7">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7"/>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1">
    <w:name w:val="标题 1 字符"/>
    <w:basedOn w:val="a0"/>
    <w:link w:val="10"/>
    <w:qFormat/>
    <w:rPr>
      <w:b/>
      <w:bCs/>
      <w:kern w:val="44"/>
      <w:sz w:val="44"/>
      <w:szCs w:val="44"/>
    </w:rPr>
  </w:style>
  <w:style w:type="character" w:customStyle="1" w:styleId="15">
    <w:name w:val="页脚 字符1"/>
    <w:basedOn w:val="a0"/>
    <w:link w:val="af0"/>
    <w:qFormat/>
    <w:rPr>
      <w:kern w:val="2"/>
      <w:sz w:val="18"/>
      <w:szCs w:val="18"/>
    </w:rPr>
  </w:style>
  <w:style w:type="character" w:customStyle="1" w:styleId="18">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9">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a">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b">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6">
    <w:name w:val="普通(网站) 字符1"/>
    <w:basedOn w:val="a0"/>
    <w:link w:val="af4"/>
    <w:qFormat/>
    <w:rPr>
      <w:rFonts w:ascii="宋体" w:eastAsia="宋体" w:hAnsi="宋体" w:cs="宋体" w:hint="eastAsia"/>
      <w:sz w:val="24"/>
      <w:szCs w:val="24"/>
    </w:rPr>
  </w:style>
  <w:style w:type="character" w:customStyle="1" w:styleId="14">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3">
    <w:name w:val="正文文本 字符1"/>
    <w:basedOn w:val="a0"/>
    <w:link w:val="a7"/>
    <w:qFormat/>
    <w:rPr>
      <w:rFonts w:ascii="Calibri" w:eastAsia="宋体" w:hAnsi="Calibri" w:cs="Times New Roman" w:hint="default"/>
      <w:kern w:val="2"/>
      <w:sz w:val="21"/>
      <w:szCs w:val="22"/>
    </w:rPr>
  </w:style>
  <w:style w:type="paragraph" w:customStyle="1" w:styleId="1c">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2">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eastAsia="宋体"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eastAsia="宋体" w:hAnsi="Calibri" w:cs="宋体"/>
      <w:kern w:val="2"/>
      <w:sz w:val="21"/>
      <w:szCs w:val="22"/>
    </w:rPr>
  </w:style>
  <w:style w:type="paragraph" w:customStyle="1" w:styleId="35">
    <w:name w:val="修订3"/>
    <w:hidden/>
    <w:uiPriority w:val="99"/>
    <w:unhideWhenUsed/>
    <w:qFormat/>
    <w:rPr>
      <w:rFonts w:ascii="Calibri" w:eastAsia="宋体" w:hAnsi="Calibri" w:cs="宋体"/>
      <w:kern w:val="2"/>
      <w:sz w:val="21"/>
      <w:szCs w:val="22"/>
    </w:rPr>
  </w:style>
  <w:style w:type="paragraph" w:customStyle="1" w:styleId="43">
    <w:name w:val="修订4"/>
    <w:hidden/>
    <w:uiPriority w:val="99"/>
    <w:unhideWhenUsed/>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 w:type="paragraph" w:customStyle="1" w:styleId="6">
    <w:name w:val="修订6"/>
    <w:hidden/>
    <w:uiPriority w:val="99"/>
    <w:unhideWhenUsed/>
    <w:qFormat/>
    <w:rPr>
      <w:rFonts w:ascii="Calibri" w:eastAsia="宋体" w:hAnsi="Calibri" w:cs="宋体"/>
      <w:kern w:val="2"/>
      <w:sz w:val="21"/>
      <w:szCs w:val="22"/>
    </w:rPr>
  </w:style>
  <w:style w:type="paragraph" w:customStyle="1" w:styleId="7">
    <w:name w:val="修订7"/>
    <w:hidden/>
    <w:uiPriority w:val="99"/>
    <w:unhideWhenUsed/>
    <w:qFormat/>
    <w:rPr>
      <w:rFonts w:ascii="Calibri" w:eastAsia="宋体" w:hAnsi="Calibri" w:cs="宋体"/>
      <w:kern w:val="2"/>
      <w:sz w:val="21"/>
      <w:szCs w:val="22"/>
    </w:rPr>
  </w:style>
  <w:style w:type="paragraph" w:customStyle="1" w:styleId="8">
    <w:name w:val="修订8"/>
    <w:hidden/>
    <w:uiPriority w:val="99"/>
    <w:unhideWhenUsed/>
    <w:qFormat/>
    <w:rPr>
      <w:rFonts w:ascii="Calibri" w:eastAsia="宋体" w:hAnsi="Calibri" w:cs="宋体"/>
      <w:kern w:val="2"/>
      <w:sz w:val="21"/>
      <w:szCs w:val="22"/>
    </w:rPr>
  </w:style>
  <w:style w:type="paragraph" w:customStyle="1" w:styleId="9">
    <w:name w:val="修订9"/>
    <w:hidden/>
    <w:uiPriority w:val="99"/>
    <w:unhideWhenUsed/>
    <w:qFormat/>
    <w:rPr>
      <w:rFonts w:ascii="Calibri" w:eastAsia="宋体" w:hAnsi="Calibri" w:cs="宋体"/>
      <w:kern w:val="2"/>
      <w:sz w:val="21"/>
      <w:szCs w:val="22"/>
    </w:rPr>
  </w:style>
  <w:style w:type="paragraph" w:customStyle="1" w:styleId="100">
    <w:name w:val="修订10"/>
    <w:hidden/>
    <w:uiPriority w:val="99"/>
    <w:unhideWhenUsed/>
    <w:qFormat/>
    <w:rPr>
      <w:rFonts w:ascii="Calibri" w:eastAsia="宋体" w:hAnsi="Calibri" w:cs="宋体"/>
      <w:kern w:val="2"/>
      <w:sz w:val="21"/>
      <w:szCs w:val="22"/>
    </w:rPr>
  </w:style>
  <w:style w:type="paragraph" w:customStyle="1" w:styleId="110">
    <w:name w:val="修订11"/>
    <w:hidden/>
    <w:uiPriority w:val="99"/>
    <w:unhideWhenUsed/>
    <w:qFormat/>
    <w:rPr>
      <w:rFonts w:ascii="Calibri" w:eastAsia="宋体" w:hAnsi="Calibri" w:cs="宋体"/>
      <w:kern w:val="2"/>
      <w:sz w:val="21"/>
      <w:szCs w:val="22"/>
    </w:rPr>
  </w:style>
  <w:style w:type="paragraph" w:customStyle="1" w:styleId="120">
    <w:name w:val="修订12"/>
    <w:hidden/>
    <w:uiPriority w:val="99"/>
    <w:unhideWhenUsed/>
    <w:qFormat/>
    <w:rPr>
      <w:rFonts w:ascii="Calibri" w:eastAsia="宋体" w:hAnsi="Calibri" w:cs="宋体"/>
      <w:kern w:val="2"/>
      <w:sz w:val="21"/>
      <w:szCs w:val="22"/>
    </w:rPr>
  </w:style>
  <w:style w:type="paragraph" w:customStyle="1" w:styleId="130">
    <w:name w:val="修订13"/>
    <w:hidden/>
    <w:uiPriority w:val="99"/>
    <w:unhideWhenUsed/>
    <w:qFormat/>
    <w:rPr>
      <w:rFonts w:ascii="Calibri" w:eastAsia="宋体" w:hAnsi="Calibri" w:cs="宋体"/>
      <w:kern w:val="2"/>
      <w:sz w:val="21"/>
      <w:szCs w:val="22"/>
    </w:rPr>
  </w:style>
  <w:style w:type="paragraph" w:customStyle="1" w:styleId="140">
    <w:name w:val="修订14"/>
    <w:hidden/>
    <w:uiPriority w:val="99"/>
    <w:unhideWhenUsed/>
    <w:qFormat/>
    <w:rPr>
      <w:rFonts w:ascii="Calibri" w:eastAsia="宋体" w:hAnsi="Calibri" w:cs="宋体"/>
      <w:kern w:val="2"/>
      <w:sz w:val="21"/>
      <w:szCs w:val="22"/>
    </w:rPr>
  </w:style>
  <w:style w:type="paragraph" w:customStyle="1" w:styleId="151">
    <w:name w:val="修订15"/>
    <w:hidden/>
    <w:uiPriority w:val="99"/>
    <w:unhideWhenUsed/>
    <w:qFormat/>
    <w:rPr>
      <w:rFonts w:ascii="Calibri" w:eastAsia="宋体" w:hAnsi="Calibri" w:cs="宋体"/>
      <w:kern w:val="2"/>
      <w:sz w:val="21"/>
      <w:szCs w:val="22"/>
    </w:rPr>
  </w:style>
  <w:style w:type="paragraph" w:customStyle="1" w:styleId="160">
    <w:name w:val="修订16"/>
    <w:hidden/>
    <w:uiPriority w:val="99"/>
    <w:unhideWhenUsed/>
    <w:qFormat/>
    <w:rPr>
      <w:rFonts w:ascii="Calibri" w:eastAsia="宋体" w:hAnsi="Calibri" w:cs="宋体"/>
      <w:kern w:val="2"/>
      <w:sz w:val="21"/>
      <w:szCs w:val="22"/>
    </w:rPr>
  </w:style>
  <w:style w:type="paragraph" w:customStyle="1" w:styleId="170">
    <w:name w:val="修订17"/>
    <w:hidden/>
    <w:uiPriority w:val="99"/>
    <w:unhideWhenUsed/>
    <w:rPr>
      <w:rFonts w:ascii="Calibri" w:eastAsia="宋体" w:hAnsi="Calibri" w:cs="宋体"/>
      <w:kern w:val="2"/>
      <w:sz w:val="21"/>
      <w:szCs w:val="22"/>
    </w:rPr>
  </w:style>
  <w:style w:type="character" w:customStyle="1" w:styleId="41">
    <w:name w:val="标题 4 字符"/>
    <w:basedOn w:val="a0"/>
    <w:link w:val="40"/>
    <w:uiPriority w:val="9"/>
    <w:semiHidden/>
    <w:rPr>
      <w:rFonts w:asciiTheme="majorHAnsi" w:eastAsiaTheme="majorEastAsia" w:hAnsiTheme="majorHAnsi" w:cstheme="majorBidi"/>
      <w:b/>
      <w:bCs/>
      <w:kern w:val="2"/>
      <w:sz w:val="28"/>
      <w:szCs w:val="28"/>
    </w:rPr>
  </w:style>
  <w:style w:type="table" w:customStyle="1" w:styleId="1f">
    <w:name w:val="网格型1"/>
    <w:basedOn w:val="a1"/>
    <w:uiPriority w:val="99"/>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0">
    <w:name w:val="修订18"/>
    <w:hidden/>
    <w:uiPriority w:val="99"/>
    <w:unhideWhenUsed/>
    <w:rPr>
      <w:rFonts w:ascii="Calibri" w:eastAsia="宋体" w:hAnsi="Calibri" w:cs="宋体"/>
      <w:kern w:val="2"/>
      <w:sz w:val="21"/>
      <w:szCs w:val="22"/>
    </w:rPr>
  </w:style>
  <w:style w:type="paragraph" w:styleId="aff6">
    <w:name w:val="Revision"/>
    <w:hidden/>
    <w:uiPriority w:val="99"/>
    <w:unhideWhenUsed/>
    <w:rsid w:val="005D3D64"/>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2.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1195</Words>
  <Characters>6818</Characters>
  <Application>Microsoft Office Word</Application>
  <DocSecurity>0</DocSecurity>
  <Lines>56</Lines>
  <Paragraphs>15</Paragraphs>
  <ScaleCrop>false</ScaleCrop>
  <Company>Sky123.Org</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158</cp:revision>
  <cp:lastPrinted>2018-10-16T04:01:00Z</cp:lastPrinted>
  <dcterms:created xsi:type="dcterms:W3CDTF">2024-04-16T01:33:00Z</dcterms:created>
  <dcterms:modified xsi:type="dcterms:W3CDTF">2024-11-26T01:14:00Z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