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5818" w14:textId="77777777" w:rsidR="00D424A6" w:rsidRDefault="00000000">
      <w:pPr>
        <w:tabs>
          <w:tab w:val="left" w:pos="720"/>
        </w:tabs>
        <w:spacing w:line="360" w:lineRule="auto"/>
        <w:jc w:val="center"/>
        <w:rPr>
          <w:rFonts w:asciiTheme="minorEastAsia" w:eastAsiaTheme="minorEastAsia" w:hAnsiTheme="minorEastAsia" w:cs="方正小标宋简体" w:hint="eastAsia"/>
          <w:b/>
          <w:sz w:val="56"/>
          <w:szCs w:val="56"/>
        </w:rPr>
      </w:pPr>
      <w:r>
        <w:rPr>
          <w:rFonts w:asciiTheme="minorEastAsia" w:eastAsiaTheme="minorEastAsia" w:hAnsiTheme="minorEastAsia" w:cs="方正小标宋简体" w:hint="eastAsia"/>
          <w:b/>
          <w:sz w:val="56"/>
          <w:szCs w:val="56"/>
        </w:rPr>
        <w:t>合 同 书</w:t>
      </w:r>
    </w:p>
    <w:p w14:paraId="25DA46D2" w14:textId="77777777" w:rsidR="00D424A6" w:rsidRDefault="00D424A6">
      <w:pPr>
        <w:spacing w:line="360" w:lineRule="auto"/>
        <w:jc w:val="left"/>
        <w:rPr>
          <w:rFonts w:asciiTheme="minorEastAsia" w:eastAsiaTheme="minorEastAsia" w:hAnsiTheme="minorEastAsia" w:cs="方正小标宋简体" w:hint="eastAsia"/>
          <w:sz w:val="24"/>
        </w:rPr>
      </w:pPr>
    </w:p>
    <w:p w14:paraId="41DB9F4F" w14:textId="77777777" w:rsidR="00D424A6" w:rsidRDefault="00000000">
      <w:pPr>
        <w:spacing w:line="360" w:lineRule="auto"/>
        <w:jc w:val="left"/>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甲方（需方）：</w:t>
      </w:r>
      <w:r>
        <w:rPr>
          <w:rFonts w:asciiTheme="minorEastAsia" w:eastAsiaTheme="minorEastAsia" w:hAnsiTheme="minorEastAsia" w:cs="仿宋_GB2312" w:hint="eastAsia"/>
          <w:sz w:val="24"/>
          <w:u w:val="single"/>
        </w:rPr>
        <w:t xml:space="preserve"> 广东省肇庆监狱                           </w:t>
      </w:r>
      <w:r>
        <w:rPr>
          <w:rFonts w:asciiTheme="minorEastAsia" w:eastAsiaTheme="minorEastAsia" w:hAnsiTheme="minorEastAsia" w:cs="仿宋_GB2312" w:hint="eastAsia"/>
          <w:sz w:val="24"/>
        </w:rPr>
        <w:t xml:space="preserve">         </w:t>
      </w:r>
    </w:p>
    <w:p w14:paraId="217B7C4F" w14:textId="77777777" w:rsidR="00D424A6" w:rsidRDefault="00000000">
      <w:pPr>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乙方（供方）：</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 xml:space="preserve">      </w:t>
      </w:r>
    </w:p>
    <w:p w14:paraId="195C97AD"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kern w:val="28"/>
          <w:sz w:val="24"/>
        </w:rPr>
      </w:pPr>
      <w:r>
        <w:rPr>
          <w:rFonts w:asciiTheme="minorEastAsia" w:eastAsiaTheme="minorEastAsia" w:hAnsiTheme="minorEastAsia" w:cs="仿宋_GB2312" w:hint="eastAsia"/>
          <w:sz w:val="24"/>
        </w:rPr>
        <w:t>根据《中华人民共和国民法典》、采购文件的要求及响应文件的承诺，</w:t>
      </w:r>
      <w:r>
        <w:rPr>
          <w:rFonts w:asciiTheme="minorEastAsia" w:eastAsiaTheme="minorEastAsia" w:hAnsiTheme="minorEastAsia" w:cs="仿宋_GB2312" w:hint="eastAsia"/>
          <w:kern w:val="28"/>
          <w:sz w:val="24"/>
        </w:rPr>
        <w:t>经双方协商，</w:t>
      </w:r>
      <w:r>
        <w:rPr>
          <w:rFonts w:asciiTheme="minorEastAsia" w:eastAsiaTheme="minorEastAsia" w:hAnsiTheme="minorEastAsia" w:cs="仿宋_GB2312" w:hint="eastAsia"/>
          <w:sz w:val="24"/>
        </w:rPr>
        <w:t>本着平等互利和诚实信用的原则，</w:t>
      </w:r>
      <w:r>
        <w:rPr>
          <w:rFonts w:asciiTheme="minorEastAsia" w:eastAsiaTheme="minorEastAsia" w:hAnsiTheme="minorEastAsia" w:cs="仿宋_GB2312" w:hint="eastAsia"/>
          <w:kern w:val="28"/>
          <w:sz w:val="24"/>
        </w:rPr>
        <w:t>一致同意签订本合同如下。</w:t>
      </w:r>
    </w:p>
    <w:p w14:paraId="10338B70"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2"/>
        <w:gridCol w:w="1113"/>
        <w:gridCol w:w="3278"/>
        <w:gridCol w:w="2122"/>
      </w:tblGrid>
      <w:tr w:rsidR="00D424A6" w14:paraId="0FE5028E" w14:textId="77777777">
        <w:trPr>
          <w:trHeight w:val="549"/>
          <w:jc w:val="center"/>
        </w:trPr>
        <w:tc>
          <w:tcPr>
            <w:tcW w:w="1992" w:type="dxa"/>
            <w:tcBorders>
              <w:top w:val="single" w:sz="12" w:space="0" w:color="auto"/>
              <w:bottom w:val="single" w:sz="2" w:space="0" w:color="auto"/>
            </w:tcBorders>
            <w:shd w:val="clear" w:color="auto" w:fill="EEECE1"/>
            <w:vAlign w:val="center"/>
          </w:tcPr>
          <w:p w14:paraId="2E07D7D1" w14:textId="77777777" w:rsidR="00D424A6" w:rsidRDefault="00000000">
            <w:pPr>
              <w:jc w:val="center"/>
              <w:rPr>
                <w:rFonts w:ascii="宋体" w:hAnsi="宋体" w:hint="eastAsia"/>
                <w:b/>
                <w:color w:val="000000"/>
                <w:sz w:val="24"/>
              </w:rPr>
            </w:pPr>
            <w:r>
              <w:rPr>
                <w:rFonts w:ascii="宋体" w:hAnsi="宋体" w:hint="eastAsia"/>
                <w:b/>
                <w:color w:val="000000"/>
                <w:sz w:val="24"/>
              </w:rPr>
              <w:t>项目名称</w:t>
            </w:r>
          </w:p>
        </w:tc>
        <w:tc>
          <w:tcPr>
            <w:tcW w:w="1113" w:type="dxa"/>
            <w:tcBorders>
              <w:top w:val="single" w:sz="12" w:space="0" w:color="auto"/>
              <w:bottom w:val="single" w:sz="2" w:space="0" w:color="auto"/>
            </w:tcBorders>
            <w:shd w:val="clear" w:color="auto" w:fill="EEECE1"/>
            <w:vAlign w:val="center"/>
          </w:tcPr>
          <w:p w14:paraId="7DEF42CA" w14:textId="77777777" w:rsidR="00D424A6" w:rsidRDefault="00000000">
            <w:pPr>
              <w:jc w:val="center"/>
              <w:rPr>
                <w:rFonts w:ascii="宋体" w:hAnsi="宋体" w:hint="eastAsia"/>
                <w:b/>
                <w:sz w:val="24"/>
              </w:rPr>
            </w:pPr>
            <w:r>
              <w:rPr>
                <w:rFonts w:ascii="宋体" w:hAnsi="宋体" w:hint="eastAsia"/>
                <w:b/>
                <w:sz w:val="24"/>
              </w:rPr>
              <w:t>数量</w:t>
            </w:r>
          </w:p>
        </w:tc>
        <w:tc>
          <w:tcPr>
            <w:tcW w:w="3278" w:type="dxa"/>
            <w:tcBorders>
              <w:top w:val="single" w:sz="12" w:space="0" w:color="auto"/>
              <w:bottom w:val="single" w:sz="2" w:space="0" w:color="auto"/>
            </w:tcBorders>
            <w:shd w:val="clear" w:color="auto" w:fill="EEECE1"/>
            <w:vAlign w:val="center"/>
          </w:tcPr>
          <w:p w14:paraId="5EE245BA" w14:textId="77777777" w:rsidR="00D424A6" w:rsidRDefault="00000000">
            <w:pPr>
              <w:jc w:val="center"/>
              <w:rPr>
                <w:rFonts w:ascii="宋体" w:hAnsi="宋体" w:hint="eastAsia"/>
                <w:b/>
                <w:sz w:val="24"/>
              </w:rPr>
            </w:pPr>
            <w:r>
              <w:rPr>
                <w:rFonts w:ascii="宋体" w:hAnsi="宋体" w:hint="eastAsia"/>
                <w:b/>
                <w:sz w:val="24"/>
              </w:rPr>
              <w:t>采购期限</w:t>
            </w:r>
          </w:p>
        </w:tc>
        <w:tc>
          <w:tcPr>
            <w:tcW w:w="2122" w:type="dxa"/>
            <w:tcBorders>
              <w:top w:val="single" w:sz="12" w:space="0" w:color="auto"/>
              <w:bottom w:val="single" w:sz="2" w:space="0" w:color="auto"/>
            </w:tcBorders>
            <w:shd w:val="clear" w:color="auto" w:fill="EEECE1"/>
            <w:vAlign w:val="center"/>
          </w:tcPr>
          <w:p w14:paraId="2999E4A3" w14:textId="77777777" w:rsidR="00D424A6" w:rsidRDefault="00000000">
            <w:pPr>
              <w:jc w:val="center"/>
              <w:rPr>
                <w:rFonts w:ascii="宋体" w:hAnsi="宋体" w:hint="eastAsia"/>
                <w:b/>
                <w:sz w:val="24"/>
              </w:rPr>
            </w:pPr>
            <w:r>
              <w:rPr>
                <w:rFonts w:ascii="宋体" w:hAnsi="宋体" w:hint="eastAsia"/>
                <w:b/>
                <w:sz w:val="24"/>
              </w:rPr>
              <w:t>合同金额</w:t>
            </w:r>
          </w:p>
        </w:tc>
      </w:tr>
      <w:tr w:rsidR="00D424A6" w14:paraId="4B38D28F" w14:textId="77777777">
        <w:trPr>
          <w:trHeight w:val="1547"/>
          <w:jc w:val="center"/>
        </w:trPr>
        <w:tc>
          <w:tcPr>
            <w:tcW w:w="1992" w:type="dxa"/>
            <w:tcBorders>
              <w:top w:val="single" w:sz="2" w:space="0" w:color="auto"/>
              <w:bottom w:val="single" w:sz="2" w:space="0" w:color="auto"/>
            </w:tcBorders>
            <w:vAlign w:val="center"/>
          </w:tcPr>
          <w:p w14:paraId="5F9FC40C" w14:textId="77777777" w:rsidR="00D424A6" w:rsidRDefault="00000000">
            <w:pPr>
              <w:jc w:val="center"/>
              <w:rPr>
                <w:rFonts w:ascii="宋体" w:hAnsi="宋体" w:hint="eastAsia"/>
                <w:color w:val="000000"/>
                <w:sz w:val="24"/>
              </w:rPr>
            </w:pPr>
            <w:r>
              <w:rPr>
                <w:rFonts w:ascii="宋体" w:hAnsi="宋体" w:hint="eastAsia"/>
                <w:color w:val="000000"/>
                <w:sz w:val="24"/>
              </w:rPr>
              <w:t>2024-2025年广东省肇庆监狱打印耗材采购项目</w:t>
            </w:r>
          </w:p>
        </w:tc>
        <w:tc>
          <w:tcPr>
            <w:tcW w:w="1113" w:type="dxa"/>
            <w:tcBorders>
              <w:top w:val="single" w:sz="2" w:space="0" w:color="auto"/>
              <w:bottom w:val="single" w:sz="2" w:space="0" w:color="auto"/>
            </w:tcBorders>
            <w:vAlign w:val="center"/>
          </w:tcPr>
          <w:p w14:paraId="0F30DE9F" w14:textId="77777777" w:rsidR="00D424A6" w:rsidRDefault="00000000">
            <w:pPr>
              <w:keepNext/>
              <w:adjustRightInd w:val="0"/>
              <w:jc w:val="center"/>
              <w:textAlignment w:val="center"/>
              <w:rPr>
                <w:rFonts w:ascii="宋体" w:hAnsi="宋体" w:hint="eastAsia"/>
                <w:sz w:val="24"/>
              </w:rPr>
            </w:pPr>
            <w:r>
              <w:rPr>
                <w:rFonts w:ascii="宋体" w:hAnsi="宋体" w:hint="eastAsia"/>
                <w:sz w:val="24"/>
              </w:rPr>
              <w:t>1项</w:t>
            </w:r>
          </w:p>
        </w:tc>
        <w:tc>
          <w:tcPr>
            <w:tcW w:w="3278" w:type="dxa"/>
            <w:tcBorders>
              <w:top w:val="single" w:sz="2" w:space="0" w:color="auto"/>
              <w:bottom w:val="single" w:sz="2" w:space="0" w:color="auto"/>
            </w:tcBorders>
            <w:vAlign w:val="center"/>
          </w:tcPr>
          <w:p w14:paraId="60D94091" w14:textId="77777777" w:rsidR="00D424A6" w:rsidRDefault="00000000">
            <w:pPr>
              <w:pStyle w:val="a8"/>
              <w:tabs>
                <w:tab w:val="left" w:pos="540"/>
              </w:tabs>
              <w:adjustRightInd w:val="0"/>
              <w:snapToGrid w:val="0"/>
              <w:jc w:val="center"/>
              <w:rPr>
                <w:rFonts w:hAnsi="宋体" w:hint="eastAsia"/>
                <w:sz w:val="24"/>
                <w:szCs w:val="24"/>
              </w:rPr>
            </w:pPr>
            <w:r>
              <w:rPr>
                <w:rFonts w:hAnsi="宋体" w:cs="宋体" w:hint="eastAsia"/>
                <w:color w:val="000000" w:themeColor="text1"/>
                <w:sz w:val="24"/>
                <w:szCs w:val="24"/>
              </w:rPr>
              <w:t>采购期限为自合同签订之日起1年或甲方累计采购量达到项目合同金额后合同期限结束，以先到者为准</w:t>
            </w:r>
          </w:p>
        </w:tc>
        <w:tc>
          <w:tcPr>
            <w:tcW w:w="2122" w:type="dxa"/>
            <w:tcBorders>
              <w:top w:val="single" w:sz="2" w:space="0" w:color="auto"/>
              <w:bottom w:val="single" w:sz="2" w:space="0" w:color="auto"/>
            </w:tcBorders>
            <w:vAlign w:val="center"/>
          </w:tcPr>
          <w:p w14:paraId="098EED78" w14:textId="77777777" w:rsidR="00D424A6" w:rsidRDefault="00000000">
            <w:pPr>
              <w:pStyle w:val="a8"/>
              <w:tabs>
                <w:tab w:val="left" w:pos="540"/>
              </w:tabs>
              <w:adjustRightInd w:val="0"/>
              <w:snapToGrid w:val="0"/>
              <w:jc w:val="center"/>
              <w:rPr>
                <w:rFonts w:hAnsi="宋体" w:hint="eastAsia"/>
                <w:sz w:val="24"/>
                <w:szCs w:val="24"/>
              </w:rPr>
            </w:pPr>
            <w:r>
              <w:rPr>
                <w:rFonts w:hAnsi="宋体" w:hint="eastAsia"/>
                <w:sz w:val="24"/>
                <w:szCs w:val="24"/>
              </w:rPr>
              <w:t>人民币</w:t>
            </w:r>
            <w:r>
              <w:rPr>
                <w:rFonts w:hAnsi="宋体" w:cs="仿宋" w:hint="eastAsia"/>
                <w:bCs/>
                <w:sz w:val="24"/>
                <w:szCs w:val="24"/>
                <w:u w:val="single"/>
              </w:rPr>
              <w:t>350000</w:t>
            </w:r>
            <w:r>
              <w:rPr>
                <w:rFonts w:hAnsi="宋体" w:hint="eastAsia"/>
                <w:sz w:val="24"/>
                <w:szCs w:val="24"/>
              </w:rPr>
              <w:t>元</w:t>
            </w:r>
          </w:p>
        </w:tc>
      </w:tr>
    </w:tbl>
    <w:p w14:paraId="3F0ED5B3"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项目总述</w:t>
      </w:r>
    </w:p>
    <w:p w14:paraId="37291057" w14:textId="77777777" w:rsidR="00D424A6" w:rsidRDefault="00000000">
      <w:pPr>
        <w:pStyle w:val="ac"/>
        <w:snapToGrid w:val="0"/>
        <w:spacing w:line="360" w:lineRule="auto"/>
        <w:ind w:firstLine="480"/>
        <w:rPr>
          <w:rFonts w:asciiTheme="minorEastAsia" w:eastAsiaTheme="minorEastAsia" w:hAnsiTheme="minorEastAsia" w:cs="黑体" w:hint="eastAsia"/>
          <w:bCs/>
          <w:sz w:val="24"/>
        </w:rPr>
      </w:pPr>
      <w:r>
        <w:rPr>
          <w:rFonts w:asciiTheme="minorEastAsia" w:eastAsiaTheme="minorEastAsia" w:hAnsiTheme="minorEastAsia" w:cs="黑体" w:hint="eastAsia"/>
          <w:bCs/>
          <w:sz w:val="24"/>
        </w:rPr>
        <w:t>本项目合同金额为人民币35万元，采购期限为自合同签订之日起1年或甲方累计采购量达到项目合同金额后合同期限结束，以先到者为准。实际采购时，采购的品种、数量以实际需要为准。</w:t>
      </w:r>
    </w:p>
    <w:p w14:paraId="3D64AB0E"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货物清单</w:t>
      </w:r>
    </w:p>
    <w:p w14:paraId="5A02FC92" w14:textId="77777777" w:rsidR="00D424A6" w:rsidRDefault="00000000">
      <w:pPr>
        <w:pStyle w:val="1"/>
        <w:spacing w:line="360" w:lineRule="auto"/>
        <w:ind w:firstLineChars="200" w:firstLine="480"/>
        <w:rPr>
          <w:rFonts w:asciiTheme="minorEastAsia" w:eastAsiaTheme="minorEastAsia" w:hAnsiTheme="minorEastAsia" w:cs="仿宋_GB2312" w:hint="eastAsia"/>
          <w:kern w:val="2"/>
          <w:sz w:val="24"/>
          <w:szCs w:val="24"/>
        </w:rPr>
      </w:pPr>
      <w:r>
        <w:rPr>
          <w:rFonts w:asciiTheme="minorEastAsia" w:eastAsiaTheme="minorEastAsia" w:hAnsiTheme="minorEastAsia" w:cs="仿宋_GB2312" w:hint="eastAsia"/>
          <w:kern w:val="2"/>
          <w:sz w:val="24"/>
          <w:szCs w:val="24"/>
        </w:rPr>
        <w:t>合同下浮率：</w:t>
      </w:r>
      <w:r>
        <w:rPr>
          <w:rFonts w:asciiTheme="minorEastAsia" w:eastAsiaTheme="minorEastAsia" w:hAnsiTheme="minorEastAsia" w:cs="仿宋_GB2312" w:hint="eastAsia"/>
          <w:kern w:val="2"/>
          <w:sz w:val="24"/>
          <w:szCs w:val="24"/>
          <w:u w:val="single"/>
        </w:rPr>
        <w:t xml:space="preserve">         </w:t>
      </w:r>
      <w:r>
        <w:rPr>
          <w:rFonts w:asciiTheme="minorEastAsia" w:eastAsiaTheme="minorEastAsia" w:hAnsiTheme="minorEastAsia" w:cs="仿宋_GB2312" w:hint="eastAsia"/>
          <w:kern w:val="2"/>
          <w:sz w:val="24"/>
          <w:szCs w:val="24"/>
        </w:rPr>
        <w:t xml:space="preserve"> %（大写：百分之</w:t>
      </w:r>
      <w:r>
        <w:rPr>
          <w:rFonts w:asciiTheme="minorEastAsia" w:eastAsiaTheme="minorEastAsia" w:hAnsiTheme="minorEastAsia" w:cs="仿宋_GB2312" w:hint="eastAsia"/>
          <w:kern w:val="2"/>
          <w:sz w:val="24"/>
          <w:szCs w:val="24"/>
          <w:u w:val="single"/>
        </w:rPr>
        <w:t xml:space="preserve">       </w:t>
      </w:r>
      <w:r>
        <w:rPr>
          <w:rFonts w:asciiTheme="minorEastAsia" w:eastAsiaTheme="minorEastAsia" w:hAnsiTheme="minorEastAsia" w:cs="仿宋_GB2312" w:hint="eastAsia"/>
          <w:kern w:val="2"/>
          <w:sz w:val="24"/>
          <w:szCs w:val="24"/>
        </w:rPr>
        <w:t>）。</w:t>
      </w:r>
    </w:p>
    <w:p w14:paraId="3FA047A1" w14:textId="77777777" w:rsidR="00D424A6" w:rsidRDefault="00000000">
      <w:pPr>
        <w:pStyle w:val="1"/>
        <w:spacing w:line="360" w:lineRule="auto"/>
        <w:ind w:firstLineChars="200" w:firstLine="480"/>
        <w:rPr>
          <w:rFonts w:asciiTheme="minorEastAsia" w:eastAsiaTheme="minorEastAsia" w:hAnsiTheme="minorEastAsia" w:cs="仿宋_GB2312" w:hint="eastAsia"/>
          <w:b/>
          <w:bCs/>
          <w:sz w:val="24"/>
          <w:szCs w:val="24"/>
        </w:rPr>
      </w:pPr>
      <w:r>
        <w:rPr>
          <w:rFonts w:asciiTheme="minorEastAsia" w:eastAsiaTheme="minorEastAsia" w:hAnsiTheme="minorEastAsia" w:cs="仿宋_GB2312" w:hint="eastAsia"/>
          <w:kern w:val="2"/>
          <w:sz w:val="24"/>
          <w:szCs w:val="24"/>
        </w:rPr>
        <w:t>详见附件2：《2024-2025年广东省肇庆监狱打印耗材采购项目清单》，乙方必须响应附件中的所有规格型号内容以及品牌要求。</w:t>
      </w:r>
    </w:p>
    <w:p w14:paraId="02E8B61F"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合同金额</w:t>
      </w:r>
    </w:p>
    <w:p w14:paraId="349F7371"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color w:val="FF0000"/>
          <w:sz w:val="24"/>
        </w:rPr>
      </w:pPr>
      <w:r>
        <w:rPr>
          <w:rFonts w:asciiTheme="minorEastAsia" w:eastAsiaTheme="minorEastAsia" w:hAnsiTheme="minorEastAsia" w:cs="仿宋_GB2312" w:hint="eastAsia"/>
          <w:sz w:val="24"/>
        </w:rPr>
        <w:t>（一）合同总价：人民币</w:t>
      </w:r>
      <w:r>
        <w:rPr>
          <w:rFonts w:asciiTheme="minorEastAsia" w:eastAsiaTheme="minorEastAsia" w:hAnsiTheme="minorEastAsia" w:cs="仿宋_GB2312" w:hint="eastAsia"/>
          <w:b/>
          <w:bCs/>
          <w:sz w:val="24"/>
          <w:u w:val="single"/>
        </w:rPr>
        <w:t>叁拾伍万元整</w:t>
      </w:r>
      <w:r>
        <w:rPr>
          <w:rFonts w:asciiTheme="minorEastAsia" w:eastAsiaTheme="minorEastAsia" w:hAnsiTheme="minorEastAsia" w:cs="仿宋_GB2312" w:hint="eastAsia"/>
          <w:sz w:val="24"/>
        </w:rPr>
        <w:t xml:space="preserve"> （¥ 350000）</w:t>
      </w:r>
    </w:p>
    <w:p w14:paraId="641C8806"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w:t>
      </w:r>
      <w:r>
        <w:rPr>
          <w:rFonts w:asciiTheme="minorEastAsia" w:eastAsiaTheme="minorEastAsia" w:hAnsiTheme="minorEastAsia" w:cs="仿宋_GB2312" w:hint="eastAsia"/>
          <w:sz w:val="24"/>
          <w:lang w:val="zh-CN"/>
        </w:rPr>
        <w:t>本项目实行总价包干，</w:t>
      </w:r>
      <w:r>
        <w:rPr>
          <w:rFonts w:asciiTheme="minorEastAsia" w:eastAsiaTheme="minorEastAsia" w:hAnsiTheme="minorEastAsia" w:cs="仿宋_GB2312" w:hint="eastAsia"/>
          <w:sz w:val="24"/>
        </w:rPr>
        <w:t>合同总价</w:t>
      </w:r>
      <w:r>
        <w:rPr>
          <w:rFonts w:asciiTheme="minorEastAsia" w:eastAsiaTheme="minorEastAsia" w:hAnsiTheme="minorEastAsia" w:cs="仿宋_GB2312" w:hint="eastAsia"/>
          <w:sz w:val="24"/>
          <w:lang w:val="zh-CN"/>
        </w:rPr>
        <w:t>应包括货款、材料费、运费、装卸费、安装费、验收、税费、保险费、质保期服务及其他完成本项目所需的各项费用，项目实施后乙方不得另行收取其他任何费用</w:t>
      </w:r>
      <w:r>
        <w:rPr>
          <w:rFonts w:asciiTheme="minorEastAsia" w:eastAsiaTheme="minorEastAsia" w:hAnsiTheme="minorEastAsia" w:cs="仿宋_GB2312" w:hint="eastAsia"/>
          <w:sz w:val="24"/>
        </w:rPr>
        <w:t>。</w:t>
      </w:r>
    </w:p>
    <w:p w14:paraId="48364232"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（三）本合同价格为固定不变价。</w:t>
      </w:r>
    </w:p>
    <w:p w14:paraId="64965C57"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配送方式</w:t>
      </w:r>
    </w:p>
    <w:p w14:paraId="7761702F"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（一）甲方于每季度月末将采购清单发送给乙方，乙方于接收采购清单后7个工作日内将物品送达甲方，并根据甲方要求，将产品按要求进行分类打包装箱。</w:t>
      </w:r>
    </w:p>
    <w:p w14:paraId="7019C191"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（二）交货地点：广东省肇庆监狱。（乙方需将货物运输并卸载到甲方指定地点）</w:t>
      </w:r>
    </w:p>
    <w:p w14:paraId="2723D9AE"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项目要求</w:t>
      </w:r>
    </w:p>
    <w:p w14:paraId="2562A162" w14:textId="0741DFCD" w:rsidR="00D424A6" w:rsidRDefault="00000000">
      <w:pPr>
        <w:spacing w:line="360" w:lineRule="auto"/>
        <w:ind w:firstLineChars="200" w:firstLine="480"/>
        <w:rPr>
          <w:rFonts w:asciiTheme="minorEastAsia" w:eastAsiaTheme="minorEastAsia" w:hAnsiTheme="minorEastAsia" w:cs="仿宋_GB2312" w:hint="eastAsia"/>
          <w:sz w:val="24"/>
          <w:lang w:val="zh-CN"/>
        </w:rPr>
      </w:pPr>
      <w:r>
        <w:rPr>
          <w:rFonts w:asciiTheme="minorEastAsia" w:eastAsiaTheme="minorEastAsia" w:hAnsiTheme="minorEastAsia" w:cs="仿宋_GB2312" w:hint="eastAsia"/>
          <w:sz w:val="24"/>
        </w:rPr>
        <w:t>（一）本项目不接受联合体竞价。乙方不得以任何方式转包或分包本项目。</w:t>
      </w:r>
      <w:r>
        <w:rPr>
          <w:rFonts w:asciiTheme="minorEastAsia" w:eastAsiaTheme="minorEastAsia" w:hAnsiTheme="minorEastAsia" w:cs="仿宋_GB2312" w:hint="eastAsia"/>
          <w:sz w:val="24"/>
          <w:lang w:val="zh-CN"/>
        </w:rPr>
        <w:t>合同金额</w:t>
      </w:r>
      <w:r>
        <w:rPr>
          <w:rFonts w:asciiTheme="minorEastAsia" w:eastAsiaTheme="minorEastAsia" w:hAnsiTheme="minorEastAsia" w:cs="仿宋_GB2312" w:hint="eastAsia"/>
          <w:sz w:val="24"/>
          <w:lang w:val="zh-CN"/>
        </w:rPr>
        <w:t>货币为人民币</w:t>
      </w:r>
      <w:r w:rsidR="00740B84">
        <w:rPr>
          <w:rFonts w:asciiTheme="minorEastAsia" w:eastAsiaTheme="minorEastAsia" w:hAnsiTheme="minorEastAsia" w:cs="仿宋_GB2312" w:hint="eastAsia"/>
          <w:sz w:val="24"/>
          <w:lang w:val="zh-CN"/>
        </w:rPr>
        <w:t xml:space="preserve">。 </w:t>
      </w:r>
    </w:p>
    <w:p w14:paraId="526929C0" w14:textId="77777777" w:rsidR="00D424A6" w:rsidRDefault="00000000">
      <w:pPr>
        <w:spacing w:line="360" w:lineRule="auto"/>
        <w:ind w:firstLineChars="200" w:firstLine="480"/>
        <w:rPr>
          <w:rFonts w:asciiTheme="minorEastAsia" w:eastAsiaTheme="minorEastAsia" w:hAnsiTheme="minorEastAsia" w:cs="仿宋_GB2312" w:hint="eastAsia"/>
          <w:sz w:val="24"/>
          <w:lang w:val="zh-CN"/>
        </w:rPr>
      </w:pPr>
      <w:r>
        <w:rPr>
          <w:rFonts w:asciiTheme="minorEastAsia" w:eastAsiaTheme="minorEastAsia" w:hAnsiTheme="minorEastAsia" w:cs="仿宋_GB2312" w:hint="eastAsia"/>
          <w:sz w:val="24"/>
        </w:rPr>
        <w:t>（二）乙方须具有满足为项目中所有货物供货的能力（包括货物的取得、保管、配送、运输等）。</w:t>
      </w:r>
    </w:p>
    <w:p w14:paraId="27739573" w14:textId="77777777" w:rsidR="00D424A6" w:rsidRDefault="00000000">
      <w:pPr>
        <w:spacing w:line="360" w:lineRule="auto"/>
        <w:ind w:firstLineChars="200" w:firstLine="480"/>
        <w:rPr>
          <w:rFonts w:asciiTheme="minorEastAsia" w:eastAsiaTheme="minorEastAsia" w:hAnsiTheme="minorEastAsia" w:cs="仿宋_GB2312" w:hint="eastAsia"/>
          <w:sz w:val="24"/>
          <w:lang w:val="zh-CN"/>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hint="eastAsia"/>
          <w:sz w:val="24"/>
        </w:rPr>
        <w:t>三</w:t>
      </w:r>
      <w:r>
        <w:rPr>
          <w:rFonts w:asciiTheme="minorEastAsia" w:eastAsiaTheme="minorEastAsia" w:hAnsiTheme="minorEastAsia" w:cs="仿宋_GB2312" w:hint="eastAsia"/>
          <w:sz w:val="24"/>
          <w:lang w:val="zh-CN"/>
        </w:rPr>
        <w:t>）乙方所供应的耗材必须正规渠道进货，产品质量达到国家标准；货物牌标识内容清晰、有出厂合格证、序列号、包装箱号与出厂批号一致，并可追索查阅。产品质量应符合中华人民共和国国家安全质量标准、环保标准、行业标准货货物来源国官方标准；凡属于《中华人民共和国实施强制性产品认证的产品目录》的产品，须在交货时提供该产品的《中国强制认证》（CCC认证）。实际采购中，甲方将按核定的单价金额进行支付，</w:t>
      </w:r>
      <w:r>
        <w:rPr>
          <w:rFonts w:asciiTheme="minorEastAsia" w:eastAsiaTheme="minorEastAsia" w:hAnsiTheme="minorEastAsia" w:cs="仿宋_GB2312" w:hint="eastAsia"/>
          <w:sz w:val="24"/>
        </w:rPr>
        <w:t>乙方</w:t>
      </w:r>
      <w:r>
        <w:rPr>
          <w:rFonts w:asciiTheme="minorEastAsia" w:eastAsiaTheme="minorEastAsia" w:hAnsiTheme="minorEastAsia" w:cs="仿宋_GB2312" w:hint="eastAsia"/>
          <w:sz w:val="24"/>
          <w:lang w:val="zh-CN"/>
        </w:rPr>
        <w:t>不得拒绝供货或提高单价，供货数量由</w:t>
      </w:r>
      <w:r>
        <w:rPr>
          <w:rFonts w:asciiTheme="minorEastAsia" w:eastAsiaTheme="minorEastAsia" w:hAnsiTheme="minorEastAsia" w:cs="仿宋_GB2312" w:hint="eastAsia"/>
          <w:sz w:val="24"/>
        </w:rPr>
        <w:t>甲方</w:t>
      </w:r>
      <w:r>
        <w:rPr>
          <w:rFonts w:asciiTheme="minorEastAsia" w:eastAsiaTheme="minorEastAsia" w:hAnsiTheme="minorEastAsia" w:cs="仿宋_GB2312" w:hint="eastAsia"/>
          <w:sz w:val="24"/>
          <w:lang w:val="zh-CN"/>
        </w:rPr>
        <w:t>根据实际需要提出。</w:t>
      </w:r>
    </w:p>
    <w:p w14:paraId="1839296F"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lang w:val="zh-CN"/>
        </w:rPr>
        <w:t>（</w:t>
      </w:r>
      <w:r>
        <w:rPr>
          <w:rFonts w:asciiTheme="minorEastAsia" w:eastAsiaTheme="minorEastAsia" w:hAnsiTheme="minorEastAsia" w:cs="仿宋_GB2312" w:hint="eastAsia"/>
          <w:sz w:val="24"/>
        </w:rPr>
        <w:t>四</w:t>
      </w:r>
      <w:r>
        <w:rPr>
          <w:rFonts w:asciiTheme="minorEastAsia" w:eastAsiaTheme="minorEastAsia" w:hAnsiTheme="minorEastAsia" w:cs="仿宋_GB2312" w:hint="eastAsia"/>
          <w:sz w:val="24"/>
          <w:lang w:val="zh-CN"/>
        </w:rPr>
        <w:t>）</w:t>
      </w:r>
      <w:r>
        <w:rPr>
          <w:rFonts w:asciiTheme="minorEastAsia" w:eastAsiaTheme="minorEastAsia" w:hAnsiTheme="minorEastAsia" w:cs="仿宋_GB2312" w:hint="eastAsia"/>
          <w:sz w:val="24"/>
        </w:rPr>
        <w:t>乙方在履约过程中如果出现质量不符合国家有关规范和竞价文件的有关规定，甲方要求退货的，乙方必须无条件立即执行，并承担由此产生的各种费用，供货期不予顺延。</w:t>
      </w:r>
    </w:p>
    <w:p w14:paraId="29B99900"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（五）紧急采购的物品，乙方应于24小时内响应并送达。如有三次未按时间要求响应、送达记录的，甲方有权单方面解除合同。</w:t>
      </w:r>
    </w:p>
    <w:p w14:paraId="502F66BF"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（六）乙方保证合同项下提供的货物不侵犯任何第三方的专利、商标或版权。否则，乙方须承担对第三方的专利或版权的侵权责任并承担因此而发生的所有费用。</w:t>
      </w:r>
    </w:p>
    <w:p w14:paraId="45858DBF"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验收标准</w:t>
      </w:r>
    </w:p>
    <w:p w14:paraId="2F9BA27E"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要求对全部配件的型号、规格、数量、外型、外观、包装进行验收。产品剩余有效期需在1年以上。所有货物均应符合国内有关行业安全、环境标准，须为全新产品，无污染，无侵权行为，表面无划损，无任何缺陷隐患。</w:t>
      </w:r>
    </w:p>
    <w:p w14:paraId="00B587E8"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（二）配件材料的包装必须是制造商原厂包装，其包装均应有良好的防湿、防锈、防潮、防雨、防腐及防碰撞的措施。凡由于包装不良造成的损失和由此产生的费用均由乙方承担。</w:t>
      </w:r>
    </w:p>
    <w:p w14:paraId="4F2B715F"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（三）乙方应严格按甲方要求（品牌、品种、规格、质量、数量、重量等）</w:t>
      </w:r>
      <w:r>
        <w:rPr>
          <w:rFonts w:asciiTheme="minorEastAsia" w:eastAsiaTheme="minorEastAsia" w:hAnsiTheme="minorEastAsia" w:cs="仿宋_GB2312" w:hint="eastAsia"/>
          <w:sz w:val="24"/>
        </w:rPr>
        <w:lastRenderedPageBreak/>
        <w:t>供应货物，不得变更，否则，甲方有权退货并自行采购同等质量的货物，由此产生的费用和经济损失均由乙方承担，乙方还同时承担违约责任。</w:t>
      </w:r>
    </w:p>
    <w:p w14:paraId="50A93C27"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（四）乙方以次充好，提供的产品不符合采购要求或者达不到参与项目竞价时响应的产品要求，甲方有权立即单方解除合同，没收全部履约保证金，并将乙方列入采购黑名单，一年内不得参与甲方的项目竞价。</w:t>
      </w:r>
    </w:p>
    <w:p w14:paraId="07758607"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售后服务</w:t>
      </w:r>
    </w:p>
    <w:p w14:paraId="42A37690"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（一）若甲方发现不符合要求的货物，乙方必须无条件退货或更换。因乙方供应不合格的、假冒伪劣、以次充好的商品而造成甲方安全事故的，甲方将马上终止合同并追究相关法律责任。</w:t>
      </w:r>
    </w:p>
    <w:p w14:paraId="140838C0"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（二）验收交付后，乙方提供一年质保服务。质保期内，非人为因素，乙方对所供货物实行包修、包换、包退。质保期内，在非人为因素情况下，一切备品备件均由乙方免费提供。</w:t>
      </w:r>
    </w:p>
    <w:p w14:paraId="1A75C756"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（三）接到甲方产品出现问题的通知后，乙方应24小时内响应并处理完毕。若在24小时内仍未处理完毕，乙方应免费提供相同档次的产品予甲方临时使用或采取应急措施解决，不得影响甲方的正常工作业务。</w:t>
      </w:r>
    </w:p>
    <w:p w14:paraId="336D00D0" w14:textId="77777777" w:rsidR="00D424A6" w:rsidRDefault="00000000">
      <w:pPr>
        <w:pStyle w:val="a7"/>
        <w:spacing w:after="0"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（四）对甲方的服务通知，7个工作日内处理完毕。若在7个工作日内仍未能有效解决，乙方须免费提供同档次的货物予甲方临时使用采取应急措施解决，不得影响甲方的正常工作业务。</w:t>
      </w:r>
    </w:p>
    <w:p w14:paraId="77C50BD8"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履约保证金</w:t>
      </w:r>
    </w:p>
    <w:p w14:paraId="5D6446F7" w14:textId="77777777" w:rsidR="00D424A6" w:rsidRDefault="00000000">
      <w:pPr>
        <w:spacing w:line="360" w:lineRule="auto"/>
        <w:ind w:firstLineChars="200" w:firstLine="482"/>
        <w:rPr>
          <w:rFonts w:asciiTheme="minorEastAsia" w:eastAsiaTheme="minorEastAsia" w:hAnsiTheme="minorEastAsia" w:cs="仿宋_GB2312" w:hint="eastAsia"/>
          <w:b/>
          <w:bCs/>
          <w:sz w:val="24"/>
        </w:rPr>
      </w:pPr>
      <w:r>
        <w:rPr>
          <w:rFonts w:asciiTheme="minorEastAsia" w:eastAsiaTheme="minorEastAsia" w:hAnsiTheme="minorEastAsia" w:cs="仿宋_GB2312" w:hint="eastAsia"/>
          <w:b/>
          <w:bCs/>
          <w:sz w:val="24"/>
        </w:rPr>
        <w:t>（一）缴纳履约保证金</w:t>
      </w:r>
    </w:p>
    <w:p w14:paraId="6B036857"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签订合同后十个工作日内，乙方需提交合同总额5%作为履约保证金。如乙方未能按要求履行合同，违反相关规定的，甲方将有权没收履约保证金或扣除相应违约金额。</w:t>
      </w:r>
    </w:p>
    <w:p w14:paraId="7CC6C00C" w14:textId="77777777" w:rsidR="00D424A6" w:rsidRDefault="00000000">
      <w:pPr>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bCs/>
          <w:sz w:val="24"/>
        </w:rPr>
        <w:t>（二）退还履约保证金</w:t>
      </w:r>
    </w:p>
    <w:p w14:paraId="6FC282AB" w14:textId="77777777" w:rsidR="00D424A6" w:rsidRDefault="00000000">
      <w:pPr>
        <w:spacing w:line="360" w:lineRule="auto"/>
        <w:ind w:firstLineChars="200" w:firstLine="480"/>
        <w:rPr>
          <w:rFonts w:asciiTheme="minorEastAsia" w:eastAsiaTheme="minorEastAsia" w:hAnsiTheme="minorEastAsia" w:cs="仿宋_GB2312" w:hint="eastAsia"/>
          <w:sz w:val="24"/>
          <w:lang w:eastAsia="zh-TW"/>
        </w:rPr>
      </w:pPr>
      <w:r>
        <w:rPr>
          <w:rFonts w:asciiTheme="minorEastAsia" w:eastAsiaTheme="minorEastAsia" w:hAnsiTheme="minorEastAsia" w:cs="仿宋_GB2312" w:hint="eastAsia"/>
          <w:sz w:val="24"/>
        </w:rPr>
        <w:t>（1）时间、方式和条件：乙方履行完成合同约定权利义务事项在合同期满之日起且验收合格15个工作日内退还。不计利息。</w:t>
      </w:r>
    </w:p>
    <w:p w14:paraId="141BD322"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（2）如乙方逾期未足额交纳履约保证金，甲方有权立即解除本合同。如乙方</w:t>
      </w:r>
      <w:r>
        <w:rPr>
          <w:rFonts w:asciiTheme="minorEastAsia" w:eastAsiaTheme="minorEastAsia" w:hAnsiTheme="minorEastAsia" w:cs="仿宋_GB2312" w:hint="eastAsia"/>
          <w:sz w:val="24"/>
          <w:lang w:eastAsia="zh-TW"/>
        </w:rPr>
        <w:t>违反合同及其附件约定的任何义务，</w:t>
      </w:r>
      <w:r>
        <w:rPr>
          <w:rFonts w:asciiTheme="minorEastAsia" w:eastAsiaTheme="minorEastAsia" w:hAnsiTheme="minorEastAsia" w:cs="仿宋_GB2312" w:hint="eastAsia"/>
          <w:sz w:val="24"/>
        </w:rPr>
        <w:t>甲方</w:t>
      </w:r>
      <w:r>
        <w:rPr>
          <w:rFonts w:asciiTheme="minorEastAsia" w:eastAsiaTheme="minorEastAsia" w:hAnsiTheme="minorEastAsia" w:cs="仿宋_GB2312" w:hint="eastAsia"/>
          <w:sz w:val="24"/>
          <w:lang w:eastAsia="zh-TW"/>
        </w:rPr>
        <w:t>有权在履约保证金中直接扣除</w:t>
      </w:r>
      <w:r>
        <w:rPr>
          <w:rFonts w:asciiTheme="minorEastAsia" w:eastAsiaTheme="minorEastAsia" w:hAnsiTheme="minorEastAsia" w:cs="仿宋_GB2312" w:hint="eastAsia"/>
          <w:sz w:val="24"/>
        </w:rPr>
        <w:t>乙方</w:t>
      </w:r>
      <w:r>
        <w:rPr>
          <w:rFonts w:asciiTheme="minorEastAsia" w:eastAsiaTheme="minorEastAsia" w:hAnsiTheme="minorEastAsia" w:cs="仿宋_GB2312" w:hint="eastAsia"/>
          <w:sz w:val="24"/>
          <w:lang w:eastAsia="zh-TW"/>
        </w:rPr>
        <w:t>应向</w:t>
      </w:r>
      <w:r>
        <w:rPr>
          <w:rFonts w:asciiTheme="minorEastAsia" w:eastAsiaTheme="minorEastAsia" w:hAnsiTheme="minorEastAsia" w:cs="仿宋_GB2312" w:hint="eastAsia"/>
          <w:sz w:val="24"/>
        </w:rPr>
        <w:t>甲方</w:t>
      </w:r>
      <w:r>
        <w:rPr>
          <w:rFonts w:asciiTheme="minorEastAsia" w:eastAsiaTheme="minorEastAsia" w:hAnsiTheme="minorEastAsia" w:cs="仿宋_GB2312" w:hint="eastAsia"/>
          <w:sz w:val="24"/>
          <w:lang w:eastAsia="zh-TW"/>
        </w:rPr>
        <w:t>支付的违约金或损失赔偿额，</w:t>
      </w:r>
      <w:r>
        <w:rPr>
          <w:rFonts w:asciiTheme="minorEastAsia" w:eastAsiaTheme="minorEastAsia" w:hAnsiTheme="minorEastAsia" w:cs="仿宋_GB2312" w:hint="eastAsia"/>
          <w:sz w:val="24"/>
        </w:rPr>
        <w:t>乙方应在履约保证金被扣除后3日内补足。</w:t>
      </w:r>
      <w:r>
        <w:rPr>
          <w:rFonts w:asciiTheme="minorEastAsia" w:eastAsiaTheme="minorEastAsia" w:hAnsiTheme="minorEastAsia" w:cs="仿宋_GB2312" w:hint="eastAsia"/>
          <w:sz w:val="24"/>
        </w:rPr>
        <w:lastRenderedPageBreak/>
        <w:t>逾期未补足的，甲方有权立即单方解除合同并没收剩余履约保证金。如履约保证金不足以弥补甲方损失的，乙方应对超出部分一并赔偿。</w:t>
      </w:r>
    </w:p>
    <w:p w14:paraId="0A7F8051"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付款方式</w:t>
      </w:r>
    </w:p>
    <w:p w14:paraId="586A6968"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（一）按季度结算。办公打印耗材费用结算，每季度按实际采购额进行结算；甲方验收货物合格后一个月内结算，遇节假日时间顺延，特殊情况双方协商解决。</w:t>
      </w:r>
    </w:p>
    <w:p w14:paraId="055AADA6" w14:textId="77777777" w:rsidR="00D424A6"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（二）付款方式：采用银行转账、银行汇付（含电汇）等方式。</w:t>
      </w:r>
    </w:p>
    <w:p w14:paraId="02C47E3E"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保险</w:t>
      </w:r>
    </w:p>
    <w:p w14:paraId="472BC832"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货物到达交货地点之前的所有保险费用和派往甲方进行服务人员的人身险和其他有关险种，以及有关费用由乙方负责。</w:t>
      </w:r>
    </w:p>
    <w:p w14:paraId="75ABFE6E"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违约责任</w:t>
      </w:r>
    </w:p>
    <w:p w14:paraId="624CB1C1"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（一）乙方逾期交货或未按时履行保修义务，则扣除履约保证金50%。如超过合同规定交货期限后交货，则视为乙方逾期交货。</w:t>
      </w:r>
    </w:p>
    <w:p w14:paraId="334C1341"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（二）乙方不能交货，则按合同总价30%支付违约金给甲方。同时，甲方有权单方面解除合同。如上述违约金金额仍不足以补偿甲方因乙方违约造成的损失，甲方有权进一步向乙方提出索赔。</w:t>
      </w:r>
    </w:p>
    <w:p w14:paraId="088B6BCD"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（三）货物未能一次性通过验收，甲方可同意乙方整改，并在第一次验收结束之日起 3 天内重新组织验收；经2次验收不合格的，甲方有权单方面解除合同。如因此给甲方造成损失的，甲方有权向乙方提出索赔。</w:t>
      </w:r>
    </w:p>
    <w:p w14:paraId="67B33A03"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（四）甲方解除合同，乙方须在接到甲方解约通知之日起 7 天内支付赔偿金。</w:t>
      </w:r>
    </w:p>
    <w:p w14:paraId="61C57B2D"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（五）合同期内，如乙方逾期履行供货义务连续或累计超过2次的，甲方有权立即单方面解除本合同，并没收乙方全部履约保证金。如因此造成甲方其他损失的，乙方应一并予以赔偿。</w:t>
      </w:r>
    </w:p>
    <w:p w14:paraId="70135160"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争议解决方式</w:t>
      </w:r>
    </w:p>
    <w:p w14:paraId="3025BC86"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32BE22D8"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（二）本合同发生争议，由双方协商或由政府采购监督管理部门调解解决，协商或调解不成时向有管辖权的人民法院提起诉讼。（本合同的诉讼管辖地为肇</w:t>
      </w:r>
      <w:r>
        <w:rPr>
          <w:rFonts w:asciiTheme="minorEastAsia" w:eastAsiaTheme="minorEastAsia" w:hAnsiTheme="minorEastAsia" w:cs="仿宋_GB2312" w:hint="eastAsia"/>
          <w:sz w:val="24"/>
        </w:rPr>
        <w:lastRenderedPageBreak/>
        <w:t>庆有管辖权的法院）（在诉讼期间，除有争议部分的事项外，合同其他部分仍应继续履行）。</w:t>
      </w:r>
    </w:p>
    <w:p w14:paraId="434B7ADB"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通知</w:t>
      </w:r>
    </w:p>
    <w:p w14:paraId="41B4FADA"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（一）本合同一方给对方的通知，应用书面形式送达合同中规定的对方地址。电传或传真要经对方书面确认，以电传形式的通知，从当地邮电局发出电报的第二天视为送达。</w:t>
      </w:r>
    </w:p>
    <w:p w14:paraId="5708481F"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（二）通知以送到日期或通知书的生效日期为生效日期，两者中以晚的一个日期为准。</w:t>
      </w:r>
    </w:p>
    <w:p w14:paraId="73C3BFAD"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合同生效</w:t>
      </w:r>
    </w:p>
    <w:p w14:paraId="379D37B3"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合同经双方授权代表签字并加盖合同专用章或公章之日起生效，合同生效日期以最后一个签字日为准。采购期限为自合同签订之日起1年或甲方累计采购量达到项目合同金额后合同期限结束，以先到者为准，甲方有权即时单方终止本合同。</w:t>
      </w:r>
    </w:p>
    <w:p w14:paraId="162BF5BD" w14:textId="77777777" w:rsidR="00D424A6" w:rsidRDefault="00000000">
      <w:pPr>
        <w:pStyle w:val="ac"/>
        <w:numPr>
          <w:ilvl w:val="0"/>
          <w:numId w:val="1"/>
        </w:numPr>
        <w:snapToGrid w:val="0"/>
        <w:spacing w:line="360" w:lineRule="auto"/>
        <w:ind w:firstLineChars="0"/>
        <w:rPr>
          <w:rFonts w:asciiTheme="minorEastAsia" w:eastAsiaTheme="minorEastAsia" w:hAnsiTheme="minorEastAsia" w:cs="黑体" w:hint="eastAsia"/>
          <w:b/>
          <w:sz w:val="24"/>
        </w:rPr>
      </w:pPr>
      <w:r>
        <w:rPr>
          <w:rFonts w:asciiTheme="minorEastAsia" w:eastAsiaTheme="minorEastAsia" w:hAnsiTheme="minorEastAsia" w:cs="黑体" w:hint="eastAsia"/>
          <w:b/>
          <w:sz w:val="24"/>
        </w:rPr>
        <w:t>其他</w:t>
      </w:r>
    </w:p>
    <w:p w14:paraId="2F7F19CB"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（一）本项目成交通知书、采购文件、响应文件及附件均是本合同不可分割的部分，解释的顺序除特别说明外，以文件生成时间在后的为准。</w:t>
      </w:r>
    </w:p>
    <w:p w14:paraId="3A0D5B2F"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（二）在执行合同过程中，所有经甲乙双方签署确认的文件（包括会议纪要、补充协议、往来信函）即成为本合同的有效组成部分，其生效日期为双方签字盖章确认的日期。</w:t>
      </w:r>
    </w:p>
    <w:p w14:paraId="2D6FFD22"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（三）除甲方事先书面同意外，乙方不得部分或全部转让其应履行的合同项下的义务。</w:t>
      </w:r>
    </w:p>
    <w:p w14:paraId="3C4EB9C6"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（四）本合同一式伍份，甲方执肆份、乙方执壹份，具有同等法律效力。</w:t>
      </w:r>
    </w:p>
    <w:p w14:paraId="3339B227" w14:textId="77777777" w:rsidR="00D424A6" w:rsidRDefault="00000000">
      <w:pPr>
        <w:snapToGrid w:val="0"/>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乙方应保证，甲方在使用乙方供应的货物或货物的任何一部分及享受乙方向甲方提供的服务时，如受第三方提出的侵犯其专利权、商标权或其他知识产权的起诉，由乙方承担一切责任，且乙方应赔偿甲方由于上述原因而造成的损失（包括但不限于赔偿费、诉讼费、律师费等）。</w:t>
      </w:r>
    </w:p>
    <w:p w14:paraId="4774581C" w14:textId="77777777" w:rsidR="00D424A6" w:rsidRDefault="00D424A6">
      <w:pPr>
        <w:pStyle w:val="1"/>
        <w:spacing w:line="360" w:lineRule="auto"/>
        <w:rPr>
          <w:rFonts w:asciiTheme="minorEastAsia" w:eastAsiaTheme="minorEastAsia" w:hAnsiTheme="minorEastAsia" w:cs="仿宋_GB2312" w:hint="eastAsia"/>
          <w:sz w:val="24"/>
          <w:szCs w:val="24"/>
        </w:rPr>
      </w:pPr>
    </w:p>
    <w:p w14:paraId="5565111F"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甲方（盖章）：                       乙方（盖章）：                                     </w:t>
      </w:r>
    </w:p>
    <w:p w14:paraId="214EC222"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地址：                               地址：                                     </w:t>
      </w:r>
    </w:p>
    <w:p w14:paraId="657A4D18"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法定代表人/负责人：                  法定代表人/负责人：                        </w:t>
      </w:r>
    </w:p>
    <w:p w14:paraId="1FEC7B25"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lastRenderedPageBreak/>
        <w:t xml:space="preserve">委托代理人：                         委托代理人：                        </w:t>
      </w:r>
    </w:p>
    <w:p w14:paraId="4E3D03B9"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开户银行：                           开户银行：                            </w:t>
      </w:r>
    </w:p>
    <w:p w14:paraId="15C49C69"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 xml:space="preserve">账号：                               账号：                        </w:t>
      </w:r>
    </w:p>
    <w:p w14:paraId="32B13792" w14:textId="77777777" w:rsidR="00D424A6" w:rsidRDefault="00000000">
      <w:pPr>
        <w:snapToGrid w:val="0"/>
        <w:spacing w:line="360" w:lineRule="auto"/>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签约时间：    年  月   日            签约时间：    年    月    日</w:t>
      </w:r>
    </w:p>
    <w:p w14:paraId="53ADA432" w14:textId="77777777" w:rsidR="00D424A6" w:rsidRDefault="00D424A6">
      <w:pPr>
        <w:pStyle w:val="1"/>
        <w:spacing w:line="360" w:lineRule="auto"/>
        <w:rPr>
          <w:rFonts w:asciiTheme="minorEastAsia" w:eastAsiaTheme="minorEastAsia" w:hAnsiTheme="minorEastAsia" w:cs="仿宋_GB2312" w:hint="eastAsia"/>
          <w:sz w:val="24"/>
          <w:szCs w:val="24"/>
        </w:rPr>
      </w:pPr>
    </w:p>
    <w:p w14:paraId="4780E8EE" w14:textId="77777777" w:rsidR="00D424A6" w:rsidRDefault="00D424A6">
      <w:pPr>
        <w:pStyle w:val="1"/>
        <w:spacing w:line="360" w:lineRule="auto"/>
        <w:rPr>
          <w:rFonts w:asciiTheme="minorEastAsia" w:eastAsiaTheme="minorEastAsia" w:hAnsiTheme="minorEastAsia" w:cs="仿宋_GB2312" w:hint="eastAsia"/>
          <w:sz w:val="24"/>
          <w:szCs w:val="24"/>
        </w:rPr>
      </w:pPr>
    </w:p>
    <w:p w14:paraId="3774D957" w14:textId="77777777" w:rsidR="00D424A6" w:rsidRDefault="00D424A6">
      <w:pPr>
        <w:spacing w:line="360" w:lineRule="auto"/>
        <w:rPr>
          <w:rFonts w:asciiTheme="minorEastAsia" w:eastAsiaTheme="minorEastAsia" w:hAnsiTheme="minorEastAsia" w:cs="仿宋_GB2312" w:hint="eastAsia"/>
          <w:sz w:val="24"/>
        </w:rPr>
      </w:pPr>
    </w:p>
    <w:sectPr w:rsidR="00D424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58D52" w14:textId="77777777" w:rsidR="00B2708A" w:rsidRDefault="00B2708A">
      <w:r>
        <w:separator/>
      </w:r>
    </w:p>
  </w:endnote>
  <w:endnote w:type="continuationSeparator" w:id="0">
    <w:p w14:paraId="392AC3EB" w14:textId="77777777" w:rsidR="00B2708A" w:rsidRDefault="00B2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DF24" w14:textId="77777777" w:rsidR="00D424A6" w:rsidRDefault="00000000">
    <w:pPr>
      <w:pStyle w:val="a9"/>
    </w:pPr>
    <w:r>
      <w:rPr>
        <w:noProof/>
      </w:rPr>
      <mc:AlternateContent>
        <mc:Choice Requires="wps">
          <w:drawing>
            <wp:anchor distT="0" distB="0" distL="114300" distR="114300" simplePos="0" relativeHeight="251660288" behindDoc="0" locked="0" layoutInCell="1" allowOverlap="1" wp14:anchorId="2233F763" wp14:editId="3EA644C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1A539" w14:textId="77777777" w:rsidR="00D424A6" w:rsidRDefault="0000000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424A6">
                              <w:rPr>
                                <w:rFonts w:hint="eastAsia"/>
                              </w:rPr>
                              <w:t>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33F763"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A1A539" w14:textId="77777777" w:rsidR="00D424A6" w:rsidRDefault="00000000">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424A6">
                        <w:rPr>
                          <w:rFonts w:hint="eastAsia"/>
                        </w:rPr>
                        <w:t>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ADB5C" w14:textId="77777777" w:rsidR="00B2708A" w:rsidRDefault="00B2708A">
      <w:r>
        <w:separator/>
      </w:r>
    </w:p>
  </w:footnote>
  <w:footnote w:type="continuationSeparator" w:id="0">
    <w:p w14:paraId="6F0DDB7A" w14:textId="77777777" w:rsidR="00B2708A" w:rsidRDefault="00B27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91F10"/>
    <w:multiLevelType w:val="multilevel"/>
    <w:tmpl w:val="1D991F10"/>
    <w:lvl w:ilvl="0">
      <w:start w:val="1"/>
      <w:numFmt w:val="chineseCountingThousand"/>
      <w:suff w:val="space"/>
      <w:lvlText w:val="%1、"/>
      <w:lvlJc w:val="left"/>
      <w:pPr>
        <w:ind w:left="440" w:hanging="440"/>
      </w:pPr>
      <w:rPr>
        <w:rFonts w:hint="eastAsia"/>
        <w:sz w:val="24"/>
        <w:szCs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8649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A83B00"/>
    <w:rsid w:val="001D6D83"/>
    <w:rsid w:val="002F6815"/>
    <w:rsid w:val="003E459E"/>
    <w:rsid w:val="004C180C"/>
    <w:rsid w:val="005528E7"/>
    <w:rsid w:val="00586B1C"/>
    <w:rsid w:val="005B6950"/>
    <w:rsid w:val="00645B1A"/>
    <w:rsid w:val="0065219B"/>
    <w:rsid w:val="00740B84"/>
    <w:rsid w:val="007C5B6D"/>
    <w:rsid w:val="00B2708A"/>
    <w:rsid w:val="00B8339D"/>
    <w:rsid w:val="00BE4DBD"/>
    <w:rsid w:val="00C553D4"/>
    <w:rsid w:val="00CD7DD7"/>
    <w:rsid w:val="00D176A7"/>
    <w:rsid w:val="00D424A6"/>
    <w:rsid w:val="00DC38C7"/>
    <w:rsid w:val="00DC6BBA"/>
    <w:rsid w:val="00DD1D11"/>
    <w:rsid w:val="00E37594"/>
    <w:rsid w:val="00F810B9"/>
    <w:rsid w:val="00FA5EA6"/>
    <w:rsid w:val="09475BBC"/>
    <w:rsid w:val="0A7F3627"/>
    <w:rsid w:val="17446BA9"/>
    <w:rsid w:val="193B4486"/>
    <w:rsid w:val="1D9F6C74"/>
    <w:rsid w:val="22D94231"/>
    <w:rsid w:val="2CAD6E77"/>
    <w:rsid w:val="2EDC0EFF"/>
    <w:rsid w:val="35813EAD"/>
    <w:rsid w:val="368D1A8A"/>
    <w:rsid w:val="3833788E"/>
    <w:rsid w:val="3DDA4A1C"/>
    <w:rsid w:val="47A108D8"/>
    <w:rsid w:val="5274686E"/>
    <w:rsid w:val="55A83B00"/>
    <w:rsid w:val="5CC83CB1"/>
    <w:rsid w:val="68FA67D4"/>
    <w:rsid w:val="6A39212C"/>
    <w:rsid w:val="6C1B6E87"/>
    <w:rsid w:val="6C5D347B"/>
    <w:rsid w:val="6C772F8D"/>
    <w:rsid w:val="6CF93F94"/>
    <w:rsid w:val="70DA1528"/>
    <w:rsid w:val="71396131"/>
    <w:rsid w:val="71C7442A"/>
    <w:rsid w:val="7DDA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2921"/>
  <w15:docId w15:val="{1166952C-6582-45D8-B838-AC33AF16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Body Text"/>
    <w:basedOn w:val="a"/>
    <w:qFormat/>
    <w:pPr>
      <w:spacing w:after="120"/>
    </w:pPr>
  </w:style>
  <w:style w:type="paragraph" w:styleId="a8">
    <w:name w:val="Plain Text"/>
    <w:basedOn w:val="a"/>
    <w:link w:val="10"/>
    <w:qFormat/>
    <w:rPr>
      <w:rFonts w:ascii="宋体" w:hAnsi="Courier New"/>
      <w:kern w:val="0"/>
      <w:sz w:val="20"/>
      <w:szCs w:val="21"/>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b">
    <w:name w:val="annotation reference"/>
    <w:basedOn w:val="a0"/>
    <w:rPr>
      <w:sz w:val="21"/>
      <w:szCs w:val="21"/>
    </w:rPr>
  </w:style>
  <w:style w:type="paragraph" w:styleId="ac">
    <w:name w:val="List Paragraph"/>
    <w:basedOn w:val="a"/>
    <w:uiPriority w:val="99"/>
    <w:unhideWhenUsed/>
    <w:pPr>
      <w:ind w:firstLineChars="200" w:firstLine="420"/>
    </w:pPr>
  </w:style>
  <w:style w:type="character" w:customStyle="1" w:styleId="ad">
    <w:name w:val="纯文本 字符"/>
    <w:basedOn w:val="a0"/>
    <w:rPr>
      <w:rFonts w:asciiTheme="minorEastAsia" w:hAnsi="Courier New" w:cs="Courier New"/>
      <w:kern w:val="2"/>
      <w:sz w:val="21"/>
      <w:szCs w:val="24"/>
    </w:rPr>
  </w:style>
  <w:style w:type="character" w:customStyle="1" w:styleId="10">
    <w:name w:val="纯文本 字符1"/>
    <w:basedOn w:val="a0"/>
    <w:link w:val="a8"/>
    <w:qFormat/>
    <w:rPr>
      <w:rFonts w:ascii="宋体" w:eastAsia="宋体" w:hAnsi="Courier New" w:cs="Times New Roman"/>
      <w:szCs w:val="21"/>
    </w:rPr>
  </w:style>
  <w:style w:type="paragraph" w:customStyle="1" w:styleId="11">
    <w:name w:val="修订1"/>
    <w:hidden/>
    <w:uiPriority w:val="99"/>
    <w:unhideWhenUsed/>
    <w:rPr>
      <w:rFonts w:ascii="Times New Roman" w:eastAsia="宋体" w:hAnsi="Times New Roman" w:cs="Times New Roman"/>
      <w:kern w:val="2"/>
      <w:sz w:val="21"/>
      <w:szCs w:val="24"/>
    </w:rPr>
  </w:style>
  <w:style w:type="character" w:customStyle="1" w:styleId="a6">
    <w:name w:val="批注文字 字符"/>
    <w:basedOn w:val="a0"/>
    <w:link w:val="a4"/>
    <w:rPr>
      <w:rFonts w:ascii="Times New Roman" w:eastAsia="宋体" w:hAnsi="Times New Roman" w:cs="Times New Roman"/>
      <w:kern w:val="2"/>
      <w:sz w:val="21"/>
      <w:szCs w:val="24"/>
    </w:rPr>
  </w:style>
  <w:style w:type="character" w:customStyle="1" w:styleId="a5">
    <w:name w:val="批注主题 字符"/>
    <w:basedOn w:val="a6"/>
    <w:link w:val="a3"/>
    <w:qFormat/>
    <w:rPr>
      <w:rFonts w:ascii="Times New Roman" w:eastAsia="宋体" w:hAnsi="Times New Roman" w:cs="Times New Roman"/>
      <w:b/>
      <w:bCs/>
      <w:kern w:val="2"/>
      <w:sz w:val="21"/>
      <w:szCs w:val="24"/>
    </w:rPr>
  </w:style>
  <w:style w:type="paragraph" w:styleId="ae">
    <w:name w:val="Revision"/>
    <w:hidden/>
    <w:uiPriority w:val="99"/>
    <w:unhideWhenUsed/>
    <w:rsid w:val="004C180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3492</Characters>
  <Application>Microsoft Office Word</Application>
  <DocSecurity>0</DocSecurity>
  <Lines>29</Lines>
  <Paragraphs>8</Paragraphs>
  <ScaleCrop>false</ScaleCrop>
  <Company>省监狱管理局</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全景友</dc:creator>
  <cp:lastModifiedBy>云采链</cp:lastModifiedBy>
  <cp:revision>11</cp:revision>
  <dcterms:created xsi:type="dcterms:W3CDTF">2024-09-19T01:26:00Z</dcterms:created>
  <dcterms:modified xsi:type="dcterms:W3CDTF">2024-11-06T03:19:00Z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