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DEF2" w14:textId="77777777" w:rsidR="00607AE0" w:rsidRDefault="00000000">
      <w:pPr>
        <w:jc w:val="center"/>
        <w:rPr>
          <w:rFonts w:ascii="方正小标宋简体" w:eastAsia="方正小标宋简体" w:hAnsi="方正小标宋简体" w:cs="方正小标宋简体" w:hint="eastAsia"/>
          <w:b/>
          <w:bCs/>
          <w:color w:val="333333"/>
          <w:sz w:val="48"/>
          <w:szCs w:val="48"/>
          <w:shd w:val="clear" w:color="auto" w:fill="FFFFFF"/>
        </w:rPr>
      </w:pPr>
      <w:r>
        <w:rPr>
          <w:rFonts w:ascii="方正小标宋简体" w:eastAsia="方正小标宋简体" w:hAnsi="方正小标宋简体" w:cs="方正小标宋简体" w:hint="eastAsia"/>
          <w:b/>
          <w:bCs/>
          <w:sz w:val="48"/>
          <w:szCs w:val="48"/>
        </w:rPr>
        <w:t>广 东 省 肇 庆 监 狱</w:t>
      </w:r>
    </w:p>
    <w:p w14:paraId="0BDAA962" w14:textId="77777777" w:rsidR="00607AE0" w:rsidRDefault="00607AE0">
      <w:pPr>
        <w:jc w:val="center"/>
        <w:rPr>
          <w:rFonts w:ascii="方正小标宋简体" w:eastAsia="方正小标宋简体" w:hAnsi="方正小标宋简体" w:cs="方正小标宋简体" w:hint="eastAsia"/>
          <w:b/>
          <w:bCs/>
          <w:color w:val="333333"/>
          <w:sz w:val="48"/>
          <w:szCs w:val="48"/>
          <w:shd w:val="clear" w:color="auto" w:fill="FFFFFF"/>
        </w:rPr>
      </w:pPr>
    </w:p>
    <w:p w14:paraId="5EA0C24E" w14:textId="77777777" w:rsidR="00607AE0" w:rsidRDefault="00000000">
      <w:pPr>
        <w:jc w:val="center"/>
        <w:rPr>
          <w:rFonts w:ascii="方正小标宋简体" w:eastAsia="方正小标宋简体" w:hAnsi="方正小标宋简体" w:cs="方正小标宋简体" w:hint="eastAsia"/>
          <w:b/>
          <w:bCs/>
          <w:sz w:val="48"/>
          <w:szCs w:val="48"/>
        </w:rPr>
      </w:pPr>
      <w:r>
        <w:rPr>
          <w:rFonts w:ascii="方正小标宋简体" w:eastAsia="方正小标宋简体" w:hAnsi="方正小标宋简体" w:cs="方正小标宋简体" w:hint="eastAsia"/>
          <w:b/>
          <w:bCs/>
          <w:sz w:val="48"/>
          <w:szCs w:val="48"/>
        </w:rPr>
        <w:t>工</w:t>
      </w:r>
    </w:p>
    <w:p w14:paraId="584B22E5" w14:textId="77777777" w:rsidR="00607AE0" w:rsidRDefault="00607AE0">
      <w:pPr>
        <w:jc w:val="center"/>
        <w:rPr>
          <w:rFonts w:ascii="方正小标宋简体" w:eastAsia="方正小标宋简体" w:hAnsi="方正小标宋简体" w:cs="方正小标宋简体" w:hint="eastAsia"/>
          <w:b/>
          <w:bCs/>
          <w:sz w:val="48"/>
          <w:szCs w:val="48"/>
        </w:rPr>
      </w:pPr>
    </w:p>
    <w:p w14:paraId="55868EFF" w14:textId="77777777" w:rsidR="00607AE0" w:rsidRDefault="00000000">
      <w:pPr>
        <w:jc w:val="center"/>
        <w:rPr>
          <w:rFonts w:ascii="方正小标宋简体" w:eastAsia="方正小标宋简体" w:hAnsi="方正小标宋简体" w:cs="方正小标宋简体" w:hint="eastAsia"/>
          <w:b/>
          <w:bCs/>
          <w:sz w:val="48"/>
          <w:szCs w:val="48"/>
        </w:rPr>
      </w:pPr>
      <w:r>
        <w:rPr>
          <w:rFonts w:ascii="方正小标宋简体" w:eastAsia="方正小标宋简体" w:hAnsi="方正小标宋简体" w:cs="方正小标宋简体" w:hint="eastAsia"/>
          <w:b/>
          <w:bCs/>
          <w:sz w:val="48"/>
          <w:szCs w:val="48"/>
        </w:rPr>
        <w:t>程</w:t>
      </w:r>
    </w:p>
    <w:p w14:paraId="2628A461" w14:textId="77777777" w:rsidR="00607AE0" w:rsidRDefault="00607AE0">
      <w:pPr>
        <w:jc w:val="center"/>
        <w:rPr>
          <w:rFonts w:ascii="方正小标宋简体" w:eastAsia="方正小标宋简体" w:hAnsi="方正小标宋简体" w:cs="方正小标宋简体" w:hint="eastAsia"/>
          <w:b/>
          <w:bCs/>
          <w:sz w:val="48"/>
          <w:szCs w:val="48"/>
        </w:rPr>
      </w:pPr>
    </w:p>
    <w:p w14:paraId="0036EB9E" w14:textId="77777777" w:rsidR="00607AE0" w:rsidRDefault="00000000">
      <w:pPr>
        <w:jc w:val="center"/>
        <w:rPr>
          <w:rFonts w:ascii="方正小标宋简体" w:eastAsia="方正小标宋简体" w:hAnsi="方正小标宋简体" w:cs="方正小标宋简体" w:hint="eastAsia"/>
          <w:b/>
          <w:bCs/>
          <w:sz w:val="48"/>
          <w:szCs w:val="48"/>
        </w:rPr>
      </w:pPr>
      <w:r>
        <w:rPr>
          <w:rFonts w:ascii="方正小标宋简体" w:eastAsia="方正小标宋简体" w:hAnsi="方正小标宋简体" w:cs="方正小标宋简体" w:hint="eastAsia"/>
          <w:b/>
          <w:bCs/>
          <w:sz w:val="48"/>
          <w:szCs w:val="48"/>
        </w:rPr>
        <w:t>合</w:t>
      </w:r>
    </w:p>
    <w:p w14:paraId="55F9BFB9" w14:textId="77777777" w:rsidR="00607AE0" w:rsidRDefault="00607AE0">
      <w:pPr>
        <w:jc w:val="center"/>
        <w:rPr>
          <w:rFonts w:ascii="方正小标宋简体" w:eastAsia="方正小标宋简体" w:hAnsi="方正小标宋简体" w:cs="方正小标宋简体" w:hint="eastAsia"/>
          <w:b/>
          <w:bCs/>
          <w:sz w:val="48"/>
          <w:szCs w:val="48"/>
        </w:rPr>
      </w:pPr>
    </w:p>
    <w:p w14:paraId="693D064E" w14:textId="77777777" w:rsidR="00607AE0" w:rsidRDefault="00000000">
      <w:pPr>
        <w:jc w:val="center"/>
        <w:rPr>
          <w:rFonts w:ascii="方正小标宋简体" w:eastAsia="方正小标宋简体" w:hAnsi="方正小标宋简体" w:cs="方正小标宋简体" w:hint="eastAsia"/>
          <w:b/>
          <w:bCs/>
          <w:sz w:val="48"/>
          <w:szCs w:val="48"/>
        </w:rPr>
      </w:pPr>
      <w:r>
        <w:rPr>
          <w:rFonts w:ascii="方正小标宋简体" w:eastAsia="方正小标宋简体" w:hAnsi="方正小标宋简体" w:cs="方正小标宋简体" w:hint="eastAsia"/>
          <w:b/>
          <w:bCs/>
          <w:sz w:val="48"/>
          <w:szCs w:val="48"/>
        </w:rPr>
        <w:t>同</w:t>
      </w:r>
    </w:p>
    <w:p w14:paraId="6527CE5A" w14:textId="77777777" w:rsidR="00607AE0" w:rsidRDefault="00607AE0">
      <w:pPr>
        <w:rPr>
          <w:rFonts w:ascii="宋体" w:hAnsi="宋体" w:hint="eastAsia"/>
          <w:sz w:val="32"/>
        </w:rPr>
      </w:pPr>
    </w:p>
    <w:p w14:paraId="432441BD" w14:textId="77777777" w:rsidR="00607AE0" w:rsidRDefault="00607AE0">
      <w:pPr>
        <w:rPr>
          <w:rFonts w:ascii="宋体" w:hAnsi="宋体" w:hint="eastAsia"/>
          <w:sz w:val="32"/>
        </w:rPr>
      </w:pPr>
    </w:p>
    <w:p w14:paraId="60FAD0D7" w14:textId="77777777" w:rsidR="00607AE0" w:rsidRDefault="00000000">
      <w:pPr>
        <w:ind w:left="1506" w:hangingChars="500" w:hanging="1506"/>
        <w:rPr>
          <w:rFonts w:ascii="宋体" w:hAnsi="宋体" w:hint="eastAsia"/>
          <w:b/>
          <w:bCs/>
          <w:sz w:val="28"/>
          <w:szCs w:val="28"/>
          <w:u w:val="single"/>
        </w:rPr>
      </w:pPr>
      <w:r>
        <w:rPr>
          <w:rFonts w:ascii="宋体" w:hAnsi="宋体" w:hint="eastAsia"/>
          <w:b/>
          <w:bCs/>
          <w:sz w:val="30"/>
          <w:szCs w:val="30"/>
        </w:rPr>
        <w:t>工程名称：</w:t>
      </w:r>
      <w:r>
        <w:rPr>
          <w:rFonts w:ascii="宋体" w:hAnsi="宋体" w:hint="eastAsia"/>
          <w:b/>
          <w:bCs/>
          <w:sz w:val="28"/>
          <w:szCs w:val="28"/>
          <w:u w:val="single"/>
        </w:rPr>
        <w:t xml:space="preserve">广东省肇庆监狱20组团室内消防系统改造项目                                     </w:t>
      </w:r>
    </w:p>
    <w:p w14:paraId="112AB880" w14:textId="77777777" w:rsidR="00607AE0" w:rsidRDefault="00000000">
      <w:pPr>
        <w:rPr>
          <w:rFonts w:ascii="宋体" w:hAnsi="宋体" w:hint="eastAsia"/>
          <w:b/>
          <w:bCs/>
          <w:sz w:val="28"/>
          <w:szCs w:val="28"/>
        </w:rPr>
      </w:pPr>
      <w:r>
        <w:rPr>
          <w:rFonts w:ascii="宋体" w:hAnsi="宋体" w:hint="eastAsia"/>
          <w:b/>
          <w:bCs/>
          <w:sz w:val="28"/>
          <w:szCs w:val="28"/>
        </w:rPr>
        <w:t>工程地点：</w:t>
      </w:r>
      <w:r>
        <w:rPr>
          <w:rFonts w:ascii="宋体" w:hAnsi="宋体" w:hint="eastAsia"/>
          <w:b/>
          <w:bCs/>
          <w:sz w:val="28"/>
          <w:szCs w:val="28"/>
          <w:u w:val="single"/>
        </w:rPr>
        <w:t xml:space="preserve">广东省肇庆监狱                                </w:t>
      </w:r>
    </w:p>
    <w:p w14:paraId="2EF4CBA9" w14:textId="77777777" w:rsidR="00607AE0" w:rsidRDefault="00000000">
      <w:pPr>
        <w:rPr>
          <w:rFonts w:ascii="宋体" w:hAnsi="宋体" w:hint="eastAsia"/>
          <w:b/>
          <w:bCs/>
          <w:sz w:val="30"/>
          <w:szCs w:val="30"/>
        </w:rPr>
      </w:pPr>
      <w:r>
        <w:rPr>
          <w:rFonts w:ascii="宋体" w:hAnsi="宋体" w:hint="eastAsia"/>
          <w:b/>
          <w:bCs/>
          <w:sz w:val="30"/>
          <w:szCs w:val="30"/>
        </w:rPr>
        <w:t>发包方(甲方)：</w:t>
      </w:r>
      <w:r>
        <w:rPr>
          <w:rFonts w:ascii="宋体" w:hAnsi="宋体" w:hint="eastAsia"/>
          <w:b/>
          <w:bCs/>
          <w:sz w:val="28"/>
          <w:szCs w:val="28"/>
          <w:u w:val="single"/>
        </w:rPr>
        <w:t>广东省肇庆监狱</w:t>
      </w:r>
      <w:r>
        <w:rPr>
          <w:rFonts w:ascii="宋体" w:hAnsi="宋体" w:cs="宋体" w:hint="eastAsia"/>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 xml:space="preserve"> </w:t>
      </w:r>
    </w:p>
    <w:p w14:paraId="0035DEFA" w14:textId="77777777" w:rsidR="00607AE0" w:rsidRDefault="00000000">
      <w:pPr>
        <w:rPr>
          <w:rFonts w:ascii="宋体" w:hAnsi="宋体" w:hint="eastAsia"/>
          <w:b/>
          <w:bCs/>
          <w:sz w:val="30"/>
          <w:szCs w:val="30"/>
        </w:rPr>
      </w:pPr>
      <w:r>
        <w:rPr>
          <w:rFonts w:ascii="宋体" w:hAnsi="宋体" w:hint="eastAsia"/>
          <w:b/>
          <w:bCs/>
          <w:sz w:val="30"/>
          <w:szCs w:val="30"/>
        </w:rPr>
        <w:t>承包方(乙方)：</w:t>
      </w:r>
      <w:r>
        <w:rPr>
          <w:rFonts w:ascii="宋体" w:hAnsi="宋体" w:hint="eastAsia"/>
          <w:b/>
          <w:bCs/>
          <w:sz w:val="30"/>
          <w:szCs w:val="30"/>
          <w:u w:val="single"/>
        </w:rPr>
        <w:t xml:space="preserve">                                   </w:t>
      </w:r>
      <w:r>
        <w:rPr>
          <w:rFonts w:ascii="宋体" w:hAnsi="宋体" w:hint="eastAsia"/>
          <w:b/>
          <w:bCs/>
          <w:sz w:val="30"/>
          <w:szCs w:val="30"/>
        </w:rPr>
        <w:t xml:space="preserve"> </w:t>
      </w:r>
    </w:p>
    <w:p w14:paraId="2DB7C25C" w14:textId="77777777" w:rsidR="00607AE0" w:rsidRDefault="00000000">
      <w:pPr>
        <w:rPr>
          <w:rFonts w:hAnsi="宋体" w:cs="宋体" w:hint="eastAsia"/>
          <w:b/>
          <w:bCs/>
          <w:color w:val="000000" w:themeColor="text1"/>
        </w:rPr>
      </w:pPr>
      <w:r>
        <w:rPr>
          <w:rFonts w:ascii="宋体" w:hAnsi="宋体" w:hint="eastAsia"/>
          <w:b/>
          <w:bCs/>
          <w:sz w:val="30"/>
          <w:szCs w:val="30"/>
        </w:rPr>
        <w:t>签订日期：</w:t>
      </w:r>
      <w:r>
        <w:rPr>
          <w:rFonts w:ascii="宋体" w:hAnsi="宋体" w:hint="eastAsia"/>
          <w:b/>
          <w:bCs/>
          <w:sz w:val="30"/>
          <w:szCs w:val="30"/>
          <w:u w:val="single"/>
        </w:rPr>
        <w:t xml:space="preserve">      </w:t>
      </w:r>
      <w:r>
        <w:rPr>
          <w:rFonts w:ascii="宋体" w:hAnsi="宋体" w:cs="宋体" w:hint="eastAsia"/>
          <w:b/>
          <w:bCs/>
          <w:sz w:val="28"/>
          <w:szCs w:val="28"/>
          <w:u w:val="single"/>
        </w:rPr>
        <w:t xml:space="preserve">  2024年     月     日     </w:t>
      </w:r>
      <w:r>
        <w:rPr>
          <w:rFonts w:ascii="宋体" w:hAnsi="宋体" w:hint="eastAsia"/>
          <w:b/>
          <w:bCs/>
          <w:sz w:val="30"/>
          <w:szCs w:val="30"/>
          <w:u w:val="single"/>
        </w:rPr>
        <w:t xml:space="preserve">                </w:t>
      </w:r>
      <w:r>
        <w:rPr>
          <w:rFonts w:hAnsi="宋体" w:cs="宋体" w:hint="eastAsia"/>
          <w:b/>
          <w:bCs/>
          <w:color w:val="000000" w:themeColor="text1"/>
        </w:rPr>
        <w:br w:type="page"/>
      </w:r>
    </w:p>
    <w:p w14:paraId="7DA81D55"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lastRenderedPageBreak/>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94"/>
        <w:gridCol w:w="708"/>
        <w:gridCol w:w="2410"/>
        <w:gridCol w:w="2593"/>
      </w:tblGrid>
      <w:tr w:rsidR="00607AE0" w14:paraId="525A59FD" w14:textId="77777777">
        <w:trPr>
          <w:trHeight w:val="737"/>
          <w:jc w:val="center"/>
        </w:trPr>
        <w:tc>
          <w:tcPr>
            <w:tcW w:w="2794" w:type="dxa"/>
            <w:tcBorders>
              <w:top w:val="single" w:sz="12" w:space="0" w:color="auto"/>
              <w:bottom w:val="single" w:sz="2" w:space="0" w:color="auto"/>
            </w:tcBorders>
            <w:shd w:val="clear" w:color="auto" w:fill="EEECE1"/>
            <w:vAlign w:val="center"/>
          </w:tcPr>
          <w:p w14:paraId="357A5345" w14:textId="77777777" w:rsidR="00607AE0" w:rsidRDefault="00000000">
            <w:pPr>
              <w:adjustRightInd w:val="0"/>
              <w:snapToGrid w:val="0"/>
              <w:jc w:val="center"/>
              <w:rPr>
                <w:rFonts w:ascii="宋体" w:eastAsia="宋体" w:hAnsi="宋体" w:cs="宋体" w:hint="eastAsia"/>
                <w:b/>
                <w:color w:val="000000" w:themeColor="text1"/>
                <w:sz w:val="24"/>
                <w:szCs w:val="24"/>
              </w:rPr>
            </w:pPr>
            <w:r>
              <w:rPr>
                <w:rFonts w:ascii="宋体" w:eastAsia="宋体" w:hAnsi="宋体" w:cs="宋体" w:hint="eastAsia"/>
                <w:b/>
                <w:color w:val="000000" w:themeColor="text1"/>
                <w:sz w:val="24"/>
                <w:szCs w:val="24"/>
              </w:rPr>
              <w:t>采购内容</w:t>
            </w:r>
          </w:p>
        </w:tc>
        <w:tc>
          <w:tcPr>
            <w:tcW w:w="708" w:type="dxa"/>
            <w:tcBorders>
              <w:top w:val="single" w:sz="12" w:space="0" w:color="auto"/>
              <w:bottom w:val="single" w:sz="2" w:space="0" w:color="auto"/>
            </w:tcBorders>
            <w:shd w:val="clear" w:color="auto" w:fill="EEECE1"/>
            <w:vAlign w:val="center"/>
          </w:tcPr>
          <w:p w14:paraId="30D94E9E" w14:textId="77777777" w:rsidR="00607AE0" w:rsidRDefault="00000000">
            <w:pPr>
              <w:adjustRightInd w:val="0"/>
              <w:snapToGrid w:val="0"/>
              <w:jc w:val="center"/>
              <w:rPr>
                <w:rFonts w:ascii="宋体" w:eastAsia="宋体" w:hAnsi="宋体" w:cs="宋体" w:hint="eastAsia"/>
                <w:b/>
                <w:sz w:val="24"/>
                <w:szCs w:val="24"/>
              </w:rPr>
            </w:pPr>
            <w:r>
              <w:rPr>
                <w:rFonts w:ascii="宋体" w:eastAsia="宋体" w:hAnsi="宋体" w:cs="宋体" w:hint="eastAsia"/>
                <w:b/>
                <w:sz w:val="24"/>
                <w:szCs w:val="24"/>
              </w:rPr>
              <w:t>数量</w:t>
            </w:r>
          </w:p>
        </w:tc>
        <w:tc>
          <w:tcPr>
            <w:tcW w:w="2410" w:type="dxa"/>
            <w:tcBorders>
              <w:top w:val="single" w:sz="12" w:space="0" w:color="auto"/>
              <w:bottom w:val="single" w:sz="2" w:space="0" w:color="auto"/>
            </w:tcBorders>
            <w:shd w:val="clear" w:color="auto" w:fill="EEECE1"/>
            <w:vAlign w:val="center"/>
          </w:tcPr>
          <w:p w14:paraId="1BA9C0FE" w14:textId="77777777" w:rsidR="00607AE0" w:rsidRDefault="00000000">
            <w:pPr>
              <w:adjustRightInd w:val="0"/>
              <w:snapToGrid w:val="0"/>
              <w:jc w:val="center"/>
              <w:rPr>
                <w:rFonts w:ascii="宋体" w:eastAsia="宋体" w:hAnsi="宋体" w:cs="宋体" w:hint="eastAsia"/>
                <w:b/>
                <w:color w:val="FF0000"/>
                <w:sz w:val="24"/>
                <w:szCs w:val="24"/>
                <w:highlight w:val="yellow"/>
              </w:rPr>
            </w:pPr>
            <w:r>
              <w:rPr>
                <w:rFonts w:ascii="宋体" w:eastAsia="宋体" w:hAnsi="宋体" w:cs="宋体" w:hint="eastAsia"/>
                <w:b/>
                <w:sz w:val="24"/>
                <w:szCs w:val="24"/>
              </w:rPr>
              <w:t>合同服务期限</w:t>
            </w:r>
          </w:p>
        </w:tc>
        <w:tc>
          <w:tcPr>
            <w:tcW w:w="2593" w:type="dxa"/>
            <w:tcBorders>
              <w:top w:val="single" w:sz="12" w:space="0" w:color="auto"/>
              <w:bottom w:val="single" w:sz="2" w:space="0" w:color="auto"/>
            </w:tcBorders>
            <w:shd w:val="clear" w:color="auto" w:fill="EEECE1"/>
            <w:vAlign w:val="center"/>
          </w:tcPr>
          <w:p w14:paraId="5A5D8F96" w14:textId="77777777" w:rsidR="00607AE0" w:rsidRDefault="00000000">
            <w:pPr>
              <w:adjustRightInd w:val="0"/>
              <w:snapToGrid w:val="0"/>
              <w:jc w:val="center"/>
              <w:rPr>
                <w:rFonts w:ascii="宋体" w:eastAsia="宋体" w:hAnsi="宋体" w:cs="宋体" w:hint="eastAsia"/>
                <w:b/>
                <w:sz w:val="24"/>
                <w:szCs w:val="24"/>
                <w:highlight w:val="yellow"/>
              </w:rPr>
            </w:pPr>
            <w:r>
              <w:rPr>
                <w:rFonts w:ascii="宋体" w:eastAsia="宋体" w:hAnsi="宋体" w:cs="宋体" w:hint="eastAsia"/>
                <w:b/>
                <w:sz w:val="24"/>
                <w:szCs w:val="24"/>
              </w:rPr>
              <w:t>合同总价</w:t>
            </w:r>
          </w:p>
        </w:tc>
      </w:tr>
      <w:tr w:rsidR="00607AE0" w14:paraId="401C5255" w14:textId="77777777">
        <w:trPr>
          <w:trHeight w:val="1368"/>
          <w:jc w:val="center"/>
        </w:trPr>
        <w:tc>
          <w:tcPr>
            <w:tcW w:w="2794" w:type="dxa"/>
            <w:tcBorders>
              <w:top w:val="single" w:sz="2" w:space="0" w:color="auto"/>
              <w:bottom w:val="single" w:sz="2" w:space="0" w:color="auto"/>
            </w:tcBorders>
            <w:vAlign w:val="center"/>
          </w:tcPr>
          <w:p w14:paraId="6F3B1959" w14:textId="77777777" w:rsidR="00607AE0" w:rsidRDefault="00000000">
            <w:pPr>
              <w:adjustRightInd w:val="0"/>
              <w:snapToGrid w:val="0"/>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广东省肇庆监狱20组团室内消防系统改造项目</w:t>
            </w:r>
          </w:p>
        </w:tc>
        <w:tc>
          <w:tcPr>
            <w:tcW w:w="708" w:type="dxa"/>
            <w:tcBorders>
              <w:top w:val="single" w:sz="2" w:space="0" w:color="auto"/>
              <w:bottom w:val="single" w:sz="2" w:space="0" w:color="auto"/>
            </w:tcBorders>
            <w:vAlign w:val="center"/>
          </w:tcPr>
          <w:p w14:paraId="49484E63" w14:textId="77777777" w:rsidR="00607AE0" w:rsidRDefault="00000000">
            <w:pPr>
              <w:autoSpaceDE w:val="0"/>
              <w:adjustRightInd w:val="0"/>
              <w:snapToGrid w:val="0"/>
              <w:jc w:val="center"/>
              <w:rPr>
                <w:rFonts w:ascii="宋体" w:eastAsia="宋体" w:hAnsi="宋体" w:hint="eastAsia"/>
                <w:bCs/>
                <w:sz w:val="24"/>
                <w:szCs w:val="24"/>
              </w:rPr>
            </w:pPr>
            <w:r>
              <w:rPr>
                <w:rFonts w:ascii="宋体" w:eastAsia="宋体" w:hAnsi="宋体" w:hint="eastAsia"/>
                <w:bCs/>
                <w:sz w:val="24"/>
                <w:szCs w:val="24"/>
              </w:rPr>
              <w:t>1项</w:t>
            </w:r>
          </w:p>
        </w:tc>
        <w:tc>
          <w:tcPr>
            <w:tcW w:w="2410" w:type="dxa"/>
            <w:tcBorders>
              <w:top w:val="single" w:sz="2" w:space="0" w:color="auto"/>
              <w:bottom w:val="single" w:sz="2" w:space="0" w:color="auto"/>
            </w:tcBorders>
            <w:vAlign w:val="center"/>
          </w:tcPr>
          <w:p w14:paraId="75F40AE5" w14:textId="77777777" w:rsidR="00607AE0" w:rsidRDefault="00000000">
            <w:pPr>
              <w:pStyle w:val="afd"/>
              <w:autoSpaceDE w:val="0"/>
              <w:snapToGrid w:val="0"/>
              <w:spacing w:before="0" w:after="0" w:line="240" w:lineRule="auto"/>
              <w:rPr>
                <w:rFonts w:ascii="宋体" w:hAnsi="宋体" w:hint="eastAsia"/>
                <w:color w:val="000000"/>
                <w:spacing w:val="0"/>
                <w:kern w:val="2"/>
                <w:szCs w:val="24"/>
              </w:rPr>
            </w:pPr>
            <w:r>
              <w:rPr>
                <w:rFonts w:hint="eastAsia"/>
                <w:szCs w:val="24"/>
              </w:rPr>
              <w:t>自合同签订之日起</w:t>
            </w:r>
            <w:r>
              <w:rPr>
                <w:rFonts w:ascii="宋体" w:hAnsi="宋体" w:hint="eastAsia"/>
                <w:color w:val="000000"/>
                <w:szCs w:val="24"/>
              </w:rPr>
              <w:t>到工程质保期结束。</w:t>
            </w:r>
          </w:p>
        </w:tc>
        <w:tc>
          <w:tcPr>
            <w:tcW w:w="2593" w:type="dxa"/>
            <w:tcBorders>
              <w:top w:val="single" w:sz="2" w:space="0" w:color="auto"/>
              <w:bottom w:val="single" w:sz="2" w:space="0" w:color="auto"/>
            </w:tcBorders>
            <w:vAlign w:val="center"/>
          </w:tcPr>
          <w:p w14:paraId="2E52F8B7" w14:textId="77777777" w:rsidR="00607AE0" w:rsidRDefault="00000000">
            <w:pPr>
              <w:autoSpaceDE w:val="0"/>
              <w:adjustRightInd w:val="0"/>
              <w:snapToGrid w:val="0"/>
              <w:jc w:val="center"/>
              <w:rPr>
                <w:sz w:val="24"/>
                <w:szCs w:val="24"/>
              </w:rPr>
            </w:pPr>
            <w:r>
              <w:rPr>
                <w:rFonts w:ascii="宋体" w:eastAsia="宋体" w:hAnsi="宋体" w:hint="eastAsia"/>
                <w:color w:val="000000"/>
                <w:sz w:val="24"/>
                <w:szCs w:val="24"/>
              </w:rPr>
              <w:t>人民</w:t>
            </w:r>
            <w:r>
              <w:rPr>
                <w:rFonts w:ascii="宋体" w:eastAsia="宋体" w:hAnsi="宋体" w:hint="eastAsia"/>
                <w:sz w:val="24"/>
                <w:szCs w:val="24"/>
              </w:rPr>
              <w:t>币</w:t>
            </w:r>
            <w:r>
              <w:rPr>
                <w:rFonts w:ascii="宋体" w:eastAsia="宋体" w:hAnsi="宋体" w:hint="eastAsia"/>
                <w:sz w:val="24"/>
                <w:szCs w:val="24"/>
                <w:u w:val="single"/>
              </w:rPr>
              <w:t xml:space="preserve">       </w:t>
            </w:r>
            <w:r>
              <w:rPr>
                <w:rFonts w:ascii="宋体" w:eastAsia="宋体" w:hAnsi="宋体" w:hint="eastAsia"/>
                <w:color w:val="000000"/>
                <w:sz w:val="24"/>
                <w:szCs w:val="24"/>
              </w:rPr>
              <w:t>元（其中绿色施工安全防护措施费 19514.58 元</w:t>
            </w:r>
            <w:proofErr w:type="gramStart"/>
            <w:r>
              <w:rPr>
                <w:rFonts w:ascii="宋体" w:eastAsia="宋体" w:hAnsi="宋体" w:hint="eastAsia"/>
                <w:color w:val="000000"/>
                <w:sz w:val="24"/>
                <w:szCs w:val="24"/>
              </w:rPr>
              <w:t>属不可</w:t>
            </w:r>
            <w:proofErr w:type="gramEnd"/>
            <w:r>
              <w:rPr>
                <w:rFonts w:ascii="宋体" w:eastAsia="宋体" w:hAnsi="宋体" w:hint="eastAsia"/>
                <w:color w:val="000000"/>
                <w:sz w:val="24"/>
                <w:szCs w:val="24"/>
              </w:rPr>
              <w:t>竞争费用）</w:t>
            </w:r>
          </w:p>
        </w:tc>
      </w:tr>
    </w:tbl>
    <w:p w14:paraId="198F5628"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项目概况</w:t>
      </w:r>
    </w:p>
    <w:p w14:paraId="2AE8F6C1"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将广东省肇庆监狱20组团室内消防栓系统地环管道（管径为DN150，主要材质为镀锌钢管）改造，室外部分沿一层外墙明敷，室内部分沿一层梁底敷设，分别与室外消防供水管道及原一层室内消防栓竖管驳接；拆除更换一层损坏的消防栓箱体（如有）；按防火分区分别进行注水测试，确保消火栓管网无渗漏且处于正常水压状态；拆除、修复墙体，清运垃圾。具体详见附件《广东省肇庆监狱20组团室内消防系统改造项目工程量清单》，双方签订合同后甲方提供图纸资料。</w:t>
      </w:r>
    </w:p>
    <w:p w14:paraId="464F02C2"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（二）合同总价为人民币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元</w:t>
      </w:r>
      <w:r>
        <w:rPr>
          <w:rFonts w:hint="eastAsia"/>
          <w:color w:val="000000"/>
          <w:sz w:val="24"/>
          <w:szCs w:val="24"/>
        </w:rPr>
        <w:t>（其中绿色施工安全防护措施费 19514.58 元</w:t>
      </w:r>
      <w:proofErr w:type="gramStart"/>
      <w:r>
        <w:rPr>
          <w:rFonts w:hint="eastAsia"/>
          <w:color w:val="000000"/>
          <w:sz w:val="24"/>
          <w:szCs w:val="24"/>
        </w:rPr>
        <w:t>属不可</w:t>
      </w:r>
      <w:proofErr w:type="gramEnd"/>
      <w:r>
        <w:rPr>
          <w:rFonts w:hint="eastAsia"/>
          <w:color w:val="000000"/>
          <w:sz w:val="24"/>
          <w:szCs w:val="24"/>
        </w:rPr>
        <w:t>竞争费用）</w:t>
      </w:r>
      <w:r>
        <w:rPr>
          <w:rFonts w:asciiTheme="minorEastAsia" w:eastAsiaTheme="minorEastAsia" w:hAnsiTheme="minorEastAsia" w:cs="宋体" w:hint="eastAsia"/>
          <w:sz w:val="24"/>
          <w:szCs w:val="24"/>
        </w:rPr>
        <w:t>，合同服务期限为自合同签订之日起到工程质保期结束。</w:t>
      </w:r>
    </w:p>
    <w:p w14:paraId="6029B29A"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（三）本项目采购内容详见附件：《广东省肇庆监狱20组团室内消防系统改造项目工程量清单》。</w:t>
      </w:r>
    </w:p>
    <w:p w14:paraId="3AB5ADE4"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合作形式及工程时间</w:t>
      </w:r>
    </w:p>
    <w:p w14:paraId="66DCC58A"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（一）在本项目结果公告之日起</w:t>
      </w:r>
      <w:r>
        <w:rPr>
          <w:rFonts w:asciiTheme="minorEastAsia" w:eastAsiaTheme="minorEastAsia" w:hAnsiTheme="minorEastAsia" w:cs="宋体" w:hint="eastAsia"/>
          <w:sz w:val="24"/>
          <w:szCs w:val="24"/>
          <w:u w:val="single"/>
        </w:rPr>
        <w:t xml:space="preserve"> 5 </w:t>
      </w:r>
      <w:proofErr w:type="gramStart"/>
      <w:r>
        <w:rPr>
          <w:rFonts w:asciiTheme="minorEastAsia" w:eastAsiaTheme="minorEastAsia" w:hAnsiTheme="minorEastAsia" w:cs="宋体" w:hint="eastAsia"/>
          <w:sz w:val="24"/>
          <w:szCs w:val="24"/>
        </w:rPr>
        <w:t>个</w:t>
      </w:r>
      <w:proofErr w:type="gramEnd"/>
      <w:r>
        <w:rPr>
          <w:rFonts w:asciiTheme="minorEastAsia" w:eastAsiaTheme="minorEastAsia" w:hAnsiTheme="minorEastAsia" w:cs="宋体" w:hint="eastAsia"/>
          <w:sz w:val="24"/>
          <w:szCs w:val="24"/>
        </w:rPr>
        <w:t>工作日内，乙方必须完成合同签订工作，否则</w:t>
      </w:r>
      <w:proofErr w:type="gramStart"/>
      <w:r>
        <w:rPr>
          <w:rFonts w:asciiTheme="minorEastAsia" w:eastAsiaTheme="minorEastAsia" w:hAnsiTheme="minorEastAsia" w:cs="宋体" w:hint="eastAsia"/>
          <w:sz w:val="24"/>
          <w:szCs w:val="24"/>
        </w:rPr>
        <w:t>按放弃</w:t>
      </w:r>
      <w:proofErr w:type="gramEnd"/>
      <w:r>
        <w:rPr>
          <w:rFonts w:asciiTheme="minorEastAsia" w:eastAsiaTheme="minorEastAsia" w:hAnsiTheme="minorEastAsia" w:cs="宋体" w:hint="eastAsia"/>
          <w:sz w:val="24"/>
          <w:szCs w:val="24"/>
        </w:rPr>
        <w:t>成交资格处理。放弃成交资格造成甲方损失时，甲方有权对放弃成交资格的供应商进行追偿。</w:t>
      </w:r>
    </w:p>
    <w:p w14:paraId="3E932470" w14:textId="69EC89FC"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（二）完成合同签订后，乙方必须在</w:t>
      </w:r>
      <w:r>
        <w:rPr>
          <w:rFonts w:asciiTheme="minorEastAsia" w:eastAsiaTheme="minorEastAsia" w:hAnsiTheme="minorEastAsia" w:cs="宋体" w:hint="eastAsia"/>
          <w:sz w:val="24"/>
          <w:szCs w:val="24"/>
          <w:u w:val="single"/>
        </w:rPr>
        <w:t xml:space="preserve"> 5 </w:t>
      </w:r>
      <w:proofErr w:type="gramStart"/>
      <w:r>
        <w:rPr>
          <w:rFonts w:asciiTheme="minorEastAsia" w:eastAsiaTheme="minorEastAsia" w:hAnsiTheme="minorEastAsia" w:cs="宋体" w:hint="eastAsia"/>
          <w:sz w:val="24"/>
          <w:szCs w:val="24"/>
        </w:rPr>
        <w:t>个</w:t>
      </w:r>
      <w:proofErr w:type="gramEnd"/>
      <w:r>
        <w:rPr>
          <w:rFonts w:asciiTheme="minorEastAsia" w:eastAsiaTheme="minorEastAsia" w:hAnsiTheme="minorEastAsia" w:cs="宋体" w:hint="eastAsia"/>
          <w:sz w:val="24"/>
          <w:szCs w:val="24"/>
        </w:rPr>
        <w:t>工作日内安排专人到甲方指定地点进行施工，在施工工期</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58</w:t>
      </w:r>
      <w:r>
        <w:rPr>
          <w:rFonts w:asciiTheme="minorEastAsia" w:eastAsiaTheme="minorEastAsia" w:hAnsiTheme="minorEastAsia" w:cs="宋体" w:hint="eastAsia"/>
          <w:sz w:val="24"/>
          <w:szCs w:val="24"/>
          <w:u w:val="single"/>
        </w:rPr>
        <w:t xml:space="preserve"> </w:t>
      </w:r>
      <w:proofErr w:type="gramStart"/>
      <w:r>
        <w:rPr>
          <w:rFonts w:asciiTheme="minorEastAsia" w:eastAsiaTheme="minorEastAsia" w:hAnsiTheme="minorEastAsia" w:cs="宋体" w:hint="eastAsia"/>
          <w:sz w:val="24"/>
          <w:szCs w:val="24"/>
        </w:rPr>
        <w:t>个日历天</w:t>
      </w:r>
      <w:proofErr w:type="gramEnd"/>
      <w:r>
        <w:rPr>
          <w:rFonts w:asciiTheme="minorEastAsia" w:eastAsiaTheme="minorEastAsia" w:hAnsiTheme="minorEastAsia" w:cs="宋体" w:hint="eastAsia"/>
          <w:sz w:val="24"/>
          <w:szCs w:val="24"/>
        </w:rPr>
        <w:t xml:space="preserve">内完成安装并接入现有系统。 </w:t>
      </w:r>
    </w:p>
    <w:p w14:paraId="2DE9A658"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（三）安装时间：按照甲方工作时间安排进行安装，安装期间服从甲方现场管理要求。</w:t>
      </w:r>
    </w:p>
    <w:p w14:paraId="779F46A5"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商务要求</w:t>
      </w:r>
    </w:p>
    <w:p w14:paraId="34662F7D"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（一）合同总价要求</w:t>
      </w:r>
    </w:p>
    <w:p w14:paraId="4F389883"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1.本项目采用总价包干方式，根据采购文件、设备清单、使用材料说明及资</w:t>
      </w:r>
      <w:r>
        <w:rPr>
          <w:rFonts w:asciiTheme="minorEastAsia" w:hAnsiTheme="minorEastAsia" w:cs="宋体" w:hint="eastAsia"/>
          <w:sz w:val="24"/>
          <w:szCs w:val="24"/>
        </w:rPr>
        <w:lastRenderedPageBreak/>
        <w:t>料工程性质、工程特点，由乙方包工、包料、包机械、包质量、包安全、包工期、包风险、包文明施工、包整个项目的安装调试，并包验收合格，以合同总价（含税费、工程、运杂费等一切费用以及施工过程中不可预见的费用等）为结算的依据，不受市场材料价格的上下变动而调整。签订合同后，如出现必须要做的项目或本项目采购文件漏项的地方或对于影响安全使用的必要组成部分，无论采购文件中指出与否，乙方都应在响应文件中明确列出，且合同总价需包含此部分价格（其中绿色施工安全防护措施费 19514.58 元</w:t>
      </w:r>
      <w:proofErr w:type="gramStart"/>
      <w:r>
        <w:rPr>
          <w:rFonts w:asciiTheme="minorEastAsia" w:hAnsiTheme="minorEastAsia" w:cs="宋体" w:hint="eastAsia"/>
          <w:sz w:val="24"/>
          <w:szCs w:val="24"/>
        </w:rPr>
        <w:t>属不可</w:t>
      </w:r>
      <w:proofErr w:type="gramEnd"/>
      <w:r>
        <w:rPr>
          <w:rFonts w:asciiTheme="minorEastAsia" w:hAnsiTheme="minorEastAsia" w:cs="宋体" w:hint="eastAsia"/>
          <w:sz w:val="24"/>
          <w:szCs w:val="24"/>
        </w:rPr>
        <w:t>竞争费用），签订合同后不得增加任何费用。根据施工过程中甲方要求出现施工材料安装数量少于清单数量的，按合同清单中对应项单价*减少数量，在结算金额中予以扣减。</w:t>
      </w:r>
    </w:p>
    <w:p w14:paraId="493FCC14"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2.本项目施工期间乙方需安排项目总负责人及专职安全管理人员。</w:t>
      </w:r>
    </w:p>
    <w:p w14:paraId="2F850A16"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（二）工程承包范围</w:t>
      </w:r>
    </w:p>
    <w:p w14:paraId="1DE0BA46"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1.清运建筑垃圾；</w:t>
      </w:r>
    </w:p>
    <w:p w14:paraId="5156BF75"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2.余泥排放费等</w:t>
      </w:r>
      <w:proofErr w:type="gramStart"/>
      <w:r>
        <w:rPr>
          <w:rFonts w:asciiTheme="minorEastAsia" w:hAnsiTheme="minorEastAsia" w:cs="宋体" w:hint="eastAsia"/>
          <w:sz w:val="24"/>
          <w:szCs w:val="24"/>
        </w:rPr>
        <w:t>规</w:t>
      </w:r>
      <w:proofErr w:type="gramEnd"/>
      <w:r>
        <w:rPr>
          <w:rFonts w:asciiTheme="minorEastAsia" w:hAnsiTheme="minorEastAsia" w:cs="宋体" w:hint="eastAsia"/>
          <w:sz w:val="24"/>
          <w:szCs w:val="24"/>
        </w:rPr>
        <w:t>费；</w:t>
      </w:r>
    </w:p>
    <w:p w14:paraId="07FBD5E8"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3.管理费、利润、行政事业性收费、防洪费、税金；</w:t>
      </w:r>
    </w:p>
    <w:p w14:paraId="6349D60F"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4.在施工中由于乙方对周围环境造成的破坏、伤害而引起的赔偿；</w:t>
      </w:r>
    </w:p>
    <w:p w14:paraId="22A5E0CE"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5.风险费（包括整个合同签订天数工期内的人工、材料、机械的价格变动及政府相关政策的变动）；</w:t>
      </w:r>
    </w:p>
    <w:p w14:paraId="50AE1321"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6.安全、文明施工措施费；</w:t>
      </w:r>
    </w:p>
    <w:p w14:paraId="4120C017"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7.预算包干费（预算包干费包干内容有：施工雨水的排除，场内料具二次运输，工程用水加压措施；完工清场后的垃圾外运；水电安装后的外调工料费；工程成品保护费；施工中的临时停水停电；基础埋深挖土方的塌方等）；</w:t>
      </w:r>
    </w:p>
    <w:p w14:paraId="207609CD"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8.工程保险费。承包方式：乙方根据甲方提供的采购文件、图纸资料、工程量清单和有关资料及说明的范围内的所有内容为依据，采用本工程以总价包干形式。乙方根据采购文件、有关设计图纸、资料及说明，按包工、包料、包机械、包工期、包质量、包安全生产、包文明施工、包劳保、包验收、包联动调试、包竣工验收以及施工总承包管理配合服务等方式进行承包施工，不允许转包和违法分包，并保证工程质量符合国家施工验收规范标准，确保安全生产文明施工，按工期完成。乙方的项目合同总价不因施工期间人工、水电、机械及材料价格变化、施工条件的变化而调整。乙方负责施工临时道路的维护，费用由乙方承担。甲方认为必要的服务内容。详见工程量清单和施工图纸。甲方根据工程实施情况或政</w:t>
      </w:r>
      <w:r>
        <w:rPr>
          <w:rFonts w:asciiTheme="minorEastAsia" w:hAnsiTheme="minorEastAsia" w:cs="宋体" w:hint="eastAsia"/>
          <w:sz w:val="24"/>
          <w:szCs w:val="24"/>
        </w:rPr>
        <w:lastRenderedPageBreak/>
        <w:t>府相关部门对该工程的相关建设要求，会对乙方的承包范围进行局部适当调整，乙方不得因此提出任何索赔或补偿。因广东省肇庆监狱已投入运行，施工期间需遵守甲方各项管理规定，由此产生的费用或成本由乙方承担。</w:t>
      </w:r>
    </w:p>
    <w:p w14:paraId="6B62AFF9"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（三）包装和运输</w:t>
      </w:r>
    </w:p>
    <w:p w14:paraId="4405CDA1"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1.乙方应提供运至交付地点所需要的包装，包装应符合经济、牢固、美观的要求，采取防潮、防晒、防锈、防振及防止其它损坏的必要措施，以防止材料在运转中损坏或变质。</w:t>
      </w:r>
    </w:p>
    <w:p w14:paraId="2DAE822A"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2.包装必须要符合相关法律、法规的要求，包括与环境、职业健康和安全有关的法律、法规标准。</w:t>
      </w:r>
    </w:p>
    <w:p w14:paraId="1AC45595"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3.运输包装应根据产品的特点及国家相关标准标注有相应的运输标志。</w:t>
      </w:r>
    </w:p>
    <w:p w14:paraId="7914042D"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4.乙方负责将材料运输并卸载到甲方指定地点。</w:t>
      </w:r>
    </w:p>
    <w:p w14:paraId="0FF12464" w14:textId="77777777" w:rsidR="00607AE0" w:rsidRDefault="00000000">
      <w:pPr>
        <w:numPr>
          <w:ilvl w:val="1"/>
          <w:numId w:val="0"/>
        </w:num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（四）售后服务</w:t>
      </w:r>
    </w:p>
    <w:p w14:paraId="310DD57D"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1.质保期</w:t>
      </w:r>
    </w:p>
    <w:p w14:paraId="7AC3E8FC" w14:textId="77777777" w:rsidR="00607AE0" w:rsidRDefault="00000000">
      <w:pPr>
        <w:autoSpaceDE w:val="0"/>
        <w:autoSpaceDN w:val="0"/>
        <w:adjustRightInd w:val="0"/>
        <w:snapToGrid w:val="0"/>
        <w:spacing w:line="360" w:lineRule="auto"/>
        <w:ind w:firstLineChars="200" w:firstLine="480"/>
        <w:jc w:val="left"/>
        <w:textAlignment w:val="baseline"/>
        <w:rPr>
          <w:rFonts w:asciiTheme="minorEastAsia" w:hAnsiTheme="minorEastAsia" w:cs="宋体" w:hint="eastAsia"/>
          <w:sz w:val="24"/>
          <w:szCs w:val="24"/>
        </w:rPr>
      </w:pPr>
      <w:r>
        <w:rPr>
          <w:rFonts w:asciiTheme="minorEastAsia" w:hAnsiTheme="minorEastAsia" w:cs="宋体" w:hint="eastAsia"/>
          <w:sz w:val="24"/>
          <w:szCs w:val="24"/>
        </w:rPr>
        <w:t>①质量保修范围：由于材料、工艺等问题而导致的产品功能失效、性能下降等缺陷(属于自然力或战争等不可抗拒力、人为因素等造成的除外)。</w:t>
      </w:r>
    </w:p>
    <w:p w14:paraId="48CDFDD0" w14:textId="77777777" w:rsidR="00607AE0" w:rsidRDefault="00000000">
      <w:pPr>
        <w:autoSpaceDE w:val="0"/>
        <w:autoSpaceDN w:val="0"/>
        <w:adjustRightInd w:val="0"/>
        <w:snapToGrid w:val="0"/>
        <w:spacing w:line="360" w:lineRule="auto"/>
        <w:ind w:firstLineChars="200" w:firstLine="480"/>
        <w:jc w:val="left"/>
        <w:textAlignment w:val="baseline"/>
        <w:rPr>
          <w:rFonts w:asciiTheme="minorEastAsia" w:hAnsiTheme="minorEastAsia" w:cs="宋体" w:hint="eastAsia"/>
          <w:sz w:val="24"/>
          <w:szCs w:val="24"/>
        </w:rPr>
      </w:pPr>
      <w:r>
        <w:rPr>
          <w:rFonts w:asciiTheme="minorEastAsia" w:hAnsiTheme="minorEastAsia" w:cs="宋体" w:hint="eastAsia"/>
          <w:sz w:val="24"/>
          <w:szCs w:val="24"/>
        </w:rPr>
        <w:t>②项目实施完成后，符合甲方的要求，通过甲方组织的验收并确认验收合格。本项目的质量维修保养期从确认验收合格之日起计，项目质量免费维修保养期不低于两年（包含所有材料的费用及更换的人工费），若乙方承诺质保期大于两年的，按乙方承诺执行（乙方需在签订合同阶段提供关于本项目质保期的承诺函）；</w:t>
      </w:r>
    </w:p>
    <w:p w14:paraId="218EEE8E" w14:textId="77777777" w:rsidR="00607AE0" w:rsidRDefault="00000000">
      <w:pPr>
        <w:autoSpaceDE w:val="0"/>
        <w:autoSpaceDN w:val="0"/>
        <w:adjustRightInd w:val="0"/>
        <w:snapToGrid w:val="0"/>
        <w:spacing w:line="360" w:lineRule="auto"/>
        <w:ind w:firstLineChars="200" w:firstLine="480"/>
        <w:jc w:val="left"/>
        <w:textAlignment w:val="baseline"/>
        <w:rPr>
          <w:rFonts w:asciiTheme="minorEastAsia" w:hAnsiTheme="minorEastAsia" w:cs="宋体" w:hint="eastAsia"/>
          <w:sz w:val="24"/>
          <w:szCs w:val="24"/>
        </w:rPr>
      </w:pPr>
      <w:r>
        <w:rPr>
          <w:rFonts w:asciiTheme="minorEastAsia" w:hAnsiTheme="minorEastAsia" w:cs="宋体" w:hint="eastAsia"/>
          <w:sz w:val="24"/>
          <w:szCs w:val="24"/>
        </w:rPr>
        <w:t>③乙方设有维修服务机构，在质保期内对甲方通过电话或书面形式提出的质量问题及维修要求应在2小时内响应，必要时派人员上门排除故障，在24小时内免费更换有故障的部件或材料。</w:t>
      </w:r>
    </w:p>
    <w:p w14:paraId="036276D6" w14:textId="77777777" w:rsidR="00607AE0" w:rsidRDefault="00000000">
      <w:pPr>
        <w:autoSpaceDE w:val="0"/>
        <w:autoSpaceDN w:val="0"/>
        <w:adjustRightInd w:val="0"/>
        <w:snapToGrid w:val="0"/>
        <w:spacing w:line="360" w:lineRule="auto"/>
        <w:ind w:firstLineChars="200" w:firstLine="480"/>
        <w:jc w:val="left"/>
        <w:textAlignment w:val="baseline"/>
        <w:rPr>
          <w:rFonts w:asciiTheme="minorEastAsia" w:hAnsiTheme="minorEastAsia" w:cs="宋体" w:hint="eastAsia"/>
          <w:sz w:val="24"/>
          <w:szCs w:val="24"/>
        </w:rPr>
      </w:pPr>
      <w:r>
        <w:rPr>
          <w:rFonts w:asciiTheme="minorEastAsia" w:hAnsiTheme="minorEastAsia" w:cs="宋体" w:hint="eastAsia"/>
          <w:sz w:val="24"/>
          <w:szCs w:val="24"/>
        </w:rPr>
        <w:t>④所有保修服务方式均为乙方上门现场维修，由此产生的一切费用均由乙方承担；若乙方无法上门现场维修，甲方可另行委托第三方进行维修，由此产生的一切费用均由乙方承担。</w:t>
      </w:r>
    </w:p>
    <w:p w14:paraId="73759A86"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2.安装与调试</w:t>
      </w:r>
    </w:p>
    <w:p w14:paraId="01B5FC06"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①乙方负责合同材料的安装，一切费用由乙方负责。</w:t>
      </w:r>
    </w:p>
    <w:p w14:paraId="3D9210AD" w14:textId="77777777" w:rsidR="00607AE0" w:rsidRDefault="00000000">
      <w:pPr>
        <w:adjustRightInd w:val="0"/>
        <w:snapToGrid w:val="0"/>
        <w:spacing w:line="360" w:lineRule="auto"/>
        <w:ind w:firstLineChars="200" w:firstLine="480"/>
        <w:jc w:val="left"/>
        <w:rPr>
          <w:rFonts w:asciiTheme="minorEastAsia" w:hAnsiTheme="minorEastAsia" w:cs="宋体" w:hint="eastAsia"/>
          <w:sz w:val="24"/>
          <w:szCs w:val="24"/>
        </w:rPr>
      </w:pPr>
      <w:r>
        <w:rPr>
          <w:rFonts w:asciiTheme="minorEastAsia" w:hAnsiTheme="minorEastAsia" w:cs="宋体" w:hint="eastAsia"/>
          <w:sz w:val="24"/>
          <w:szCs w:val="24"/>
        </w:rPr>
        <w:t>②乙方安装时须对各安装场地内的其他材料、设施有良好保护措施。</w:t>
      </w:r>
    </w:p>
    <w:p w14:paraId="279693EB"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运作程序</w:t>
      </w:r>
    </w:p>
    <w:p w14:paraId="56B56B65"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（一）施工要求、条件</w:t>
      </w:r>
    </w:p>
    <w:p w14:paraId="08E5F768"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1.工程实施过程中，出现下列情形，经甲方确认，工期予以顺延：</w:t>
      </w:r>
    </w:p>
    <w:p w14:paraId="795111F7"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（1）不可抗力因素；</w:t>
      </w:r>
    </w:p>
    <w:p w14:paraId="362B31FC"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（2）由于重要内容变更，致使工程量增加的（超过总量的10%)；</w:t>
      </w:r>
    </w:p>
    <w:p w14:paraId="322950C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w:t>
      </w:r>
      <w:proofErr w:type="gramStart"/>
      <w:r>
        <w:rPr>
          <w:rFonts w:asciiTheme="minorEastAsia" w:eastAsiaTheme="minorEastAsia" w:hAnsiTheme="minorEastAsia" w:cs="宋体" w:hint="eastAsia"/>
          <w:sz w:val="24"/>
          <w:szCs w:val="24"/>
        </w:rPr>
        <w:t>工程量未增加</w:t>
      </w:r>
      <w:proofErr w:type="gramEnd"/>
      <w:r>
        <w:rPr>
          <w:rFonts w:asciiTheme="minorEastAsia" w:eastAsiaTheme="minorEastAsia" w:hAnsiTheme="minorEastAsia" w:cs="宋体" w:hint="eastAsia"/>
          <w:sz w:val="24"/>
          <w:szCs w:val="24"/>
        </w:rPr>
        <w:t>但修改部分施工工艺和安装要求的。</w:t>
      </w:r>
    </w:p>
    <w:p w14:paraId="760C15DD"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2.甲方不提供临设及材料加工场地，临时设施及材料加工由乙方自行解决，其费用由乙方自理。</w:t>
      </w:r>
    </w:p>
    <w:p w14:paraId="48AFB4FF"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3.进场施工人员必须严格遵守相关规章制度。进入施工现场人员必须佩戴工作证，并自觉接受检查。</w:t>
      </w:r>
    </w:p>
    <w:p w14:paraId="17BF8244"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4.乙方应确保施工现场的清洁卫生，破坏路面、绿化、设施的应负责修复，建筑垃圾必须清理干净并运出监管区。</w:t>
      </w:r>
    </w:p>
    <w:p w14:paraId="28F5263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5.乙方在施工现场需对现有已安装完毕的设备或装饰装修进行整改时，乙方必须对其进行修复，修复费用已包含在合同总价中。</w:t>
      </w:r>
    </w:p>
    <w:p w14:paraId="5FC72E8B"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安全文明施工要求：乙方在施工期间应严格遵守《中华人民共和国安全生产法》《建设工程安全生产管理条例》以及文明施工等规定，建立规章制度和防护措施。乙方必须负责其派出的为本工程项目服务人员的人身意外保险，施工期间所出现的一切安全事故均由乙方全权负责。</w:t>
      </w:r>
    </w:p>
    <w:p w14:paraId="7751774A"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乙方不许转包、分包。不许随意更换项目负责人，如确须更换，则事前须征得甲方同意。如有违反，一经发现则取消成交资格，并由乙方负责赔偿由此造成的一切损失（包含质量安全事故、拖延工期、增加投资等损失）。在施工过程中，项目负责人如不到位，则在工程款中扣除2％作为处罚，造成损失的，按实际发生额赔偿。</w:t>
      </w:r>
    </w:p>
    <w:p w14:paraId="0B5A483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（四）在工程进行中，乙方要注意保护场内的各种管线和设施。若有任何损坏，须立即通知有关部门和甲方，并由乙方承担损失和修复费用。</w:t>
      </w:r>
    </w:p>
    <w:p w14:paraId="219078D0"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验收方法</w:t>
      </w:r>
    </w:p>
    <w:p w14:paraId="3E778473"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（一）甲方检查验收时，当项目性能无法达到使用要求或出现下列情形时，甲方可拒绝验收，由此造成的损失全部由乙方承担：</w:t>
      </w:r>
    </w:p>
    <w:p w14:paraId="0A211529"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1.未经甲方同意，乙方擅自变更材料名称或品牌、产地、规格、型号等材料实质内容的；</w:t>
      </w:r>
    </w:p>
    <w:p w14:paraId="32357028"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2.材料不符合规格、重(含)量、标准等验收要求的；</w:t>
      </w:r>
    </w:p>
    <w:p w14:paraId="471C7317"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3.外包装上无产地、品牌等材料必备标识的；</w:t>
      </w:r>
    </w:p>
    <w:p w14:paraId="29781AEA"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4.乙方提供或夹带、附送假冒伪劣、变质材料的。</w:t>
      </w:r>
    </w:p>
    <w:p w14:paraId="7FAD4983"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（二）乙方关于本项目的所有验收文件、测试报告、资料要提交给甲方以作留档备案。</w:t>
      </w:r>
    </w:p>
    <w:p w14:paraId="35EA23DF"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（三）工程安装完成后，在日常工况下保持48小时以上且未出现性能下降或其他影响使用的情形为通过验收。</w:t>
      </w:r>
    </w:p>
    <w:p w14:paraId="726EF075"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（四）交付验收标准依次顺序对照适用标准为：</w:t>
      </w:r>
    </w:p>
    <w:p w14:paraId="250BBF87"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1.符合中华人民共和国国家安全质量标准、环保标准或行业标准；</w:t>
      </w:r>
    </w:p>
    <w:p w14:paraId="4EBF5DCE"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2.符合采购文件和响应承诺中甲方认可的合理最佳配置、参数及各项要求；</w:t>
      </w:r>
    </w:p>
    <w:p w14:paraId="1E7E97C8"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3.材料来源符合官方标准。</w:t>
      </w:r>
    </w:p>
    <w:p w14:paraId="7991955D"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质量保证</w:t>
      </w:r>
    </w:p>
    <w:p w14:paraId="611C1C73"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（一）乙方所送施工材料品牌及型号必须按照合同清单内提供。</w:t>
      </w:r>
    </w:p>
    <w:p w14:paraId="0E7C57CC"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（二）乙方不得供应或夹带、附送假冒伪劣、变质材料，有标注生产日期的材料，生产日期应在供货日前3个月内。</w:t>
      </w:r>
    </w:p>
    <w:p w14:paraId="5340F5CA"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乙方所送材料必须符合国家质量标准。双方对质量有争议，如需将材料送至具有资质的质量检测机构检测的，若检测结果合格，检测费用由甲方支付。若检测结果不合格，则检测费用由乙方支付。甲方将该批次材料退货，乙方重新配送合格材料外，乙方还需缴纳该批次材料金额的30%作为违约金予甲方。</w:t>
      </w:r>
    </w:p>
    <w:p w14:paraId="7E222790"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（四）乙方在合同履行中，有任何违约事项的，甲方应记录在案，以作下次乙方参与竞价时的信誉考察及评审因素。</w:t>
      </w:r>
    </w:p>
    <w:p w14:paraId="7F54AFB4"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违约责任</w:t>
      </w:r>
    </w:p>
    <w:p w14:paraId="6EE577E9"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（一）发生以下情形，经调查属实的，扣除乙方50%履约保证金：</w:t>
      </w:r>
    </w:p>
    <w:p w14:paraId="743618A8"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1.供应材料品种、品牌、规格或质量等级与合同不符；</w:t>
      </w:r>
    </w:p>
    <w:p w14:paraId="5A5CDE57"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2.供应材料出现质量问题，乙方不积极配合查找原因，不及时反馈处理结果；</w:t>
      </w:r>
    </w:p>
    <w:p w14:paraId="37CA8C71"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3.提供虚假检验报告等相关票证；</w:t>
      </w:r>
    </w:p>
    <w:p w14:paraId="707AA6E9"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如在合同执行期间因乙方逾期未足额缴纳履约保证金或违约导致履约保证金部分扣除，乙方需在五个工作日内将扣除的履约保证金补齐；如未按期补齐，甲方有权单方面解除合同并没收全部履约保证金，并保留追究权利。</w:t>
      </w:r>
    </w:p>
    <w:p w14:paraId="2C622D02"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上述的施工总工期，如因乙方的原因导致工程不能按时完成，从延期的第1天起，每天罚款合同总价的千分之十。延期时间超过10天的，甲方有权单方终止合同、没收全部履约保证金并责令其立即退场，由此而造成的经济损失</w:t>
      </w:r>
      <w:r>
        <w:rPr>
          <w:rFonts w:asciiTheme="minorEastAsia" w:eastAsiaTheme="minorEastAsia" w:hAnsiTheme="minorEastAsia" w:cs="宋体" w:hint="eastAsia"/>
          <w:sz w:val="24"/>
          <w:szCs w:val="24"/>
        </w:rPr>
        <w:lastRenderedPageBreak/>
        <w:t>由乙方负责赔偿。工期为硬性工期（雨天、及可能出现的局部设计变更等均已包括在内）的，乙方必须采取一切措施保证按时完工。</w:t>
      </w:r>
    </w:p>
    <w:p w14:paraId="4D65830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（四）合同约定的工程项目，乙方不得转包。否则，甲方有权单方面终止合同和没收全部履约保证金，并令其立即退场，由此而造成的经济损失由乙方负责赔偿。</w:t>
      </w:r>
    </w:p>
    <w:p w14:paraId="4A5FE966"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（五）工程验收前累计扣除履约保证金达200%（合同金额10%），甲方有权立即单方解除本合同，并要求乙方按合同总价款的10%计付违约金。</w:t>
      </w:r>
    </w:p>
    <w:p w14:paraId="5C89C9B1"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履约保证金、质量保证金及货款</w:t>
      </w:r>
    </w:p>
    <w:p w14:paraId="2D0B6AC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（一）项目款项支付方式：</w:t>
      </w:r>
    </w:p>
    <w:p w14:paraId="2A0B7E0D"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1.合同签订生效、乙方缴纳履约保证金后，甲方在收到对应的增值税专用发票后30个工作日内，以银行转账方式支付第一期工程款，即合同价的30%。</w:t>
      </w:r>
    </w:p>
    <w:p w14:paraId="15EF8FF1"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项目竣工、通过甲方的验收合格后，乙方把本项目工程的一切资料整理成册(一式三份)作竣工资料交给甲方存档后(资料包括如有：深化后最终的设计、实施图纸)并详细说明等，完成办理项目结算手续及乙方汇入结算价格3%质量保证金后30个工作日内，甲方支付第二期工程款给乙方，支付第二期款项后总支付进度为结算价的100%。</w:t>
      </w:r>
    </w:p>
    <w:p w14:paraId="2271D483"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（二）结算审核程序：</w:t>
      </w:r>
    </w:p>
    <w:p w14:paraId="03F275C4"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乙方向甲方提交汇总结算文件（汇总结算文件含总工程造价，汇总结算文件电子版和广联达版本），并由甲方委托的第三方结算审核公司出具的工程结算价为</w:t>
      </w:r>
      <w:proofErr w:type="gramStart"/>
      <w:r>
        <w:rPr>
          <w:rFonts w:asciiTheme="minorEastAsia" w:eastAsiaTheme="minorEastAsia" w:hAnsiTheme="minorEastAsia" w:cs="宋体" w:hint="eastAsia"/>
          <w:sz w:val="24"/>
          <w:szCs w:val="24"/>
        </w:rPr>
        <w:t>最终工程</w:t>
      </w:r>
      <w:proofErr w:type="gramEnd"/>
      <w:r>
        <w:rPr>
          <w:rFonts w:asciiTheme="minorEastAsia" w:eastAsiaTheme="minorEastAsia" w:hAnsiTheme="minorEastAsia" w:cs="宋体" w:hint="eastAsia"/>
          <w:sz w:val="24"/>
          <w:szCs w:val="24"/>
        </w:rPr>
        <w:t>结算造价。</w:t>
      </w:r>
    </w:p>
    <w:p w14:paraId="079CA152"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（三）履约保证金：</w:t>
      </w:r>
    </w:p>
    <w:p w14:paraId="1EE57459"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1.收取比例：合同价款的5%；</w:t>
      </w:r>
    </w:p>
    <w:p w14:paraId="63AD3E97"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2.退还履约保证金退还说明：合同签订后5个</w:t>
      </w:r>
      <w:proofErr w:type="gramStart"/>
      <w:r>
        <w:rPr>
          <w:rFonts w:asciiTheme="minorEastAsia" w:eastAsiaTheme="minorEastAsia" w:hAnsiTheme="minorEastAsia" w:cs="宋体" w:hint="eastAsia"/>
          <w:sz w:val="24"/>
          <w:szCs w:val="24"/>
        </w:rPr>
        <w:t>日历天</w:t>
      </w:r>
      <w:proofErr w:type="gramEnd"/>
      <w:r>
        <w:rPr>
          <w:rFonts w:asciiTheme="minorEastAsia" w:eastAsiaTheme="minorEastAsia" w:hAnsiTheme="minorEastAsia" w:cs="宋体" w:hint="eastAsia"/>
          <w:sz w:val="24"/>
          <w:szCs w:val="24"/>
        </w:rPr>
        <w:t>内，乙方须向甲方以银行转账方式支付合同价款5％的履约保证金。在工程竣工验收合格并结算后30个工作日内，甲方以银行转账方式无息退还履约保证金。</w:t>
      </w:r>
    </w:p>
    <w:p w14:paraId="084712E8"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（四）质量保证金：</w:t>
      </w:r>
    </w:p>
    <w:p w14:paraId="29ACFEE9"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1.收取比例：结算金额的3%；</w:t>
      </w:r>
    </w:p>
    <w:p w14:paraId="6CBC060F" w14:textId="77777777" w:rsidR="00607AE0" w:rsidRDefault="00000000">
      <w:pPr>
        <w:pStyle w:val="a8"/>
        <w:tabs>
          <w:tab w:val="left" w:pos="540"/>
        </w:tabs>
        <w:adjustRightInd w:val="0"/>
        <w:snapToGrid w:val="0"/>
        <w:spacing w:line="360" w:lineRule="auto"/>
        <w:ind w:firstLineChars="200" w:firstLine="480"/>
        <w:jc w:val="left"/>
        <w:rPr>
          <w:rFonts w:asciiTheme="minorEastAsia" w:eastAsiaTheme="minorEastAsia" w:hAnsiTheme="minorEastAsia" w:cs="宋体" w:hint="eastAsia"/>
          <w:color w:val="000000" w:themeColor="text1"/>
          <w:sz w:val="24"/>
          <w:szCs w:val="24"/>
        </w:rPr>
      </w:pPr>
      <w:r>
        <w:rPr>
          <w:rFonts w:asciiTheme="minorEastAsia" w:eastAsiaTheme="minorEastAsia" w:hAnsiTheme="minorEastAsia" w:cs="宋体" w:hint="eastAsia"/>
          <w:sz w:val="24"/>
          <w:szCs w:val="24"/>
        </w:rPr>
        <w:t>2．退还质量保证金退还说明：</w:t>
      </w:r>
      <w:proofErr w:type="gramStart"/>
      <w:r>
        <w:rPr>
          <w:rFonts w:asciiTheme="minorEastAsia" w:eastAsiaTheme="minorEastAsia" w:hAnsiTheme="minorEastAsia" w:cs="宋体" w:hint="eastAsia"/>
          <w:sz w:val="24"/>
          <w:szCs w:val="24"/>
        </w:rPr>
        <w:t>待质保期</w:t>
      </w:r>
      <w:proofErr w:type="gramEnd"/>
      <w:r>
        <w:rPr>
          <w:rFonts w:asciiTheme="minorEastAsia" w:eastAsiaTheme="minorEastAsia" w:hAnsiTheme="minorEastAsia" w:cs="宋体" w:hint="eastAsia"/>
          <w:sz w:val="24"/>
          <w:szCs w:val="24"/>
        </w:rPr>
        <w:t>期满后30个工作日内，甲方以银行转账方式无息退还质量保证金。</w:t>
      </w:r>
    </w:p>
    <w:p w14:paraId="0441705A"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其他</w:t>
      </w:r>
    </w:p>
    <w:p w14:paraId="5D7FECC2"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（一）未经甲方书面同意，乙方不得擅自转让部分或全部合同项下义务。</w:t>
      </w:r>
    </w:p>
    <w:p w14:paraId="0FAAB3EF"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（二）乙方应按有关规定采取严格的安全防护措施，否则由于自身安全措施不力而造成所有安全事故的责任和因此而发生的费用均由乙方承担。</w:t>
      </w:r>
    </w:p>
    <w:p w14:paraId="22C5890E"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（三）争议解决方式：因履行本合同产生的纠纷，双方应友好协商解决，协商不成的，任何一方均有权向甲方所在地人民法院诉讼解决。</w:t>
      </w:r>
    </w:p>
    <w:p w14:paraId="0F279E87"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（四）由于不可预见、不可避免、不可克服等不可抗力的原因，一方不能履行合同义务的，应当在不可抗力发生之日起15天内以书面形式通知对方，证明不可抗力事件的存在。</w:t>
      </w:r>
    </w:p>
    <w:p w14:paraId="7DF95C9C" w14:textId="77777777" w:rsidR="00607AE0" w:rsidRDefault="00000000">
      <w:pPr>
        <w:pStyle w:val="2"/>
        <w:numPr>
          <w:ilvl w:val="0"/>
          <w:numId w:val="0"/>
        </w:numPr>
        <w:adjustRightInd w:val="0"/>
        <w:snapToGrid w:val="0"/>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（五）不可抗力事件发生后，甲方和乙方应当积极寻求以合理的方式履行本合同。如不可抗力无法消除，致使合同目的无法实现的，双方均有权解除合同，且均不互相索赔。</w:t>
      </w:r>
    </w:p>
    <w:p w14:paraId="6262B605" w14:textId="77777777" w:rsidR="00607AE0" w:rsidRDefault="00000000">
      <w:pPr>
        <w:pStyle w:val="a8"/>
        <w:numPr>
          <w:ilvl w:val="0"/>
          <w:numId w:val="3"/>
        </w:numPr>
        <w:tabs>
          <w:tab w:val="left" w:pos="540"/>
        </w:tabs>
        <w:adjustRightInd w:val="0"/>
        <w:snapToGrid w:val="0"/>
        <w:spacing w:line="360" w:lineRule="auto"/>
        <w:jc w:val="left"/>
        <w:rPr>
          <w:rFonts w:hAnsi="宋体" w:cs="宋体" w:hint="eastAsia"/>
          <w:b/>
          <w:bCs/>
          <w:color w:val="000000" w:themeColor="text1"/>
          <w:sz w:val="24"/>
          <w:szCs w:val="24"/>
        </w:rPr>
      </w:pPr>
      <w:r>
        <w:rPr>
          <w:rFonts w:hAnsi="宋体" w:cs="宋体" w:hint="eastAsia"/>
          <w:b/>
          <w:bCs/>
          <w:color w:val="000000" w:themeColor="text1"/>
          <w:sz w:val="24"/>
          <w:szCs w:val="24"/>
        </w:rPr>
        <w:t>合同其他事项</w:t>
      </w:r>
    </w:p>
    <w:p w14:paraId="7FEDC6A3" w14:textId="77777777" w:rsidR="00607AE0"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t>（一）本合同经双方授权代表签字并加盖合同专用章或公章之日起生效，合同生效日期以最后一个签字日为准。</w:t>
      </w:r>
    </w:p>
    <w:p w14:paraId="5FEA5FD6" w14:textId="77777777" w:rsidR="00607AE0"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t>（二）本合同一式肆份，甲方执贰份、乙方执贰份，具有同等法律效力。</w:t>
      </w:r>
    </w:p>
    <w:p w14:paraId="3D6B8210" w14:textId="77777777" w:rsidR="00607AE0"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t>（三）本合同未尽事宜，由双方协商处理。</w:t>
      </w:r>
    </w:p>
    <w:p w14:paraId="60697A2D" w14:textId="77777777" w:rsidR="00607AE0" w:rsidRDefault="00607AE0">
      <w:pPr>
        <w:autoSpaceDE w:val="0"/>
        <w:adjustRightInd w:val="0"/>
        <w:snapToGrid w:val="0"/>
        <w:spacing w:line="360" w:lineRule="auto"/>
        <w:ind w:firstLineChars="200" w:firstLine="420"/>
        <w:jc w:val="left"/>
        <w:rPr>
          <w:rFonts w:ascii="仿宋_GB2312" w:eastAsia="仿宋_GB2312" w:hAnsi="仿宋_GB2312" w:cs="仿宋_GB2312" w:hint="eastAsia"/>
          <w:szCs w:val="21"/>
        </w:rPr>
      </w:pPr>
    </w:p>
    <w:p w14:paraId="4980EC6F" w14:textId="77777777" w:rsidR="00607AE0" w:rsidRDefault="00607AE0">
      <w:pPr>
        <w:pStyle w:val="a8"/>
        <w:autoSpaceDE w:val="0"/>
        <w:adjustRightInd w:val="0"/>
        <w:snapToGrid w:val="0"/>
        <w:spacing w:line="360" w:lineRule="auto"/>
        <w:ind w:firstLineChars="200" w:firstLine="400"/>
        <w:jc w:val="left"/>
        <w:rPr>
          <w:rFonts w:hAnsi="宋体" w:cs="宋体" w:hint="eastAsia"/>
          <w:color w:val="000000" w:themeColor="text1"/>
        </w:rPr>
      </w:pPr>
    </w:p>
    <w:p w14:paraId="71FB413A" w14:textId="77777777" w:rsidR="00607AE0" w:rsidRDefault="00607AE0">
      <w:pPr>
        <w:pStyle w:val="a8"/>
        <w:autoSpaceDE w:val="0"/>
        <w:adjustRightInd w:val="0"/>
        <w:snapToGrid w:val="0"/>
        <w:spacing w:line="360" w:lineRule="auto"/>
        <w:ind w:firstLineChars="200" w:firstLine="400"/>
        <w:jc w:val="left"/>
        <w:rPr>
          <w:rFonts w:hAnsi="宋体" w:cs="宋体" w:hint="eastAsia"/>
          <w:color w:val="000000" w:themeColor="text1"/>
        </w:rPr>
      </w:pPr>
    </w:p>
    <w:p w14:paraId="4F024548"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甲方（盖章）：广东省肇庆监狱                   乙方（盖章）：</w:t>
      </w:r>
    </w:p>
    <w:p w14:paraId="2528B4B3"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地址：</w:t>
      </w:r>
      <w:r>
        <w:rPr>
          <w:rFonts w:ascii="宋体" w:eastAsia="宋体" w:hAnsi="宋体" w:cs="仿宋" w:hint="eastAsia"/>
          <w:spacing w:val="-3"/>
          <w:sz w:val="24"/>
        </w:rPr>
        <w:tab/>
      </w:r>
      <w:r>
        <w:rPr>
          <w:rFonts w:ascii="宋体" w:eastAsia="宋体" w:hAnsi="宋体" w:cs="仿宋" w:hint="eastAsia"/>
          <w:spacing w:val="-3"/>
          <w:sz w:val="24"/>
        </w:rPr>
        <w:tab/>
        <w:t xml:space="preserve">                                    地址：</w:t>
      </w:r>
    </w:p>
    <w:p w14:paraId="25A8ECD4"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法定代表人/负责人：</w:t>
      </w:r>
      <w:r>
        <w:rPr>
          <w:rFonts w:ascii="宋体" w:eastAsia="宋体" w:hAnsi="宋体" w:cs="仿宋" w:hint="eastAsia"/>
          <w:spacing w:val="-3"/>
          <w:sz w:val="24"/>
        </w:rPr>
        <w:tab/>
      </w:r>
      <w:r>
        <w:rPr>
          <w:rFonts w:ascii="宋体" w:eastAsia="宋体" w:hAnsi="宋体" w:cs="仿宋" w:hint="eastAsia"/>
          <w:spacing w:val="-3"/>
          <w:sz w:val="24"/>
        </w:rPr>
        <w:tab/>
      </w:r>
      <w:r>
        <w:rPr>
          <w:rFonts w:ascii="宋体" w:eastAsia="宋体" w:hAnsi="宋体" w:cs="仿宋" w:hint="eastAsia"/>
          <w:spacing w:val="-3"/>
          <w:sz w:val="24"/>
        </w:rPr>
        <w:tab/>
        <w:t xml:space="preserve">                  法定代表人/负责人：</w:t>
      </w:r>
      <w:r>
        <w:rPr>
          <w:rFonts w:ascii="宋体" w:eastAsia="宋体" w:hAnsi="宋体" w:cs="仿宋" w:hint="eastAsia"/>
          <w:spacing w:val="-3"/>
          <w:sz w:val="24"/>
        </w:rPr>
        <w:tab/>
      </w:r>
    </w:p>
    <w:p w14:paraId="5C924486"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委托代理人：</w:t>
      </w:r>
      <w:r>
        <w:rPr>
          <w:rFonts w:ascii="宋体" w:eastAsia="宋体" w:hAnsi="宋体" w:cs="仿宋" w:hint="eastAsia"/>
          <w:spacing w:val="-3"/>
          <w:sz w:val="24"/>
        </w:rPr>
        <w:tab/>
      </w:r>
      <w:r>
        <w:rPr>
          <w:rFonts w:ascii="宋体" w:eastAsia="宋体" w:hAnsi="宋体" w:cs="仿宋" w:hint="eastAsia"/>
          <w:spacing w:val="-3"/>
          <w:sz w:val="24"/>
        </w:rPr>
        <w:tab/>
      </w:r>
      <w:r>
        <w:rPr>
          <w:rFonts w:ascii="宋体" w:eastAsia="宋体" w:hAnsi="宋体" w:cs="仿宋" w:hint="eastAsia"/>
          <w:spacing w:val="-3"/>
          <w:sz w:val="24"/>
        </w:rPr>
        <w:tab/>
        <w:t xml:space="preserve">                         委托代理人：</w:t>
      </w:r>
      <w:r>
        <w:rPr>
          <w:rFonts w:ascii="宋体" w:eastAsia="宋体" w:hAnsi="宋体" w:cs="仿宋" w:hint="eastAsia"/>
          <w:spacing w:val="-3"/>
          <w:sz w:val="24"/>
        </w:rPr>
        <w:tab/>
      </w:r>
    </w:p>
    <w:p w14:paraId="725BBBC4"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电话：</w:t>
      </w:r>
      <w:r>
        <w:rPr>
          <w:rFonts w:ascii="宋体" w:eastAsia="宋体" w:hAnsi="宋体" w:cs="仿宋" w:hint="eastAsia"/>
          <w:spacing w:val="-3"/>
          <w:sz w:val="24"/>
        </w:rPr>
        <w:tab/>
      </w:r>
      <w:r>
        <w:rPr>
          <w:rFonts w:ascii="宋体" w:eastAsia="宋体" w:hAnsi="宋体" w:cs="仿宋" w:hint="eastAsia"/>
          <w:spacing w:val="-3"/>
          <w:sz w:val="24"/>
        </w:rPr>
        <w:tab/>
        <w:t xml:space="preserve">                                    电话：</w:t>
      </w:r>
    </w:p>
    <w:p w14:paraId="443F4E68"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传真：</w:t>
      </w:r>
      <w:r>
        <w:rPr>
          <w:rFonts w:ascii="宋体" w:eastAsia="宋体" w:hAnsi="宋体" w:cs="仿宋" w:hint="eastAsia"/>
          <w:spacing w:val="-3"/>
          <w:sz w:val="24"/>
        </w:rPr>
        <w:tab/>
      </w:r>
      <w:r>
        <w:rPr>
          <w:rFonts w:ascii="宋体" w:eastAsia="宋体" w:hAnsi="宋体" w:cs="仿宋" w:hint="eastAsia"/>
          <w:spacing w:val="-3"/>
          <w:sz w:val="24"/>
        </w:rPr>
        <w:tab/>
        <w:t xml:space="preserve">                                    传真：</w:t>
      </w:r>
    </w:p>
    <w:p w14:paraId="4BAFBD87"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开户银行：</w:t>
      </w:r>
      <w:r>
        <w:rPr>
          <w:rFonts w:ascii="宋体" w:eastAsia="宋体" w:hAnsi="宋体" w:cs="仿宋" w:hint="eastAsia"/>
          <w:spacing w:val="-3"/>
          <w:sz w:val="24"/>
        </w:rPr>
        <w:tab/>
      </w:r>
      <w:r>
        <w:rPr>
          <w:rFonts w:ascii="宋体" w:eastAsia="宋体" w:hAnsi="宋体" w:cs="仿宋" w:hint="eastAsia"/>
          <w:spacing w:val="-3"/>
          <w:sz w:val="24"/>
        </w:rPr>
        <w:tab/>
        <w:t xml:space="preserve">                                开户银行：</w:t>
      </w:r>
    </w:p>
    <w:p w14:paraId="3006C467"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账号：</w:t>
      </w:r>
      <w:r>
        <w:rPr>
          <w:rFonts w:ascii="宋体" w:eastAsia="宋体" w:hAnsi="宋体" w:cs="仿宋" w:hint="eastAsia"/>
          <w:spacing w:val="-3"/>
          <w:sz w:val="24"/>
        </w:rPr>
        <w:tab/>
      </w:r>
      <w:r>
        <w:rPr>
          <w:rFonts w:ascii="宋体" w:eastAsia="宋体" w:hAnsi="宋体" w:cs="仿宋" w:hint="eastAsia"/>
          <w:spacing w:val="-3"/>
          <w:sz w:val="24"/>
        </w:rPr>
        <w:tab/>
        <w:t xml:space="preserve">                                    账号：</w:t>
      </w:r>
    </w:p>
    <w:p w14:paraId="0EA96D86" w14:textId="77777777" w:rsidR="00607AE0"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签约时间：</w:t>
      </w:r>
      <w:r>
        <w:rPr>
          <w:rFonts w:ascii="宋体" w:eastAsia="宋体" w:hAnsi="宋体" w:cs="仿宋" w:hint="eastAsia"/>
          <w:spacing w:val="-3"/>
          <w:sz w:val="24"/>
        </w:rPr>
        <w:tab/>
        <w:t xml:space="preserve"> 年 </w:t>
      </w:r>
      <w:r>
        <w:rPr>
          <w:rFonts w:ascii="宋体" w:eastAsia="宋体" w:hAnsi="宋体" w:cs="仿宋" w:hint="eastAsia"/>
          <w:spacing w:val="-3"/>
          <w:sz w:val="24"/>
        </w:rPr>
        <w:tab/>
        <w:t>月  日</w:t>
      </w:r>
      <w:r>
        <w:rPr>
          <w:rFonts w:ascii="宋体" w:eastAsia="宋体" w:hAnsi="宋体" w:cs="仿宋" w:hint="eastAsia"/>
          <w:spacing w:val="-3"/>
          <w:sz w:val="24"/>
        </w:rPr>
        <w:tab/>
        <w:t xml:space="preserve">                     签约时间：  年   月</w:t>
      </w:r>
      <w:r>
        <w:rPr>
          <w:rFonts w:ascii="宋体" w:eastAsia="宋体" w:hAnsi="宋体" w:cs="仿宋" w:hint="eastAsia"/>
          <w:spacing w:val="-3"/>
          <w:sz w:val="24"/>
        </w:rPr>
        <w:tab/>
        <w:t xml:space="preserve">  日</w:t>
      </w:r>
    </w:p>
    <w:p w14:paraId="14DB79CF" w14:textId="77777777" w:rsidR="00607AE0" w:rsidRDefault="00607AE0">
      <w:pPr>
        <w:pStyle w:val="a8"/>
        <w:autoSpaceDE w:val="0"/>
        <w:adjustRightInd w:val="0"/>
        <w:snapToGrid w:val="0"/>
        <w:spacing w:line="360" w:lineRule="auto"/>
        <w:jc w:val="left"/>
        <w:rPr>
          <w:rFonts w:hAnsi="宋体" w:cs="宋体" w:hint="eastAsia"/>
          <w:color w:val="000000" w:themeColor="text1"/>
        </w:rPr>
      </w:pPr>
    </w:p>
    <w:sectPr w:rsidR="00607AE0">
      <w:headerReference w:type="default" r:id="rId8"/>
      <w:headerReference w:type="first" r:id="rId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4DEF" w14:textId="77777777" w:rsidR="00BC42C1" w:rsidRDefault="00BC42C1">
      <w:r>
        <w:separator/>
      </w:r>
    </w:p>
  </w:endnote>
  <w:endnote w:type="continuationSeparator" w:id="0">
    <w:p w14:paraId="10BBDDA6" w14:textId="77777777" w:rsidR="00BC42C1" w:rsidRDefault="00BC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46B0" w14:textId="77777777" w:rsidR="00BC42C1" w:rsidRDefault="00BC42C1">
      <w:r>
        <w:separator/>
      </w:r>
    </w:p>
  </w:footnote>
  <w:footnote w:type="continuationSeparator" w:id="0">
    <w:p w14:paraId="47442CC4" w14:textId="77777777" w:rsidR="00BC42C1" w:rsidRDefault="00BC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6142" w14:textId="77777777" w:rsidR="00607AE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19C0" w14:textId="77777777" w:rsidR="00607AE0"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2F200B65"/>
    <w:multiLevelType w:val="multilevel"/>
    <w:tmpl w:val="2F200B65"/>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CC55870"/>
    <w:multiLevelType w:val="multilevel"/>
    <w:tmpl w:val="4CC55870"/>
    <w:lvl w:ilvl="0">
      <w:start w:val="1"/>
      <w:numFmt w:val="decimal"/>
      <w:pStyle w:val="2"/>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num w:numId="1" w16cid:durableId="546183282">
    <w:abstractNumId w:val="0"/>
  </w:num>
  <w:num w:numId="2" w16cid:durableId="1417169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18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jYTc5N2YxOGRjNDM0YzkxMzAzMTJkYTdjODdhOWYifQ=="/>
  </w:docVars>
  <w:rsids>
    <w:rsidRoot w:val="00603670"/>
    <w:rsid w:val="000020F5"/>
    <w:rsid w:val="0000298A"/>
    <w:rsid w:val="00011A82"/>
    <w:rsid w:val="000126C5"/>
    <w:rsid w:val="000163AB"/>
    <w:rsid w:val="00025CED"/>
    <w:rsid w:val="00026DD2"/>
    <w:rsid w:val="00027036"/>
    <w:rsid w:val="0003274E"/>
    <w:rsid w:val="00042B6B"/>
    <w:rsid w:val="000431C9"/>
    <w:rsid w:val="00045E6F"/>
    <w:rsid w:val="00047DC5"/>
    <w:rsid w:val="00050534"/>
    <w:rsid w:val="00053978"/>
    <w:rsid w:val="000565F1"/>
    <w:rsid w:val="0006472A"/>
    <w:rsid w:val="00064E21"/>
    <w:rsid w:val="00071D0D"/>
    <w:rsid w:val="00072D57"/>
    <w:rsid w:val="000749D9"/>
    <w:rsid w:val="00075391"/>
    <w:rsid w:val="00082CDE"/>
    <w:rsid w:val="00083BE6"/>
    <w:rsid w:val="00086BDC"/>
    <w:rsid w:val="00093123"/>
    <w:rsid w:val="000B040C"/>
    <w:rsid w:val="000B3F59"/>
    <w:rsid w:val="000B74EA"/>
    <w:rsid w:val="000C4F0F"/>
    <w:rsid w:val="000C5ABD"/>
    <w:rsid w:val="000E1199"/>
    <w:rsid w:val="000E20B4"/>
    <w:rsid w:val="000E2971"/>
    <w:rsid w:val="000E4C42"/>
    <w:rsid w:val="000F1249"/>
    <w:rsid w:val="000F423D"/>
    <w:rsid w:val="000F5CD4"/>
    <w:rsid w:val="0010235B"/>
    <w:rsid w:val="00107E2D"/>
    <w:rsid w:val="00110D31"/>
    <w:rsid w:val="00111B57"/>
    <w:rsid w:val="00112326"/>
    <w:rsid w:val="0011556A"/>
    <w:rsid w:val="00116EDF"/>
    <w:rsid w:val="001200BB"/>
    <w:rsid w:val="00123BEA"/>
    <w:rsid w:val="001304CF"/>
    <w:rsid w:val="00135715"/>
    <w:rsid w:val="00140AD2"/>
    <w:rsid w:val="00142ED9"/>
    <w:rsid w:val="00143C39"/>
    <w:rsid w:val="00143DFC"/>
    <w:rsid w:val="00145AE8"/>
    <w:rsid w:val="00152A8B"/>
    <w:rsid w:val="00153377"/>
    <w:rsid w:val="0016171E"/>
    <w:rsid w:val="00173222"/>
    <w:rsid w:val="00175715"/>
    <w:rsid w:val="00175ECB"/>
    <w:rsid w:val="001775AE"/>
    <w:rsid w:val="001821A2"/>
    <w:rsid w:val="00182BE9"/>
    <w:rsid w:val="001863E0"/>
    <w:rsid w:val="00192F15"/>
    <w:rsid w:val="001938B3"/>
    <w:rsid w:val="001976BF"/>
    <w:rsid w:val="001A0DDF"/>
    <w:rsid w:val="001A769F"/>
    <w:rsid w:val="001B0A70"/>
    <w:rsid w:val="001B5ABA"/>
    <w:rsid w:val="001B5E3A"/>
    <w:rsid w:val="001B7077"/>
    <w:rsid w:val="001B74DB"/>
    <w:rsid w:val="001C071E"/>
    <w:rsid w:val="001C3D61"/>
    <w:rsid w:val="001C43C7"/>
    <w:rsid w:val="001C6BE3"/>
    <w:rsid w:val="001C706F"/>
    <w:rsid w:val="001D0B02"/>
    <w:rsid w:val="001D1026"/>
    <w:rsid w:val="001D33E6"/>
    <w:rsid w:val="001D3E3B"/>
    <w:rsid w:val="001E07FC"/>
    <w:rsid w:val="001E48AC"/>
    <w:rsid w:val="001E5C33"/>
    <w:rsid w:val="001F3F8C"/>
    <w:rsid w:val="002056C6"/>
    <w:rsid w:val="00215EF1"/>
    <w:rsid w:val="00215FE5"/>
    <w:rsid w:val="00220312"/>
    <w:rsid w:val="00220DE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1BFF"/>
    <w:rsid w:val="002F352E"/>
    <w:rsid w:val="002F4A33"/>
    <w:rsid w:val="002F5E67"/>
    <w:rsid w:val="0031356B"/>
    <w:rsid w:val="00327C22"/>
    <w:rsid w:val="003326FA"/>
    <w:rsid w:val="00332AF3"/>
    <w:rsid w:val="00336F07"/>
    <w:rsid w:val="00342E19"/>
    <w:rsid w:val="00352692"/>
    <w:rsid w:val="00353BC1"/>
    <w:rsid w:val="00355F34"/>
    <w:rsid w:val="00360E20"/>
    <w:rsid w:val="00361074"/>
    <w:rsid w:val="00364356"/>
    <w:rsid w:val="00366797"/>
    <w:rsid w:val="00366887"/>
    <w:rsid w:val="00380694"/>
    <w:rsid w:val="003818F2"/>
    <w:rsid w:val="00383905"/>
    <w:rsid w:val="00384761"/>
    <w:rsid w:val="00392847"/>
    <w:rsid w:val="00393D24"/>
    <w:rsid w:val="00394537"/>
    <w:rsid w:val="00395A64"/>
    <w:rsid w:val="00395C9C"/>
    <w:rsid w:val="00396F62"/>
    <w:rsid w:val="003A3DB1"/>
    <w:rsid w:val="003A65B5"/>
    <w:rsid w:val="003B0A20"/>
    <w:rsid w:val="003B400D"/>
    <w:rsid w:val="003B48C0"/>
    <w:rsid w:val="003B5D20"/>
    <w:rsid w:val="003B76C7"/>
    <w:rsid w:val="003C1806"/>
    <w:rsid w:val="003C419C"/>
    <w:rsid w:val="003D2DE8"/>
    <w:rsid w:val="003D3C42"/>
    <w:rsid w:val="003D5A63"/>
    <w:rsid w:val="003E273C"/>
    <w:rsid w:val="003F38D5"/>
    <w:rsid w:val="003F475D"/>
    <w:rsid w:val="003F5030"/>
    <w:rsid w:val="003F71EC"/>
    <w:rsid w:val="00403AB2"/>
    <w:rsid w:val="00412749"/>
    <w:rsid w:val="004156DA"/>
    <w:rsid w:val="0042063E"/>
    <w:rsid w:val="00420AFB"/>
    <w:rsid w:val="004211A3"/>
    <w:rsid w:val="00423B87"/>
    <w:rsid w:val="00425F66"/>
    <w:rsid w:val="00431BF0"/>
    <w:rsid w:val="00431DBE"/>
    <w:rsid w:val="004339F3"/>
    <w:rsid w:val="00433B9F"/>
    <w:rsid w:val="00435DAA"/>
    <w:rsid w:val="00456ED5"/>
    <w:rsid w:val="0045760A"/>
    <w:rsid w:val="004610D7"/>
    <w:rsid w:val="004613B9"/>
    <w:rsid w:val="004676AA"/>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2165"/>
    <w:rsid w:val="004D2A3E"/>
    <w:rsid w:val="004D491B"/>
    <w:rsid w:val="004D6D34"/>
    <w:rsid w:val="004E2580"/>
    <w:rsid w:val="004E3790"/>
    <w:rsid w:val="004E7343"/>
    <w:rsid w:val="004F1479"/>
    <w:rsid w:val="00501334"/>
    <w:rsid w:val="00501F2E"/>
    <w:rsid w:val="00511025"/>
    <w:rsid w:val="00516292"/>
    <w:rsid w:val="00521996"/>
    <w:rsid w:val="00522280"/>
    <w:rsid w:val="005316BD"/>
    <w:rsid w:val="00533B92"/>
    <w:rsid w:val="00534F6E"/>
    <w:rsid w:val="00535EEC"/>
    <w:rsid w:val="005370D2"/>
    <w:rsid w:val="005456E9"/>
    <w:rsid w:val="005462F7"/>
    <w:rsid w:val="005521A5"/>
    <w:rsid w:val="005537EE"/>
    <w:rsid w:val="005556CE"/>
    <w:rsid w:val="00555B34"/>
    <w:rsid w:val="00557489"/>
    <w:rsid w:val="00565168"/>
    <w:rsid w:val="005656FE"/>
    <w:rsid w:val="005678E8"/>
    <w:rsid w:val="00570040"/>
    <w:rsid w:val="00577172"/>
    <w:rsid w:val="00577E7D"/>
    <w:rsid w:val="00585A83"/>
    <w:rsid w:val="00591BC0"/>
    <w:rsid w:val="00593C7A"/>
    <w:rsid w:val="005963C5"/>
    <w:rsid w:val="00596757"/>
    <w:rsid w:val="00596F04"/>
    <w:rsid w:val="005B1D70"/>
    <w:rsid w:val="005B3711"/>
    <w:rsid w:val="005C064C"/>
    <w:rsid w:val="005C3A40"/>
    <w:rsid w:val="005C7FD3"/>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07AE0"/>
    <w:rsid w:val="00616532"/>
    <w:rsid w:val="00616AE3"/>
    <w:rsid w:val="00620F2C"/>
    <w:rsid w:val="00625BC4"/>
    <w:rsid w:val="00627F1C"/>
    <w:rsid w:val="00631641"/>
    <w:rsid w:val="00632D27"/>
    <w:rsid w:val="006333E3"/>
    <w:rsid w:val="00645320"/>
    <w:rsid w:val="0064715C"/>
    <w:rsid w:val="00653613"/>
    <w:rsid w:val="00655177"/>
    <w:rsid w:val="0066018A"/>
    <w:rsid w:val="00662408"/>
    <w:rsid w:val="00673379"/>
    <w:rsid w:val="0067437D"/>
    <w:rsid w:val="006779F7"/>
    <w:rsid w:val="00680244"/>
    <w:rsid w:val="006817FD"/>
    <w:rsid w:val="00682FFA"/>
    <w:rsid w:val="006923B3"/>
    <w:rsid w:val="00693772"/>
    <w:rsid w:val="006948F2"/>
    <w:rsid w:val="006A61C8"/>
    <w:rsid w:val="006A73F5"/>
    <w:rsid w:val="006B07B5"/>
    <w:rsid w:val="006B1BFB"/>
    <w:rsid w:val="006B20C7"/>
    <w:rsid w:val="006B764E"/>
    <w:rsid w:val="006C6250"/>
    <w:rsid w:val="006D213E"/>
    <w:rsid w:val="006D5FC6"/>
    <w:rsid w:val="006D7E04"/>
    <w:rsid w:val="006F21DD"/>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0BB9"/>
    <w:rsid w:val="00761C9A"/>
    <w:rsid w:val="00762179"/>
    <w:rsid w:val="00766BD6"/>
    <w:rsid w:val="00772ED2"/>
    <w:rsid w:val="00781170"/>
    <w:rsid w:val="00781957"/>
    <w:rsid w:val="00783B9B"/>
    <w:rsid w:val="00786D28"/>
    <w:rsid w:val="00793437"/>
    <w:rsid w:val="0079465B"/>
    <w:rsid w:val="007B5567"/>
    <w:rsid w:val="007B645B"/>
    <w:rsid w:val="007C5792"/>
    <w:rsid w:val="007E26FA"/>
    <w:rsid w:val="007E3EDE"/>
    <w:rsid w:val="007F26F4"/>
    <w:rsid w:val="007F35AB"/>
    <w:rsid w:val="007F6B25"/>
    <w:rsid w:val="007F6B65"/>
    <w:rsid w:val="007F6FD6"/>
    <w:rsid w:val="0080065E"/>
    <w:rsid w:val="008034FC"/>
    <w:rsid w:val="00803518"/>
    <w:rsid w:val="00803E06"/>
    <w:rsid w:val="00811E08"/>
    <w:rsid w:val="00812470"/>
    <w:rsid w:val="008124C1"/>
    <w:rsid w:val="00813C02"/>
    <w:rsid w:val="0082229E"/>
    <w:rsid w:val="00822940"/>
    <w:rsid w:val="00825FF0"/>
    <w:rsid w:val="00830919"/>
    <w:rsid w:val="00837C42"/>
    <w:rsid w:val="00847407"/>
    <w:rsid w:val="008537C7"/>
    <w:rsid w:val="008556E4"/>
    <w:rsid w:val="00856F2F"/>
    <w:rsid w:val="00875023"/>
    <w:rsid w:val="00881257"/>
    <w:rsid w:val="00882269"/>
    <w:rsid w:val="00895782"/>
    <w:rsid w:val="008A131D"/>
    <w:rsid w:val="008A4AB4"/>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3A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6EB"/>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E5075"/>
    <w:rsid w:val="009E5F7B"/>
    <w:rsid w:val="009F0430"/>
    <w:rsid w:val="009F0ECC"/>
    <w:rsid w:val="009F22AA"/>
    <w:rsid w:val="00A042E3"/>
    <w:rsid w:val="00A0472A"/>
    <w:rsid w:val="00A04EE0"/>
    <w:rsid w:val="00A06251"/>
    <w:rsid w:val="00A13934"/>
    <w:rsid w:val="00A16824"/>
    <w:rsid w:val="00A16C1A"/>
    <w:rsid w:val="00A202CE"/>
    <w:rsid w:val="00A258AD"/>
    <w:rsid w:val="00A30C64"/>
    <w:rsid w:val="00A35A63"/>
    <w:rsid w:val="00A40C23"/>
    <w:rsid w:val="00A444BF"/>
    <w:rsid w:val="00A45A6D"/>
    <w:rsid w:val="00A464C4"/>
    <w:rsid w:val="00A82740"/>
    <w:rsid w:val="00AA2719"/>
    <w:rsid w:val="00AA4A01"/>
    <w:rsid w:val="00AB0155"/>
    <w:rsid w:val="00AB6105"/>
    <w:rsid w:val="00AC2A71"/>
    <w:rsid w:val="00AC2AF9"/>
    <w:rsid w:val="00AD08E8"/>
    <w:rsid w:val="00AD099C"/>
    <w:rsid w:val="00AD3C05"/>
    <w:rsid w:val="00AD6219"/>
    <w:rsid w:val="00AD7A3F"/>
    <w:rsid w:val="00AE270A"/>
    <w:rsid w:val="00AE2F48"/>
    <w:rsid w:val="00AE4B12"/>
    <w:rsid w:val="00AF1D6C"/>
    <w:rsid w:val="00AF4372"/>
    <w:rsid w:val="00B0099A"/>
    <w:rsid w:val="00B03AA4"/>
    <w:rsid w:val="00B06AE0"/>
    <w:rsid w:val="00B10B11"/>
    <w:rsid w:val="00B141DC"/>
    <w:rsid w:val="00B16927"/>
    <w:rsid w:val="00B26C6D"/>
    <w:rsid w:val="00B320C1"/>
    <w:rsid w:val="00B408E8"/>
    <w:rsid w:val="00B4687C"/>
    <w:rsid w:val="00B5406D"/>
    <w:rsid w:val="00B55C5E"/>
    <w:rsid w:val="00B617FE"/>
    <w:rsid w:val="00B6725F"/>
    <w:rsid w:val="00B8446A"/>
    <w:rsid w:val="00B85FC9"/>
    <w:rsid w:val="00B9732A"/>
    <w:rsid w:val="00BA1245"/>
    <w:rsid w:val="00BA235B"/>
    <w:rsid w:val="00BA5022"/>
    <w:rsid w:val="00BA578C"/>
    <w:rsid w:val="00BA6D2C"/>
    <w:rsid w:val="00BB3B9D"/>
    <w:rsid w:val="00BB45E3"/>
    <w:rsid w:val="00BB566D"/>
    <w:rsid w:val="00BB5881"/>
    <w:rsid w:val="00BB67EB"/>
    <w:rsid w:val="00BC1A85"/>
    <w:rsid w:val="00BC42C1"/>
    <w:rsid w:val="00BC4505"/>
    <w:rsid w:val="00BC697C"/>
    <w:rsid w:val="00BD3301"/>
    <w:rsid w:val="00BD441B"/>
    <w:rsid w:val="00BD4CD9"/>
    <w:rsid w:val="00BE48F9"/>
    <w:rsid w:val="00BF04FE"/>
    <w:rsid w:val="00BF568B"/>
    <w:rsid w:val="00BF66FD"/>
    <w:rsid w:val="00C00098"/>
    <w:rsid w:val="00C00F04"/>
    <w:rsid w:val="00C02598"/>
    <w:rsid w:val="00C055C8"/>
    <w:rsid w:val="00C05846"/>
    <w:rsid w:val="00C15D16"/>
    <w:rsid w:val="00C2026A"/>
    <w:rsid w:val="00C21B82"/>
    <w:rsid w:val="00C31252"/>
    <w:rsid w:val="00C32701"/>
    <w:rsid w:val="00C368FE"/>
    <w:rsid w:val="00C40805"/>
    <w:rsid w:val="00C455DD"/>
    <w:rsid w:val="00C476C2"/>
    <w:rsid w:val="00C5033D"/>
    <w:rsid w:val="00C541C5"/>
    <w:rsid w:val="00C56A1C"/>
    <w:rsid w:val="00C621D3"/>
    <w:rsid w:val="00C65789"/>
    <w:rsid w:val="00C734A3"/>
    <w:rsid w:val="00C776A4"/>
    <w:rsid w:val="00C83E6E"/>
    <w:rsid w:val="00C84BEC"/>
    <w:rsid w:val="00C90DA1"/>
    <w:rsid w:val="00C91577"/>
    <w:rsid w:val="00C96754"/>
    <w:rsid w:val="00C97F20"/>
    <w:rsid w:val="00CA090A"/>
    <w:rsid w:val="00CA0CCB"/>
    <w:rsid w:val="00CA0FD7"/>
    <w:rsid w:val="00CC17D4"/>
    <w:rsid w:val="00CD143C"/>
    <w:rsid w:val="00CD57F2"/>
    <w:rsid w:val="00CE011F"/>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1271"/>
    <w:rsid w:val="00D638E3"/>
    <w:rsid w:val="00D65E62"/>
    <w:rsid w:val="00D70EEE"/>
    <w:rsid w:val="00D7179D"/>
    <w:rsid w:val="00D71805"/>
    <w:rsid w:val="00D72607"/>
    <w:rsid w:val="00D8277B"/>
    <w:rsid w:val="00D82EF0"/>
    <w:rsid w:val="00D834B2"/>
    <w:rsid w:val="00D834DC"/>
    <w:rsid w:val="00D91FD6"/>
    <w:rsid w:val="00D9501D"/>
    <w:rsid w:val="00D953AB"/>
    <w:rsid w:val="00D95437"/>
    <w:rsid w:val="00D95FC8"/>
    <w:rsid w:val="00D962EF"/>
    <w:rsid w:val="00D96CBE"/>
    <w:rsid w:val="00DA5447"/>
    <w:rsid w:val="00DA5ECC"/>
    <w:rsid w:val="00DA677A"/>
    <w:rsid w:val="00DA7D13"/>
    <w:rsid w:val="00DD1F0C"/>
    <w:rsid w:val="00DD2C2A"/>
    <w:rsid w:val="00DD3557"/>
    <w:rsid w:val="00DD4221"/>
    <w:rsid w:val="00DE0BAD"/>
    <w:rsid w:val="00DF706C"/>
    <w:rsid w:val="00E01F9F"/>
    <w:rsid w:val="00E06F98"/>
    <w:rsid w:val="00E07AB9"/>
    <w:rsid w:val="00E127FA"/>
    <w:rsid w:val="00E169E9"/>
    <w:rsid w:val="00E255DD"/>
    <w:rsid w:val="00E300EB"/>
    <w:rsid w:val="00E33E2A"/>
    <w:rsid w:val="00E3421A"/>
    <w:rsid w:val="00E34EB3"/>
    <w:rsid w:val="00E37829"/>
    <w:rsid w:val="00E4552F"/>
    <w:rsid w:val="00E456ED"/>
    <w:rsid w:val="00E46F4E"/>
    <w:rsid w:val="00E52B0C"/>
    <w:rsid w:val="00E54CE6"/>
    <w:rsid w:val="00E61FE1"/>
    <w:rsid w:val="00E63355"/>
    <w:rsid w:val="00E70313"/>
    <w:rsid w:val="00E737BB"/>
    <w:rsid w:val="00E74243"/>
    <w:rsid w:val="00E81F84"/>
    <w:rsid w:val="00E827E2"/>
    <w:rsid w:val="00E84F37"/>
    <w:rsid w:val="00E872EF"/>
    <w:rsid w:val="00E94445"/>
    <w:rsid w:val="00E96562"/>
    <w:rsid w:val="00E96B4B"/>
    <w:rsid w:val="00EA08B8"/>
    <w:rsid w:val="00EA1D68"/>
    <w:rsid w:val="00EA6C46"/>
    <w:rsid w:val="00EB0F51"/>
    <w:rsid w:val="00EB3E5D"/>
    <w:rsid w:val="00EC6A4D"/>
    <w:rsid w:val="00EC6B71"/>
    <w:rsid w:val="00ED5181"/>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26FAC"/>
    <w:rsid w:val="00F31DBA"/>
    <w:rsid w:val="00F31E19"/>
    <w:rsid w:val="00F3488B"/>
    <w:rsid w:val="00F461FE"/>
    <w:rsid w:val="00F4747C"/>
    <w:rsid w:val="00F5165D"/>
    <w:rsid w:val="00F523A2"/>
    <w:rsid w:val="00F61DA9"/>
    <w:rsid w:val="00F67ABD"/>
    <w:rsid w:val="00F705B7"/>
    <w:rsid w:val="00F70C51"/>
    <w:rsid w:val="00F71BEE"/>
    <w:rsid w:val="00F743B8"/>
    <w:rsid w:val="00F74919"/>
    <w:rsid w:val="00F82197"/>
    <w:rsid w:val="00FA5D03"/>
    <w:rsid w:val="00FB58C3"/>
    <w:rsid w:val="00FC04A0"/>
    <w:rsid w:val="00FC353C"/>
    <w:rsid w:val="00FD12C6"/>
    <w:rsid w:val="00FD28E2"/>
    <w:rsid w:val="00FD56B9"/>
    <w:rsid w:val="00FE0A55"/>
    <w:rsid w:val="00FE1170"/>
    <w:rsid w:val="00FE1C63"/>
    <w:rsid w:val="00FE3A2F"/>
    <w:rsid w:val="00FF04E2"/>
    <w:rsid w:val="00FF0ED7"/>
    <w:rsid w:val="00FF424F"/>
    <w:rsid w:val="00FF737A"/>
    <w:rsid w:val="016A6C79"/>
    <w:rsid w:val="01702465"/>
    <w:rsid w:val="01EC58AF"/>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807B8C"/>
    <w:rsid w:val="08C136B6"/>
    <w:rsid w:val="08E14ACC"/>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A83EDB"/>
    <w:rsid w:val="0C383118"/>
    <w:rsid w:val="0C5602B0"/>
    <w:rsid w:val="0C72525B"/>
    <w:rsid w:val="0C96145B"/>
    <w:rsid w:val="0CBC3BE7"/>
    <w:rsid w:val="0CBE46E5"/>
    <w:rsid w:val="0D040750"/>
    <w:rsid w:val="0D5D1325"/>
    <w:rsid w:val="0D8A1656"/>
    <w:rsid w:val="0DE83E06"/>
    <w:rsid w:val="0E317E14"/>
    <w:rsid w:val="0E46090A"/>
    <w:rsid w:val="0E6D18B9"/>
    <w:rsid w:val="0E7E5D77"/>
    <w:rsid w:val="0EB2188B"/>
    <w:rsid w:val="0ED75C3A"/>
    <w:rsid w:val="0EDD0C64"/>
    <w:rsid w:val="0FDC5ECC"/>
    <w:rsid w:val="10864BAF"/>
    <w:rsid w:val="10923864"/>
    <w:rsid w:val="10CA7EC9"/>
    <w:rsid w:val="10ED1E00"/>
    <w:rsid w:val="10F548A0"/>
    <w:rsid w:val="11070E2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7A4ED2"/>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1F2D"/>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781F98"/>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1FE139F1"/>
    <w:rsid w:val="200902A2"/>
    <w:rsid w:val="2018233B"/>
    <w:rsid w:val="202C4BA0"/>
    <w:rsid w:val="2031368A"/>
    <w:rsid w:val="204D1ECB"/>
    <w:rsid w:val="20664287"/>
    <w:rsid w:val="206E0E34"/>
    <w:rsid w:val="20F37AF2"/>
    <w:rsid w:val="21037791"/>
    <w:rsid w:val="21D175BF"/>
    <w:rsid w:val="224F7F39"/>
    <w:rsid w:val="228E14B2"/>
    <w:rsid w:val="22F000F4"/>
    <w:rsid w:val="232C463A"/>
    <w:rsid w:val="2343188A"/>
    <w:rsid w:val="23753379"/>
    <w:rsid w:val="240C5608"/>
    <w:rsid w:val="242E5DB2"/>
    <w:rsid w:val="244E1F5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62337E"/>
    <w:rsid w:val="27760C10"/>
    <w:rsid w:val="28154713"/>
    <w:rsid w:val="284726EB"/>
    <w:rsid w:val="28C419ED"/>
    <w:rsid w:val="28DF3FCB"/>
    <w:rsid w:val="29D04C89"/>
    <w:rsid w:val="2A7810F6"/>
    <w:rsid w:val="2A8F0D6E"/>
    <w:rsid w:val="2ABC2F92"/>
    <w:rsid w:val="2AF249C8"/>
    <w:rsid w:val="2B192609"/>
    <w:rsid w:val="2B434CEA"/>
    <w:rsid w:val="2BD85A0F"/>
    <w:rsid w:val="2BDD2B94"/>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FC0E4A"/>
    <w:rsid w:val="372E75BF"/>
    <w:rsid w:val="379F77B6"/>
    <w:rsid w:val="390458AE"/>
    <w:rsid w:val="392803B0"/>
    <w:rsid w:val="39425EA4"/>
    <w:rsid w:val="39A45FA5"/>
    <w:rsid w:val="39E801C4"/>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2EC216C"/>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5D78C6"/>
    <w:rsid w:val="5C82229F"/>
    <w:rsid w:val="5CBE3743"/>
    <w:rsid w:val="5CD86660"/>
    <w:rsid w:val="5D160AEB"/>
    <w:rsid w:val="5D3A70EE"/>
    <w:rsid w:val="5D716AB2"/>
    <w:rsid w:val="5DB645C1"/>
    <w:rsid w:val="5DC9323D"/>
    <w:rsid w:val="5DD154CB"/>
    <w:rsid w:val="5E1472B0"/>
    <w:rsid w:val="5E4C0B1A"/>
    <w:rsid w:val="5E6C042B"/>
    <w:rsid w:val="5E7C233A"/>
    <w:rsid w:val="5E7E1860"/>
    <w:rsid w:val="5E905572"/>
    <w:rsid w:val="5EBF1885"/>
    <w:rsid w:val="5F0026B1"/>
    <w:rsid w:val="5F1A2F16"/>
    <w:rsid w:val="5F9E1458"/>
    <w:rsid w:val="60CF21A4"/>
    <w:rsid w:val="610374C0"/>
    <w:rsid w:val="61251AAF"/>
    <w:rsid w:val="61733B01"/>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310B44"/>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6D54DC"/>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2953B6"/>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65BD"/>
  <w15:docId w15:val="{3FA421CB-5464-4A66-8243-333F7CBA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1"/>
    <w:uiPriority w:val="99"/>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3"/>
    <w:uiPriority w:val="99"/>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header"/>
    <w:basedOn w:val="a"/>
    <w:link w:val="2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5">
    <w:name w:val="Body Text First Indent 2"/>
    <w:basedOn w:val="a6"/>
    <w:next w:val="a"/>
    <w:link w:val="26"/>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99"/>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7">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6">
    <w:name w:val="正文文本首行缩进 2 字符"/>
    <w:basedOn w:val="afe"/>
    <w:link w:val="25"/>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3">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8">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9">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cs="Arial" w:hint="default"/>
      <w:b/>
      <w:bCs/>
      <w:kern w:val="2"/>
      <w:sz w:val="32"/>
      <w:szCs w:val="32"/>
    </w:rPr>
  </w:style>
  <w:style w:type="character" w:customStyle="1" w:styleId="21">
    <w:name w:val="批注文字 字符2"/>
    <w:basedOn w:val="a0"/>
    <w:link w:val="a4"/>
    <w:uiPriority w:val="99"/>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4">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qFormat/>
    <w:rPr>
      <w:rFonts w:ascii="Arial" w:hAnsi="Arial" w:cs="Arial"/>
      <w:color w:val="000000"/>
      <w:sz w:val="24"/>
      <w:szCs w:val="24"/>
      <w:u w:val="none"/>
    </w:rPr>
  </w:style>
  <w:style w:type="paragraph" w:customStyle="1" w:styleId="2">
    <w:name w:val="列出段落2"/>
    <w:basedOn w:val="a"/>
    <w:qFormat/>
    <w:pPr>
      <w:numPr>
        <w:numId w:val="2"/>
      </w:numPr>
      <w:autoSpaceDE w:val="0"/>
      <w:spacing w:line="360" w:lineRule="auto"/>
    </w:pPr>
    <w:rPr>
      <w:rFonts w:ascii="宋体" w:eastAsia="宋体" w:hAnsi="宋体" w:cs="Times New Roman"/>
      <w:szCs w:val="21"/>
    </w:rPr>
  </w:style>
  <w:style w:type="paragraph" w:customStyle="1" w:styleId="1e">
    <w:name w:val="修订1"/>
    <w:hidden/>
    <w:uiPriority w:val="99"/>
    <w:unhideWhenUsed/>
    <w:rPr>
      <w:rFonts w:asciiTheme="minorHAnsi" w:eastAsiaTheme="minorEastAsia" w:hAnsiTheme="minorHAnsi" w:cstheme="minorBidi"/>
      <w:kern w:val="2"/>
      <w:sz w:val="21"/>
      <w:szCs w:val="22"/>
    </w:rPr>
  </w:style>
  <w:style w:type="paragraph" w:customStyle="1" w:styleId="2a">
    <w:name w:val="修订2"/>
    <w:hidden/>
    <w:uiPriority w:val="99"/>
    <w:unhideWhenUsed/>
    <w:rPr>
      <w:rFonts w:asciiTheme="minorHAnsi" w:eastAsiaTheme="minorEastAsia" w:hAnsiTheme="minorHAnsi" w:cstheme="minorBidi"/>
      <w:kern w:val="2"/>
      <w:sz w:val="21"/>
      <w:szCs w:val="22"/>
    </w:rPr>
  </w:style>
  <w:style w:type="paragraph" w:styleId="aff4">
    <w:name w:val="Revision"/>
    <w:hidden/>
    <w:uiPriority w:val="99"/>
    <w:unhideWhenUsed/>
    <w:rsid w:val="001B5AB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2219-AE4F-4F96-9A28-361ADF44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868</Words>
  <Characters>4954</Characters>
  <Application>Microsoft Office Word</Application>
  <DocSecurity>0</DocSecurity>
  <Lines>41</Lines>
  <Paragraphs>11</Paragraphs>
  <ScaleCrop>false</ScaleCrop>
  <Company>Sky123.Org</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20</cp:revision>
  <cp:lastPrinted>2024-09-25T02:46:00Z</cp:lastPrinted>
  <dcterms:created xsi:type="dcterms:W3CDTF">2024-04-16T08:21:00Z</dcterms:created>
  <dcterms:modified xsi:type="dcterms:W3CDTF">2024-10-14T02:59:00Z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F52399224F864570B2824EC4296B3BD6_13</vt:lpwstr>
  </property>
</Properties>
</file>