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asciiTheme="minorHAnsi" w:hAnsiTheme="minorHAnsi" w:eastAsiaTheme="minorEastAsia" w:cstheme="minorBidi"/>
          <w:kern w:val="2"/>
          <w:sz w:val="21"/>
          <w:szCs w:val="24"/>
          <w:lang w:val="en-US" w:eastAsia="zh-CN" w:bidi="ar-SA"/>
        </w:rPr>
      </w:pPr>
    </w:p>
    <w:p>
      <w:pPr>
        <w:bidi w:val="0"/>
        <w:ind w:firstLine="291" w:firstLineChars="0"/>
        <w:jc w:val="left"/>
        <w:rPr>
          <w:rFonts w:hint="eastAsia"/>
          <w:lang w:val="en-US" w:eastAsia="zh-CN"/>
        </w:rPr>
      </w:pPr>
      <w:r>
        <w:rPr>
          <w:rFonts w:hint="eastAsia" w:ascii="方正小标宋简体" w:hAnsi="方正小标宋简体" w:eastAsia="方正小标宋简体" w:cs="方正小标宋简体"/>
          <w:b w:val="0"/>
          <w:bCs w:val="0"/>
          <w:kern w:val="0"/>
          <w:sz w:val="44"/>
          <w:szCs w:val="44"/>
          <w:lang w:val="en-US" w:eastAsia="zh-CN"/>
        </w:rPr>
        <w:t>广东省肇庆监狱15组团执勤岗采购项目</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8"/>
          <w:szCs w:val="36"/>
          <w:lang w:eastAsia="zh-CN"/>
        </w:rPr>
      </w:pPr>
      <w:r>
        <w:rPr>
          <w:rFonts w:hint="eastAsia" w:asciiTheme="minorEastAsia" w:hAnsiTheme="minorEastAsia" w:eastAsiaTheme="minorEastAsia" w:cstheme="minorEastAsia"/>
          <w:b/>
          <w:bCs/>
          <w:sz w:val="28"/>
          <w:szCs w:val="36"/>
          <w:lang w:eastAsia="zh-CN"/>
        </w:rPr>
        <w:t>项目名称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lang w:eastAsia="zh-CN"/>
        </w:rPr>
        <w:t>广东省肇庆监狱15组团执勤岗采购项目</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8"/>
          <w:szCs w:val="36"/>
          <w:lang w:eastAsia="zh-CN"/>
        </w:rPr>
      </w:pPr>
      <w:r>
        <w:rPr>
          <w:rFonts w:hint="eastAsia" w:asciiTheme="minorEastAsia" w:hAnsiTheme="minorEastAsia" w:cstheme="minorEastAsia"/>
          <w:b/>
          <w:bCs/>
          <w:sz w:val="28"/>
          <w:szCs w:val="36"/>
          <w:lang w:val="en-US" w:eastAsia="zh-CN"/>
        </w:rPr>
        <w:t>二、</w:t>
      </w:r>
      <w:r>
        <w:rPr>
          <w:rFonts w:hint="eastAsia" w:asciiTheme="minorEastAsia" w:hAnsiTheme="minorEastAsia" w:eastAsiaTheme="minorEastAsia" w:cstheme="minorEastAsia"/>
          <w:b/>
          <w:bCs/>
          <w:sz w:val="28"/>
          <w:szCs w:val="36"/>
          <w:lang w:eastAsia="zh-CN"/>
        </w:rPr>
        <w:t>项目地址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eastAsia="zh-CN"/>
        </w:rPr>
        <w:t>广东省四会市城中街道城北社区汶塘路</w:t>
      </w:r>
      <w:r>
        <w:rPr>
          <w:rFonts w:hint="eastAsia" w:asciiTheme="minorEastAsia" w:hAnsiTheme="minorEastAsia" w:eastAsiaTheme="minorEastAsia" w:cstheme="minorEastAsia"/>
          <w:sz w:val="24"/>
          <w:szCs w:val="32"/>
          <w:lang w:val="en-US" w:eastAsia="zh-CN"/>
        </w:rPr>
        <w:t>1</w:t>
      </w:r>
      <w:r>
        <w:rPr>
          <w:rFonts w:hint="eastAsia" w:asciiTheme="minorEastAsia" w:hAnsiTheme="minorEastAsia" w:eastAsiaTheme="minorEastAsia" w:cstheme="minorEastAsia"/>
          <w:sz w:val="24"/>
          <w:szCs w:val="32"/>
          <w:lang w:eastAsia="zh-CN"/>
        </w:rPr>
        <w:t>号</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8"/>
          <w:szCs w:val="36"/>
          <w:lang w:eastAsia="zh-CN"/>
        </w:rPr>
      </w:pPr>
      <w:r>
        <w:rPr>
          <w:rFonts w:hint="eastAsia" w:asciiTheme="minorEastAsia" w:hAnsiTheme="minorEastAsia" w:eastAsiaTheme="minorEastAsia" w:cstheme="minorEastAsia"/>
          <w:b/>
          <w:bCs/>
          <w:sz w:val="28"/>
          <w:szCs w:val="36"/>
          <w:lang w:eastAsia="zh-CN"/>
        </w:rPr>
        <w:t>项目需求内容</w:t>
      </w:r>
    </w:p>
    <w:tbl>
      <w:tblPr>
        <w:tblStyle w:val="4"/>
        <w:tblW w:w="87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75"/>
        <w:gridCol w:w="1595"/>
        <w:gridCol w:w="3960"/>
        <w:gridCol w:w="750"/>
        <w:gridCol w:w="825"/>
        <w:gridCol w:w="1073"/>
      </w:tblGrid>
      <w:tr>
        <w:tblPrEx>
          <w:tblLayout w:type="fixed"/>
        </w:tblPrEx>
        <w:trPr>
          <w:trHeight w:val="490" w:hRule="atLeast"/>
        </w:trPr>
        <w:tc>
          <w:tcPr>
            <w:tcW w:w="57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序号</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rPr>
            </w:pPr>
            <w:r>
              <w:rPr>
                <w:rFonts w:hint="eastAsia" w:asciiTheme="minorEastAsia" w:hAnsiTheme="minorEastAsia" w:eastAsiaTheme="minorEastAsia" w:cstheme="minorEastAsia"/>
                <w:b/>
                <w:i w:val="0"/>
                <w:color w:val="000000"/>
                <w:kern w:val="0"/>
                <w:sz w:val="24"/>
                <w:szCs w:val="24"/>
                <w:u w:val="none"/>
                <w:lang w:val="en-US" w:eastAsia="zh-CN" w:bidi="ar"/>
              </w:rPr>
              <w:t>项目名称规格</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lang w:val="en-US" w:eastAsia="zh-CN"/>
              </w:rPr>
            </w:pPr>
            <w:r>
              <w:rPr>
                <w:rFonts w:hint="eastAsia" w:asciiTheme="minorEastAsia" w:hAnsiTheme="minorEastAsia" w:eastAsiaTheme="minorEastAsia" w:cstheme="minorEastAsia"/>
                <w:b/>
                <w:i w:val="0"/>
                <w:color w:val="000000"/>
                <w:sz w:val="24"/>
                <w:szCs w:val="24"/>
                <w:u w:val="none"/>
                <w:lang w:val="en-US" w:eastAsia="zh-CN"/>
              </w:rPr>
              <w:t>参数规格（mm）</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4"/>
                <w:szCs w:val="24"/>
                <w:u w:val="none"/>
                <w:lang w:val="en-US" w:eastAsia="zh-CN"/>
              </w:rPr>
            </w:pPr>
            <w:r>
              <w:rPr>
                <w:rFonts w:hint="eastAsia" w:asciiTheme="minorEastAsia" w:hAnsiTheme="minorEastAsia" w:eastAsiaTheme="minorEastAsia" w:cstheme="minorEastAsia"/>
                <w:b/>
                <w:i w:val="0"/>
                <w:color w:val="000000"/>
                <w:sz w:val="24"/>
                <w:szCs w:val="24"/>
                <w:u w:val="none"/>
                <w:lang w:val="en-US" w:eastAsia="zh-CN"/>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数量</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0"/>
                <w:sz w:val="24"/>
                <w:szCs w:val="24"/>
                <w:u w:val="none"/>
                <w:lang w:val="en-US" w:eastAsia="zh-CN" w:bidi="ar"/>
              </w:rPr>
            </w:pPr>
            <w:r>
              <w:rPr>
                <w:rFonts w:hint="eastAsia" w:asciiTheme="minorEastAsia" w:hAnsiTheme="minorEastAsia" w:eastAsiaTheme="minorEastAsia" w:cstheme="minorEastAsia"/>
                <w:b/>
                <w:i w:val="0"/>
                <w:color w:val="000000"/>
                <w:kern w:val="0"/>
                <w:sz w:val="24"/>
                <w:szCs w:val="24"/>
                <w:u w:val="none"/>
                <w:lang w:val="en-US" w:eastAsia="zh-CN" w:bidi="ar"/>
              </w:rPr>
              <w:t>备注</w:t>
            </w:r>
          </w:p>
        </w:tc>
      </w:tr>
      <w:tr>
        <w:tblPrEx>
          <w:tblLayout w:type="fixed"/>
        </w:tblPrEx>
        <w:trPr>
          <w:trHeight w:val="1986" w:hRule="atLeast"/>
        </w:trPr>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i w:val="0"/>
                <w:color w:val="000000"/>
                <w:kern w:val="0"/>
                <w:sz w:val="24"/>
                <w:szCs w:val="24"/>
                <w:u w:val="none"/>
                <w:lang w:val="en-US" w:eastAsia="zh-CN" w:bidi="ar"/>
              </w:rPr>
              <w:t>1</w:t>
            </w:r>
          </w:p>
        </w:tc>
        <w:tc>
          <w:tcPr>
            <w:tcW w:w="1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cstheme="minorEastAsia"/>
                <w:i w:val="0"/>
                <w:color w:val="000000"/>
                <w:sz w:val="24"/>
                <w:szCs w:val="24"/>
                <w:u w:val="none"/>
                <w:lang w:val="en-US" w:eastAsia="zh-CN"/>
              </w:rPr>
              <w:t>执勤岗</w:t>
            </w:r>
          </w:p>
        </w:tc>
        <w:tc>
          <w:tcPr>
            <w:tcW w:w="3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2"/>
                <w:sz w:val="24"/>
                <w:szCs w:val="24"/>
                <w:u w:val="none"/>
                <w:lang w:val="en-US" w:eastAsia="zh-CN" w:bidi="ar-SA"/>
              </w:rPr>
              <w:t>1.成品执勤岗（含底座、车贴）</w:t>
            </w:r>
          </w:p>
          <w:p>
            <w:pPr>
              <w:pStyle w:val="2"/>
              <w:rPr>
                <w:rFonts w:hint="default"/>
                <w:lang w:val="en-US"/>
              </w:rPr>
            </w:pPr>
            <w:r>
              <w:rPr>
                <w:rFonts w:hint="eastAsia" w:asciiTheme="minorEastAsia" w:hAnsiTheme="minorEastAsia" w:cstheme="minorEastAsia"/>
                <w:i w:val="0"/>
                <w:color w:val="000000"/>
                <w:sz w:val="24"/>
                <w:szCs w:val="24"/>
                <w:u w:val="none"/>
                <w:lang w:val="en-US" w:eastAsia="zh-CN"/>
              </w:rPr>
              <w:t>2.承台面板采用18mm厚木质夹板外包1.5mmSUS201不锈钢板制作</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4"/>
                <w:szCs w:val="24"/>
                <w:u w:val="none"/>
                <w:lang w:val="en-US" w:eastAsia="zh-CN"/>
              </w:rPr>
            </w:pPr>
            <w:r>
              <w:rPr>
                <w:rFonts w:hint="eastAsia" w:asciiTheme="minorEastAsia" w:hAnsiTheme="minorEastAsia" w:cstheme="minorEastAsia"/>
                <w:i w:val="0"/>
                <w:color w:val="000000"/>
                <w:sz w:val="24"/>
                <w:szCs w:val="24"/>
                <w:u w:val="none"/>
                <w:lang w:val="en-US" w:eastAsia="zh-CN"/>
              </w:rPr>
              <w:t>套</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cstheme="minorEastAsia"/>
                <w:i w:val="0"/>
                <w:color w:val="000000"/>
                <w:kern w:val="0"/>
                <w:sz w:val="24"/>
                <w:szCs w:val="24"/>
                <w:u w:val="none"/>
                <w:lang w:val="en-US" w:eastAsia="zh-CN" w:bidi="ar"/>
              </w:rPr>
              <w:t>7</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cstheme="minorEastAsia"/>
                <w:i w:val="0"/>
                <w:color w:val="000000"/>
                <w:kern w:val="0"/>
                <w:sz w:val="24"/>
                <w:szCs w:val="24"/>
                <w:u w:val="none"/>
                <w:lang w:val="en-US" w:eastAsia="zh-CN" w:bidi="ar"/>
              </w:rPr>
              <w:t>其他参数详见图纸</w:t>
            </w:r>
          </w:p>
        </w:tc>
      </w:tr>
    </w:tbl>
    <w:p>
      <w:pPr>
        <w:keepNext w:val="0"/>
        <w:keepLines w:val="0"/>
        <w:pageBreakBefore w:val="0"/>
        <w:widowControl w:val="0"/>
        <w:numPr>
          <w:ilvl w:val="0"/>
          <w:numId w:val="0"/>
        </w:numPr>
        <w:tabs>
          <w:tab w:val="left" w:pos="457"/>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8"/>
          <w:szCs w:val="36"/>
          <w:lang w:eastAsia="zh-CN"/>
        </w:rPr>
      </w:pPr>
      <w:r>
        <w:rPr>
          <w:rFonts w:hint="eastAsia" w:asciiTheme="minorEastAsia" w:hAnsiTheme="minorEastAsia" w:eastAsiaTheme="minorEastAsia" w:cstheme="minorEastAsia"/>
          <w:b/>
          <w:bCs/>
          <w:sz w:val="28"/>
          <w:szCs w:val="36"/>
          <w:lang w:val="en-US" w:eastAsia="zh-CN"/>
        </w:rPr>
        <w:t>四、</w:t>
      </w:r>
      <w:r>
        <w:rPr>
          <w:rFonts w:hint="eastAsia" w:asciiTheme="minorEastAsia" w:hAnsiTheme="minorEastAsia" w:eastAsiaTheme="minorEastAsia" w:cstheme="minorEastAsia"/>
          <w:b/>
          <w:bCs/>
          <w:sz w:val="28"/>
          <w:szCs w:val="36"/>
          <w:lang w:eastAsia="zh-CN"/>
        </w:rPr>
        <w:t>供应商要求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lang w:eastAsia="zh-CN"/>
        </w:rPr>
        <w:t>（一）成交供应商需将本项目采购的</w:t>
      </w:r>
      <w:r>
        <w:rPr>
          <w:rFonts w:hint="eastAsia" w:asciiTheme="minorEastAsia" w:hAnsiTheme="minorEastAsia" w:eastAsiaTheme="minorEastAsia" w:cstheme="minorEastAsia"/>
          <w:sz w:val="24"/>
          <w:szCs w:val="32"/>
          <w:lang w:val="en-US" w:eastAsia="zh-CN"/>
        </w:rPr>
        <w:t>货物运输并</w:t>
      </w:r>
      <w:r>
        <w:rPr>
          <w:rFonts w:hint="eastAsia" w:asciiTheme="minorEastAsia" w:hAnsiTheme="minorEastAsia" w:eastAsiaTheme="minorEastAsia" w:cstheme="minorEastAsia"/>
          <w:sz w:val="24"/>
          <w:szCs w:val="32"/>
          <w:lang w:eastAsia="zh-CN"/>
        </w:rPr>
        <w:t>安装到采购人指定位置；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lang w:eastAsia="zh-CN"/>
        </w:rPr>
        <w:t>（二）成交供应商负责项目所需的人力、运输、机械、物料设计制作等，及其他所需的保障；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lang w:eastAsia="zh-CN"/>
        </w:rPr>
        <w:t>（三）项目报价包含设计、</w:t>
      </w:r>
      <w:r>
        <w:rPr>
          <w:rFonts w:hint="eastAsia" w:asciiTheme="minorEastAsia" w:hAnsiTheme="minorEastAsia" w:eastAsiaTheme="minorEastAsia" w:cstheme="minorEastAsia"/>
          <w:sz w:val="24"/>
          <w:szCs w:val="32"/>
          <w:lang w:val="en-US" w:eastAsia="zh-CN"/>
        </w:rPr>
        <w:t>制作</w:t>
      </w:r>
      <w:r>
        <w:rPr>
          <w:rFonts w:hint="eastAsia" w:asciiTheme="minorEastAsia" w:hAnsiTheme="minorEastAsia" w:eastAsiaTheme="minorEastAsia" w:cstheme="minorEastAsia"/>
          <w:sz w:val="24"/>
          <w:szCs w:val="32"/>
          <w:lang w:eastAsia="zh-CN"/>
        </w:rPr>
        <w:t>、</w:t>
      </w:r>
      <w:r>
        <w:rPr>
          <w:rFonts w:hint="eastAsia" w:asciiTheme="minorEastAsia" w:hAnsiTheme="minorEastAsia" w:eastAsiaTheme="minorEastAsia" w:cstheme="minorEastAsia"/>
          <w:sz w:val="24"/>
          <w:szCs w:val="32"/>
          <w:lang w:val="en-US" w:eastAsia="zh-CN"/>
        </w:rPr>
        <w:t>运输、</w:t>
      </w:r>
      <w:r>
        <w:rPr>
          <w:rFonts w:hint="eastAsia" w:asciiTheme="minorEastAsia" w:hAnsiTheme="minorEastAsia" w:eastAsiaTheme="minorEastAsia" w:cstheme="minorEastAsia"/>
          <w:sz w:val="24"/>
          <w:szCs w:val="32"/>
          <w:lang w:eastAsia="zh-CN"/>
        </w:rPr>
        <w:t>安装、耗材、税费等一切费用。</w:t>
      </w:r>
    </w:p>
    <w:p>
      <w:pPr>
        <w:keepNext w:val="0"/>
        <w:keepLines w:val="0"/>
        <w:pageBreakBefore w:val="0"/>
        <w:widowControl w:val="0"/>
        <w:numPr>
          <w:ilvl w:val="0"/>
          <w:numId w:val="0"/>
        </w:numPr>
        <w:tabs>
          <w:tab w:val="left" w:pos="457"/>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8"/>
          <w:szCs w:val="36"/>
          <w:lang w:val="en-US" w:eastAsia="zh-CN"/>
        </w:rPr>
      </w:pPr>
      <w:r>
        <w:rPr>
          <w:rFonts w:hint="eastAsia" w:asciiTheme="minorEastAsia" w:hAnsiTheme="minorEastAsia" w:eastAsiaTheme="minorEastAsia" w:cstheme="minorEastAsia"/>
          <w:b/>
          <w:bCs/>
          <w:sz w:val="28"/>
          <w:szCs w:val="36"/>
          <w:lang w:val="en-US" w:eastAsia="zh-CN"/>
        </w:rPr>
        <w:t>五、商务要求</w:t>
      </w:r>
    </w:p>
    <w:p>
      <w:pPr>
        <w:numPr>
          <w:ilvl w:val="0"/>
          <w:numId w:val="2"/>
        </w:numPr>
        <w:snapToGrid w:val="0"/>
        <w:spacing w:line="360" w:lineRule="auto"/>
        <w:ind w:left="0" w:leftChars="0" w:firstLine="420" w:firstLineChars="0"/>
        <w:rPr>
          <w:rFonts w:hint="eastAsia"/>
        </w:rPr>
      </w:pPr>
      <w:r>
        <w:rPr>
          <w:rFonts w:hint="eastAsia" w:asciiTheme="minorEastAsia" w:hAnsiTheme="minorEastAsia" w:eastAsiaTheme="minorEastAsia" w:cstheme="minorEastAsia"/>
          <w:b/>
          <w:bCs/>
          <w:color w:val="000000"/>
          <w:sz w:val="24"/>
          <w:szCs w:val="24"/>
        </w:rPr>
        <w:t>交付的时间和地点</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交付的期限：</w:t>
      </w:r>
      <w:r>
        <w:rPr>
          <w:rFonts w:hint="eastAsia" w:asciiTheme="minorEastAsia" w:hAnsiTheme="minorEastAsia" w:cstheme="minorEastAsia"/>
          <w:sz w:val="24"/>
          <w:szCs w:val="24"/>
          <w:lang w:val="en-US" w:eastAsia="zh-CN"/>
        </w:rPr>
        <w:t>该项目为配套项目，待我方通知后按要求交付。</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交付的地点：广东省四会市城中街道城北社区汶塘路</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号。</w:t>
      </w:r>
    </w:p>
    <w:p>
      <w:pPr>
        <w:numPr>
          <w:ilvl w:val="0"/>
          <w:numId w:val="2"/>
        </w:numPr>
        <w:snapToGrid w:val="0"/>
        <w:spacing w:line="360" w:lineRule="auto"/>
        <w:ind w:left="0" w:leftChars="0" w:firstLine="420" w:firstLineChars="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合同货物验收</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货物验收在采购人和成交供应商双方共同参与下按国家有关的规定、规范进行；</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验收时如发现所交付的货物有短装、次品、损坏或其它不符合本项目合同规定之情形者，采购人应作出详尽的现场记录，或由采购人、成交供应商双方签署备忘录。此现场记录或备忘录可用作补充、缺失和更换损坏部件的有效证据。因此产生的有关费用由成交供应商承担；</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如果合同货物运输和安装过程中因事故造成货物短缺、损坏，成交供应商应及时安排补货、换货，以保证合同货物安装的成功完成。换货的相关费用由成交供应商承担；</w:t>
      </w:r>
    </w:p>
    <w:p>
      <w:pPr>
        <w:numPr>
          <w:ilvl w:val="0"/>
          <w:numId w:val="2"/>
        </w:numPr>
        <w:snapToGrid w:val="0"/>
        <w:spacing w:line="360" w:lineRule="auto"/>
        <w:ind w:left="0" w:leftChars="0" w:firstLine="420" w:firstLineChars="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交付验收标准依次序对照适用标准</w:t>
      </w:r>
    </w:p>
    <w:p>
      <w:pPr>
        <w:numPr>
          <w:ilvl w:val="0"/>
          <w:numId w:val="5"/>
        </w:numPr>
        <w:autoSpaceDE w:val="0"/>
        <w:autoSpaceDN w:val="0"/>
        <w:adjustRightInd w:val="0"/>
        <w:snapToGrid w:val="0"/>
        <w:spacing w:line="360" w:lineRule="auto"/>
        <w:ind w:left="0" w:leftChars="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符合中华人民共和国国家安全质量标准、环保标准或行业标准；</w:t>
      </w:r>
    </w:p>
    <w:p>
      <w:pPr>
        <w:numPr>
          <w:ilvl w:val="0"/>
          <w:numId w:val="5"/>
        </w:numPr>
        <w:autoSpaceDE w:val="0"/>
        <w:autoSpaceDN w:val="0"/>
        <w:adjustRightInd w:val="0"/>
        <w:snapToGrid w:val="0"/>
        <w:spacing w:line="360" w:lineRule="auto"/>
        <w:ind w:left="0" w:leftChars="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w:t>
      </w:r>
      <w:r>
        <w:rPr>
          <w:rFonts w:hint="eastAsia" w:asciiTheme="minorEastAsia" w:hAnsiTheme="minorEastAsia" w:eastAsiaTheme="minorEastAsia" w:cstheme="minorEastAsia"/>
          <w:sz w:val="24"/>
          <w:szCs w:val="24"/>
          <w:lang w:val="en-US" w:eastAsia="zh-CN"/>
        </w:rPr>
        <w:t>需求书</w:t>
      </w:r>
      <w:r>
        <w:rPr>
          <w:rFonts w:hint="eastAsia" w:asciiTheme="minorEastAsia" w:hAnsiTheme="minorEastAsia" w:eastAsiaTheme="minorEastAsia" w:cstheme="minorEastAsia"/>
          <w:sz w:val="24"/>
          <w:szCs w:val="24"/>
        </w:rPr>
        <w:t>和响应承诺中采购人认可的合理最佳配置、参数及各项要求；</w:t>
      </w:r>
    </w:p>
    <w:p>
      <w:pPr>
        <w:numPr>
          <w:ilvl w:val="0"/>
          <w:numId w:val="2"/>
        </w:numPr>
        <w:snapToGrid w:val="0"/>
        <w:spacing w:line="360" w:lineRule="auto"/>
        <w:ind w:left="0" w:leftChars="0" w:firstLine="420" w:firstLineChars="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货物要求</w:t>
      </w:r>
    </w:p>
    <w:p>
      <w:pPr>
        <w:numPr>
          <w:numId w:val="0"/>
        </w:numPr>
        <w:tabs>
          <w:tab w:val="left" w:pos="567"/>
        </w:tabs>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货物为原制造商制造的全新产品，无侵权行为、表面无划损、无任何缺陷隐患。</w:t>
      </w:r>
    </w:p>
    <w:p>
      <w:pPr>
        <w:numPr>
          <w:ilvl w:val="0"/>
          <w:numId w:val="2"/>
        </w:numPr>
        <w:snapToGrid w:val="0"/>
        <w:spacing w:line="360" w:lineRule="auto"/>
        <w:ind w:left="0" w:leftChars="0" w:firstLine="420" w:firstLineChars="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包装和运输</w:t>
      </w:r>
    </w:p>
    <w:p>
      <w:pPr>
        <w:numPr>
          <w:ilvl w:val="0"/>
          <w:numId w:val="6"/>
        </w:numPr>
        <w:snapToGrid w:val="0"/>
        <w:spacing w:line="360" w:lineRule="auto"/>
        <w:ind w:left="0"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成交供应商应提供运至交付地点所需要的包装，包装应符合经济、牢固、美观的要求，采取防潮、防晒、防锈、防振及防止其它损坏的必要措施，以防止货物在运转中损坏或变质。</w:t>
      </w:r>
    </w:p>
    <w:p>
      <w:pPr>
        <w:numPr>
          <w:ilvl w:val="0"/>
          <w:numId w:val="6"/>
        </w:numPr>
        <w:snapToGrid w:val="0"/>
        <w:spacing w:line="360" w:lineRule="auto"/>
        <w:ind w:left="0"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包装必须要符合相关法律、法规的要求，包括与环境、职业健康和安全有关的法律、法规标准。</w:t>
      </w:r>
    </w:p>
    <w:p>
      <w:pPr>
        <w:numPr>
          <w:ilvl w:val="0"/>
          <w:numId w:val="6"/>
        </w:numPr>
        <w:snapToGrid w:val="0"/>
        <w:spacing w:line="360" w:lineRule="auto"/>
        <w:ind w:left="0"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运输包装应根据产品的特点及国家相关标准标注有相应的运输标志。</w:t>
      </w:r>
    </w:p>
    <w:p>
      <w:pPr>
        <w:numPr>
          <w:ilvl w:val="0"/>
          <w:numId w:val="6"/>
        </w:numPr>
        <w:snapToGrid w:val="0"/>
        <w:spacing w:line="360" w:lineRule="auto"/>
        <w:ind w:left="0"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成交供应商负责将货物运输并卸载到采购人指定地点。</w:t>
      </w:r>
    </w:p>
    <w:p>
      <w:pPr>
        <w:numPr>
          <w:numId w:val="0"/>
        </w:numPr>
        <w:snapToGrid w:val="0"/>
        <w:spacing w:line="360" w:lineRule="auto"/>
        <w:ind w:left="420" w:leftChars="0"/>
        <w:rPr>
          <w:rFonts w:hint="eastAsia"/>
        </w:rPr>
      </w:pPr>
      <w:r>
        <w:rPr>
          <w:rFonts w:hint="eastAsia" w:asciiTheme="minorEastAsia" w:hAnsiTheme="minorEastAsia" w:cstheme="minorEastAsia"/>
          <w:b/>
          <w:bCs/>
          <w:sz w:val="24"/>
          <w:szCs w:val="24"/>
          <w:lang w:eastAsia="zh-CN"/>
        </w:rPr>
        <w:t>（</w:t>
      </w:r>
      <w:r>
        <w:rPr>
          <w:rFonts w:hint="eastAsia" w:asciiTheme="minorEastAsia" w:hAnsiTheme="minorEastAsia" w:cstheme="minorEastAsia"/>
          <w:b/>
          <w:bCs/>
          <w:sz w:val="24"/>
          <w:szCs w:val="24"/>
          <w:lang w:val="en-US" w:eastAsia="zh-CN"/>
        </w:rPr>
        <w:t>六</w:t>
      </w:r>
      <w:r>
        <w:rPr>
          <w:rFonts w:hint="eastAsia" w:asciiTheme="minorEastAsia" w:hAnsiTheme="minorEastAsia" w:cstheme="minorEastAsia"/>
          <w:b/>
          <w:bCs/>
          <w:sz w:val="24"/>
          <w:szCs w:val="24"/>
          <w:lang w:eastAsia="zh-CN"/>
        </w:rPr>
        <w:t>）</w:t>
      </w:r>
      <w:r>
        <w:rPr>
          <w:rFonts w:hint="eastAsia" w:asciiTheme="minorEastAsia" w:hAnsiTheme="minorEastAsia" w:cstheme="minorEastAsia"/>
          <w:b/>
          <w:bCs/>
          <w:sz w:val="24"/>
          <w:szCs w:val="24"/>
          <w:lang w:val="en-US" w:eastAsia="zh-CN"/>
        </w:rPr>
        <w:t>项目质量保证期限、质保期内售后服务要求</w:t>
      </w:r>
    </w:p>
    <w:p>
      <w:pPr>
        <w:numPr>
          <w:numId w:val="0"/>
        </w:numPr>
        <w:snapToGrid w:val="0"/>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项目实施完成后，符合采购人的要求，通过采购人组织的验收并确认验收合格。本项目的质量维修保养期从确认验收合格之日起计，两年的项目质量免费维修保养期（包含所有材料的费用及更换的人工费），若中标人承诺质保期大于两年的，按中标人承诺执行；</w:t>
      </w:r>
    </w:p>
    <w:p>
      <w:pPr>
        <w:numPr>
          <w:numId w:val="0"/>
        </w:numPr>
        <w:snapToGrid w:val="0"/>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中标人设有维修服务机构，在质保期内对采购人通过电话或书面形式提出的质量问题及维修要求应在2小时内响应，必要时派员上门排除故障，在 24 小时内免费更换有故障的部件或材料。</w:t>
      </w:r>
    </w:p>
    <w:p>
      <w:pPr>
        <w:numPr>
          <w:numId w:val="0"/>
        </w:numPr>
        <w:snapToGrid w:val="0"/>
        <w:spacing w:line="360" w:lineRule="auto"/>
        <w:ind w:firstLine="480" w:firstLineChars="200"/>
        <w:rPr>
          <w:rFonts w:hint="eastAsia"/>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所有保修服务方式均为中标人上门现场维修，由此产生的一切费用均由中标人承担；</w:t>
      </w:r>
      <w:bookmarkStart w:id="0" w:name="_GoBack"/>
      <w:bookmarkEnd w:id="0"/>
    </w:p>
    <w:p>
      <w:pPr>
        <w:numPr>
          <w:numId w:val="0"/>
        </w:numPr>
        <w:snapToGrid w:val="0"/>
        <w:spacing w:line="360" w:lineRule="auto"/>
        <w:ind w:left="420" w:leftChars="0"/>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（七）履约保证金</w:t>
      </w:r>
      <w:r>
        <w:rPr>
          <w:rFonts w:hint="eastAsia" w:asciiTheme="minorEastAsia" w:hAnsiTheme="minorEastAsia" w:cstheme="minorEastAsia"/>
          <w:b/>
          <w:bCs/>
          <w:sz w:val="24"/>
          <w:szCs w:val="24"/>
          <w:lang w:eastAsia="zh-CN"/>
        </w:rPr>
        <w:t>、</w:t>
      </w:r>
      <w:r>
        <w:rPr>
          <w:rFonts w:hint="eastAsia" w:asciiTheme="minorEastAsia" w:hAnsiTheme="minorEastAsia" w:eastAsiaTheme="minorEastAsia" w:cstheme="minorEastAsia"/>
          <w:b/>
          <w:bCs/>
          <w:sz w:val="24"/>
          <w:szCs w:val="24"/>
        </w:rPr>
        <w:t>付款</w:t>
      </w:r>
    </w:p>
    <w:p>
      <w:pPr>
        <w:numPr>
          <w:ilvl w:val="0"/>
          <w:numId w:val="7"/>
        </w:numPr>
        <w:spacing w:line="360" w:lineRule="auto"/>
        <w:ind w:left="0"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合同签订后五个日历日内，中标人须向采购人支付中标价5%的履约保证金。在验收合格并结算后30日内，监狱无息退还保证金</w:t>
      </w:r>
      <w:r>
        <w:rPr>
          <w:rFonts w:hint="eastAsia" w:asciiTheme="minorEastAsia" w:hAnsiTheme="minorEastAsia" w:cstheme="minorEastAsia"/>
          <w:kern w:val="2"/>
          <w:sz w:val="24"/>
          <w:szCs w:val="24"/>
          <w:lang w:val="en-US" w:eastAsia="zh-CN" w:bidi="ar-SA"/>
        </w:rPr>
        <w:t>并按要求付款</w:t>
      </w:r>
      <w:r>
        <w:rPr>
          <w:rFonts w:hint="eastAsia" w:asciiTheme="minorEastAsia" w:hAnsiTheme="minorEastAsia" w:eastAsiaTheme="minorEastAsia" w:cstheme="minorEastAsia"/>
          <w:kern w:val="2"/>
          <w:sz w:val="24"/>
          <w:szCs w:val="24"/>
          <w:lang w:val="en-US" w:eastAsia="zh-CN" w:bidi="ar-SA"/>
        </w:rPr>
        <w:t>。</w:t>
      </w:r>
    </w:p>
    <w:p>
      <w:pPr>
        <w:numPr>
          <w:ilvl w:val="0"/>
          <w:numId w:val="7"/>
        </w:numPr>
        <w:spacing w:line="360" w:lineRule="auto"/>
        <w:ind w:left="0"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付款采用银行转账、银行汇付（含电汇、等方式）。</w:t>
      </w:r>
    </w:p>
    <w:p>
      <w:pPr>
        <w:pStyle w:val="2"/>
        <w:rPr>
          <w:rFonts w:hint="default" w:eastAsiaTheme="minorEastAsia"/>
          <w:lang w:val="en-US" w:eastAsia="zh-CN"/>
        </w:rPr>
      </w:pPr>
      <w:r>
        <w:rPr>
          <w:rFonts w:hint="eastAsia" w:asciiTheme="minorEastAsia" w:hAnsiTheme="minorEastAsia" w:cstheme="minorEastAsia"/>
          <w:b/>
          <w:bCs/>
          <w:sz w:val="24"/>
          <w:szCs w:val="24"/>
          <w:lang w:val="en-US" w:eastAsia="zh-CN"/>
        </w:rPr>
        <w:t>（八）款式图片</w:t>
      </w:r>
    </w:p>
    <w:p>
      <w:pPr>
        <w:pStyle w:val="2"/>
        <w:ind w:firstLine="480" w:firstLineChars="200"/>
        <w:rPr>
          <w:rFonts w:hint="default" w:asciiTheme="minorEastAsia" w:hAnsiTheme="minorEastAsia" w:eastAsiaTheme="minorEastAsia" w:cstheme="minorEastAsia"/>
          <w:kern w:val="2"/>
          <w:sz w:val="24"/>
          <w:szCs w:val="24"/>
          <w:lang w:val="en-US" w:eastAsia="zh-CN" w:bidi="ar-SA"/>
        </w:rPr>
      </w:pPr>
    </w:p>
    <w:p>
      <w:pPr>
        <w:rPr>
          <w:rFonts w:hint="default"/>
          <w:lang w:val="en-US" w:eastAsia="zh-CN"/>
        </w:rPr>
      </w:pPr>
      <w:r>
        <w:drawing>
          <wp:inline distT="0" distB="0" distL="114300" distR="114300">
            <wp:extent cx="5274310" cy="3583940"/>
            <wp:effectExtent l="0" t="0" r="2540" b="165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tretch>
                      <a:fillRect/>
                    </a:stretch>
                  </pic:blipFill>
                  <pic:spPr>
                    <a:xfrm>
                      <a:off x="0" y="0"/>
                      <a:ext cx="5274310" cy="3583940"/>
                    </a:xfrm>
                    <a:prstGeom prst="rect">
                      <a:avLst/>
                    </a:prstGeom>
                    <a:noFill/>
                    <a:ln>
                      <a:noFill/>
                    </a:ln>
                  </pic:spPr>
                </pic:pic>
              </a:graphicData>
            </a:graphic>
          </wp:inline>
        </w:drawing>
      </w:r>
    </w:p>
    <w:p>
      <w:pPr>
        <w:widowControl w:val="0"/>
        <w:numPr>
          <w:ilvl w:val="0"/>
          <w:numId w:val="0"/>
        </w:numPr>
        <w:spacing w:line="360" w:lineRule="auto"/>
        <w:jc w:val="both"/>
        <w:rPr>
          <w:rFonts w:hint="eastAsia" w:asciiTheme="minorEastAsia" w:hAnsiTheme="minorEastAsia" w:eastAsiaTheme="minorEastAsia" w:cstheme="minorEastAsia"/>
          <w:kern w:val="2"/>
          <w:sz w:val="24"/>
          <w:szCs w:val="24"/>
          <w:lang w:val="en-US" w:eastAsia="zh-CN" w:bidi="ar-SA"/>
        </w:rPr>
      </w:pPr>
      <w:r>
        <w:drawing>
          <wp:inline distT="0" distB="0" distL="114300" distR="114300">
            <wp:extent cx="5265420" cy="3385185"/>
            <wp:effectExtent l="0" t="0" r="1143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65420" cy="3385185"/>
                    </a:xfrm>
                    <a:prstGeom prst="rect">
                      <a:avLst/>
                    </a:prstGeom>
                    <a:noFill/>
                    <a:ln>
                      <a:noFill/>
                    </a:ln>
                  </pic:spPr>
                </pic:pic>
              </a:graphicData>
            </a:graphic>
          </wp:inline>
        </w:drawing>
      </w:r>
      <w:r>
        <w:drawing>
          <wp:inline distT="0" distB="0" distL="114300" distR="114300">
            <wp:extent cx="5266055" cy="3513455"/>
            <wp:effectExtent l="0" t="0" r="10795"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66055" cy="3513455"/>
                    </a:xfrm>
                    <a:prstGeom prst="rect">
                      <a:avLst/>
                    </a:prstGeom>
                    <a:noFill/>
                    <a:ln>
                      <a:noFill/>
                    </a:ln>
                  </pic:spPr>
                </pic:pic>
              </a:graphicData>
            </a:graphic>
          </wp:inline>
        </w:drawing>
      </w:r>
      <w:r>
        <w:drawing>
          <wp:inline distT="0" distB="0" distL="114300" distR="114300">
            <wp:extent cx="5272405" cy="3540760"/>
            <wp:effectExtent l="0" t="0" r="444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272405" cy="3540760"/>
                    </a:xfrm>
                    <a:prstGeom prst="rect">
                      <a:avLst/>
                    </a:prstGeom>
                    <a:noFill/>
                    <a:ln>
                      <a:noFill/>
                    </a:ln>
                  </pic:spPr>
                </pic:pic>
              </a:graphicData>
            </a:graphic>
          </wp:inline>
        </w:drawing>
      </w:r>
    </w:p>
    <w:p>
      <w:pPr>
        <w:widowControl w:val="0"/>
        <w:numPr>
          <w:ilvl w:val="0"/>
          <w:numId w:val="0"/>
        </w:numPr>
        <w:spacing w:line="360" w:lineRule="auto"/>
        <w:jc w:val="both"/>
        <w:rPr>
          <w:rFonts w:hint="eastAsia" w:asciiTheme="minorEastAsia" w:hAnsiTheme="minorEastAsia" w:eastAsiaTheme="minorEastAsia" w:cstheme="minorEastAsia"/>
          <w:sz w:val="24"/>
          <w:szCs w:val="24"/>
        </w:rPr>
      </w:pPr>
    </w:p>
    <w:p>
      <w:pPr>
        <w:tabs>
          <w:tab w:val="left" w:pos="621"/>
        </w:tabs>
        <w:bidi w:val="0"/>
        <w:ind w:firstLine="420" w:firstLineChars="20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D62064"/>
    <w:multiLevelType w:val="singleLevel"/>
    <w:tmpl w:val="97D62064"/>
    <w:lvl w:ilvl="0" w:tentative="0">
      <w:start w:val="1"/>
      <w:numFmt w:val="decimal"/>
      <w:suff w:val="nothing"/>
      <w:lvlText w:val="%1．"/>
      <w:lvlJc w:val="left"/>
      <w:pPr>
        <w:ind w:left="0" w:firstLine="400"/>
      </w:pPr>
      <w:rPr>
        <w:rFonts w:hint="default"/>
      </w:rPr>
    </w:lvl>
  </w:abstractNum>
  <w:abstractNum w:abstractNumId="1">
    <w:nsid w:val="CD6BAF38"/>
    <w:multiLevelType w:val="singleLevel"/>
    <w:tmpl w:val="CD6BAF38"/>
    <w:lvl w:ilvl="0" w:tentative="0">
      <w:start w:val="1"/>
      <w:numFmt w:val="chineseCounting"/>
      <w:suff w:val="nothing"/>
      <w:lvlText w:val="%1、"/>
      <w:lvlJc w:val="left"/>
      <w:rPr>
        <w:rFonts w:hint="eastAsia"/>
      </w:rPr>
    </w:lvl>
  </w:abstractNum>
  <w:abstractNum w:abstractNumId="2">
    <w:nsid w:val="FA6BEFF2"/>
    <w:multiLevelType w:val="singleLevel"/>
    <w:tmpl w:val="FA6BEFF2"/>
    <w:lvl w:ilvl="0" w:tentative="0">
      <w:start w:val="1"/>
      <w:numFmt w:val="chineseCounting"/>
      <w:suff w:val="nothing"/>
      <w:lvlText w:val="（%1）"/>
      <w:lvlJc w:val="left"/>
      <w:pPr>
        <w:ind w:left="0" w:firstLine="420"/>
      </w:pPr>
      <w:rPr>
        <w:rFonts w:hint="eastAsia"/>
      </w:rPr>
    </w:lvl>
  </w:abstractNum>
  <w:abstractNum w:abstractNumId="3">
    <w:nsid w:val="148EF6AF"/>
    <w:multiLevelType w:val="singleLevel"/>
    <w:tmpl w:val="148EF6AF"/>
    <w:lvl w:ilvl="0" w:tentative="0">
      <w:start w:val="1"/>
      <w:numFmt w:val="decimal"/>
      <w:suff w:val="nothing"/>
      <w:lvlText w:val="%1．"/>
      <w:lvlJc w:val="left"/>
      <w:pPr>
        <w:ind w:left="0" w:firstLine="400"/>
      </w:pPr>
      <w:rPr>
        <w:rFonts w:hint="default"/>
      </w:rPr>
    </w:lvl>
  </w:abstractNum>
  <w:abstractNum w:abstractNumId="4">
    <w:nsid w:val="20A574A2"/>
    <w:multiLevelType w:val="singleLevel"/>
    <w:tmpl w:val="20A574A2"/>
    <w:lvl w:ilvl="0" w:tentative="0">
      <w:start w:val="1"/>
      <w:numFmt w:val="decimal"/>
      <w:suff w:val="nothing"/>
      <w:lvlText w:val="%1．"/>
      <w:lvlJc w:val="left"/>
      <w:pPr>
        <w:ind w:left="0" w:firstLine="400"/>
      </w:pPr>
      <w:rPr>
        <w:rFonts w:hint="default"/>
      </w:rPr>
    </w:lvl>
  </w:abstractNum>
  <w:abstractNum w:abstractNumId="5">
    <w:nsid w:val="5008B348"/>
    <w:multiLevelType w:val="singleLevel"/>
    <w:tmpl w:val="5008B348"/>
    <w:lvl w:ilvl="0" w:tentative="0">
      <w:start w:val="1"/>
      <w:numFmt w:val="decimal"/>
      <w:suff w:val="nothing"/>
      <w:lvlText w:val="%1．"/>
      <w:lvlJc w:val="left"/>
      <w:pPr>
        <w:ind w:left="0" w:firstLine="400"/>
      </w:pPr>
      <w:rPr>
        <w:rFonts w:hint="default"/>
      </w:rPr>
    </w:lvl>
  </w:abstractNum>
  <w:abstractNum w:abstractNumId="6">
    <w:nsid w:val="62554A78"/>
    <w:multiLevelType w:val="singleLevel"/>
    <w:tmpl w:val="62554A78"/>
    <w:lvl w:ilvl="0" w:tentative="0">
      <w:start w:val="1"/>
      <w:numFmt w:val="decimal"/>
      <w:suff w:val="nothing"/>
      <w:lvlText w:val="%1．"/>
      <w:lvlJc w:val="left"/>
      <w:pPr>
        <w:ind w:left="0" w:firstLine="400"/>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86351"/>
    <w:rsid w:val="1324277C"/>
    <w:rsid w:val="33EC5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oa heading"/>
    <w:basedOn w:val="1"/>
    <w:next w:val="1"/>
    <w:qFormat/>
    <w:uiPriority w:val="0"/>
    <w:rPr>
      <w:rFonts w:ascii="Arial" w:hAnsi="Arial"/>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候良业</cp:lastModifiedBy>
  <dcterms:modified xsi:type="dcterms:W3CDTF">2024-09-24T08:05:18Z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