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-7" w:leftChars="0" w:firstLine="8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eastAsia="黑体" w:cs="Tahoma"/>
          <w:b/>
          <w:kern w:val="0"/>
          <w:sz w:val="44"/>
          <w:szCs w:val="44"/>
        </w:rPr>
      </w:pPr>
      <w:r>
        <w:rPr>
          <w:rFonts w:hint="eastAsia" w:ascii="黑体" w:eastAsia="黑体" w:cs="Tahoma"/>
          <w:b/>
          <w:kern w:val="0"/>
          <w:sz w:val="44"/>
          <w:szCs w:val="44"/>
        </w:rPr>
        <w:t>代理机构承诺书</w:t>
      </w:r>
    </w:p>
    <w:p>
      <w:pPr>
        <w:rPr>
          <w:rFonts w:ascii="宋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肇庆监狱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,同时作出如下承诺：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近3年未在经营活动中出现重大违法记录。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二、近3年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未被省属监狱单位处以退库处理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所提供的材料真实有效,且没有遗漏或隐瞒其他重要相关信息。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、无故不拒绝接受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贵单位所有采购项目委托代理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、依法尽职完成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的委托事项,为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提供优质服务。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代理活动中严格遵守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政府采购及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招投标相关法律法规,确保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活动公开、公正、公平进行。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肇庆监狱关于采购相关管理规定和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或授权人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(签字)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单位(公章)</w:t>
      </w: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候良业</cp:lastModifiedBy>
  <dcterms:modified xsi:type="dcterms:W3CDTF">2024-08-01T07:49:18Z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