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CCE49" w14:textId="77777777" w:rsidR="00920775" w:rsidRDefault="00000000">
      <w:pPr>
        <w:pStyle w:val="a7"/>
        <w:tabs>
          <w:tab w:val="left" w:pos="540"/>
        </w:tabs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 w:cs="仿宋_GB2312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b/>
          <w:bCs/>
          <w:sz w:val="44"/>
          <w:szCs w:val="44"/>
        </w:rPr>
        <w:t>广东省广裕集团</w:t>
      </w:r>
      <w:proofErr w:type="gramStart"/>
      <w:r>
        <w:rPr>
          <w:rFonts w:asciiTheme="minorEastAsia" w:eastAsiaTheme="minorEastAsia" w:hAnsiTheme="minorEastAsia" w:cs="仿宋_GB2312" w:hint="eastAsia"/>
          <w:b/>
          <w:bCs/>
          <w:sz w:val="44"/>
          <w:szCs w:val="44"/>
        </w:rPr>
        <w:t>肇</w:t>
      </w:r>
      <w:proofErr w:type="gramEnd"/>
      <w:r>
        <w:rPr>
          <w:rFonts w:asciiTheme="minorEastAsia" w:eastAsiaTheme="minorEastAsia" w:hAnsiTheme="minorEastAsia" w:cs="仿宋_GB2312" w:hint="eastAsia"/>
          <w:b/>
          <w:bCs/>
          <w:sz w:val="44"/>
          <w:szCs w:val="44"/>
        </w:rPr>
        <w:t>庆祥达实业有限公司消防防火门维修定点采购项目合同</w:t>
      </w:r>
    </w:p>
    <w:p w14:paraId="48C297E4" w14:textId="77777777" w:rsidR="00920775" w:rsidRDefault="00920775">
      <w:pPr>
        <w:pStyle w:val="a7"/>
        <w:tabs>
          <w:tab w:val="left" w:pos="540"/>
        </w:tabs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 w:cs="仿宋_GB2312"/>
          <w:b/>
          <w:bCs/>
          <w:sz w:val="44"/>
          <w:szCs w:val="44"/>
        </w:rPr>
      </w:pPr>
    </w:p>
    <w:p w14:paraId="6C49E9B5" w14:textId="77777777" w:rsidR="00920775" w:rsidRDefault="00000000">
      <w:pPr>
        <w:pStyle w:val="a7"/>
        <w:tabs>
          <w:tab w:val="left" w:pos="540"/>
        </w:tabs>
        <w:adjustRightInd w:val="0"/>
        <w:snapToGrid w:val="0"/>
        <w:spacing w:line="360" w:lineRule="auto"/>
        <w:rPr>
          <w:rFonts w:asciiTheme="minorEastAsia" w:eastAsia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b/>
          <w:bCs/>
          <w:sz w:val="24"/>
          <w:szCs w:val="24"/>
        </w:rPr>
        <w:t>甲方（采购方）：</w:t>
      </w:r>
      <w:r>
        <w:rPr>
          <w:rFonts w:asciiTheme="minorEastAsia" w:eastAsiaTheme="minorEastAsia" w:hAnsiTheme="minorEastAsia" w:cs="仿宋_GB2312" w:hint="eastAsia"/>
          <w:b/>
          <w:bCs/>
          <w:sz w:val="24"/>
          <w:szCs w:val="24"/>
          <w:u w:val="single"/>
        </w:rPr>
        <w:t>广东省广裕集团</w:t>
      </w:r>
      <w:proofErr w:type="gramStart"/>
      <w:r>
        <w:rPr>
          <w:rFonts w:asciiTheme="minorEastAsia" w:eastAsiaTheme="minorEastAsia" w:hAnsiTheme="minorEastAsia" w:cs="仿宋_GB2312" w:hint="eastAsia"/>
          <w:b/>
          <w:bCs/>
          <w:sz w:val="24"/>
          <w:szCs w:val="24"/>
          <w:u w:val="single"/>
        </w:rPr>
        <w:t>肇</w:t>
      </w:r>
      <w:proofErr w:type="gramEnd"/>
      <w:r>
        <w:rPr>
          <w:rFonts w:asciiTheme="minorEastAsia" w:eastAsiaTheme="minorEastAsia" w:hAnsiTheme="minorEastAsia" w:cs="仿宋_GB2312" w:hint="eastAsia"/>
          <w:b/>
          <w:bCs/>
          <w:sz w:val="24"/>
          <w:szCs w:val="24"/>
          <w:u w:val="single"/>
        </w:rPr>
        <w:t>庆祥达实业有限公司</w:t>
      </w:r>
    </w:p>
    <w:p w14:paraId="6A97A376" w14:textId="77777777" w:rsidR="00920775" w:rsidRDefault="00000000">
      <w:pPr>
        <w:pStyle w:val="a7"/>
        <w:tabs>
          <w:tab w:val="left" w:pos="540"/>
        </w:tabs>
        <w:adjustRightInd w:val="0"/>
        <w:snapToGrid w:val="0"/>
        <w:spacing w:line="360" w:lineRule="auto"/>
        <w:rPr>
          <w:rFonts w:asciiTheme="minorEastAsia" w:eastAsiaTheme="minorEastAsia" w:hAnsiTheme="minorEastAsia" w:cs="仿宋_GB2312"/>
          <w:b/>
          <w:bCs/>
          <w:sz w:val="24"/>
          <w:szCs w:val="24"/>
          <w:u w:val="single"/>
        </w:rPr>
      </w:pPr>
      <w:r>
        <w:rPr>
          <w:rFonts w:asciiTheme="minorEastAsia" w:eastAsiaTheme="minorEastAsia" w:hAnsiTheme="minorEastAsia" w:cs="仿宋_GB2312" w:hint="eastAsia"/>
          <w:b/>
          <w:bCs/>
          <w:sz w:val="24"/>
          <w:szCs w:val="24"/>
        </w:rPr>
        <w:t>乙方（供货方）：</w:t>
      </w:r>
      <w:r>
        <w:rPr>
          <w:rFonts w:asciiTheme="minorEastAsia" w:eastAsiaTheme="minorEastAsia" w:hAnsiTheme="minorEastAsia" w:cs="仿宋_GB2312" w:hint="eastAsia"/>
          <w:b/>
          <w:bCs/>
          <w:sz w:val="24"/>
          <w:szCs w:val="24"/>
          <w:u w:val="single"/>
        </w:rPr>
        <w:t xml:space="preserve">        </w:t>
      </w:r>
    </w:p>
    <w:p w14:paraId="5666D67C" w14:textId="77777777" w:rsidR="00920775" w:rsidRDefault="00000000">
      <w:pPr>
        <w:pStyle w:val="a7"/>
        <w:tabs>
          <w:tab w:val="left" w:pos="540"/>
        </w:tabs>
        <w:adjustRightInd w:val="0"/>
        <w:snapToGrid w:val="0"/>
        <w:spacing w:line="360" w:lineRule="auto"/>
        <w:rPr>
          <w:rFonts w:asciiTheme="minorEastAsia" w:eastAsiaTheme="minorEastAsia" w:hAnsiTheme="minorEastAsia" w:cs="仿宋_GB2312"/>
          <w:b/>
          <w:bCs/>
          <w:sz w:val="24"/>
          <w:szCs w:val="24"/>
          <w:u w:val="single"/>
        </w:rPr>
      </w:pPr>
      <w:r>
        <w:rPr>
          <w:rFonts w:asciiTheme="minorEastAsia" w:eastAsiaTheme="minorEastAsia" w:hAnsiTheme="minorEastAsia" w:cs="仿宋_GB2312" w:hint="eastAsia"/>
          <w:b/>
          <w:bCs/>
          <w:sz w:val="24"/>
          <w:szCs w:val="24"/>
        </w:rPr>
        <w:t>签订日期：</w:t>
      </w:r>
      <w:r>
        <w:rPr>
          <w:rFonts w:asciiTheme="minorEastAsia" w:eastAsiaTheme="minorEastAsia" w:hAnsiTheme="minorEastAsia" w:cs="仿宋_GB2312" w:hint="eastAsia"/>
          <w:b/>
          <w:bCs/>
          <w:sz w:val="24"/>
          <w:szCs w:val="24"/>
          <w:u w:val="single"/>
        </w:rPr>
        <w:t>2024年  月  日</w:t>
      </w:r>
    </w:p>
    <w:p w14:paraId="423F2D1C" w14:textId="77777777" w:rsidR="00920775" w:rsidRDefault="00920775">
      <w:pPr>
        <w:pStyle w:val="a7"/>
        <w:tabs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仿宋_GB2312" w:cs="仿宋_GB2312"/>
          <w:b/>
          <w:bCs/>
          <w:sz w:val="24"/>
          <w:szCs w:val="24"/>
          <w:u w:val="single"/>
        </w:rPr>
      </w:pPr>
    </w:p>
    <w:p w14:paraId="0CB271C1" w14:textId="77777777" w:rsidR="00920775" w:rsidRDefault="00920775">
      <w:pPr>
        <w:pStyle w:val="a7"/>
        <w:tabs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仿宋_GB2312" w:cs="仿宋_GB2312"/>
          <w:b/>
          <w:bCs/>
          <w:sz w:val="24"/>
          <w:szCs w:val="24"/>
        </w:rPr>
      </w:pPr>
    </w:p>
    <w:p w14:paraId="34C29FC7" w14:textId="77777777" w:rsidR="00920775" w:rsidRDefault="00000000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仿宋_GB2312"/>
          <w:b/>
          <w:bCs/>
          <w:sz w:val="24"/>
          <w:szCs w:val="24"/>
        </w:rPr>
      </w:pPr>
      <w:r>
        <w:rPr>
          <w:rFonts w:hAnsi="宋体" w:cs="仿宋_GB2312" w:hint="eastAsia"/>
          <w:b/>
          <w:bCs/>
          <w:sz w:val="24"/>
          <w:szCs w:val="24"/>
        </w:rPr>
        <w:t>项目一览表</w:t>
      </w:r>
    </w:p>
    <w:tbl>
      <w:tblPr>
        <w:tblW w:w="93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993"/>
        <w:gridCol w:w="2980"/>
        <w:gridCol w:w="2972"/>
      </w:tblGrid>
      <w:tr w:rsidR="00920775" w14:paraId="18326D18" w14:textId="77777777">
        <w:trPr>
          <w:trHeight w:val="513"/>
          <w:jc w:val="center"/>
        </w:trPr>
        <w:tc>
          <w:tcPr>
            <w:tcW w:w="2381" w:type="dxa"/>
            <w:shd w:val="clear" w:color="auto" w:fill="EEECE1"/>
            <w:vAlign w:val="center"/>
          </w:tcPr>
          <w:p w14:paraId="297864A5" w14:textId="77777777" w:rsidR="00920775" w:rsidRDefault="00000000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993" w:type="dxa"/>
            <w:shd w:val="clear" w:color="auto" w:fill="EEECE1"/>
            <w:vAlign w:val="center"/>
          </w:tcPr>
          <w:p w14:paraId="0AB9CF22" w14:textId="77777777" w:rsidR="00920775" w:rsidRDefault="00000000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2980" w:type="dxa"/>
            <w:shd w:val="clear" w:color="auto" w:fill="EEECE1"/>
            <w:vAlign w:val="center"/>
          </w:tcPr>
          <w:p w14:paraId="154BFFE1" w14:textId="46AF74ED" w:rsidR="00920775" w:rsidRDefault="00000000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b/>
                <w:sz w:val="24"/>
                <w:szCs w:val="24"/>
              </w:rPr>
              <w:t>合同期限</w:t>
            </w:r>
          </w:p>
        </w:tc>
        <w:tc>
          <w:tcPr>
            <w:tcW w:w="2972" w:type="dxa"/>
            <w:shd w:val="clear" w:color="auto" w:fill="EEECE1"/>
            <w:vAlign w:val="center"/>
          </w:tcPr>
          <w:p w14:paraId="46A73894" w14:textId="7D8A700F" w:rsidR="00920775" w:rsidRDefault="00000000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b/>
                <w:color w:val="000000" w:themeColor="text1"/>
                <w:sz w:val="24"/>
                <w:szCs w:val="24"/>
              </w:rPr>
              <w:t>合同金额（含税）</w:t>
            </w:r>
          </w:p>
        </w:tc>
      </w:tr>
      <w:tr w:rsidR="00920775" w14:paraId="49187048" w14:textId="77777777" w:rsidTr="00374F40">
        <w:trPr>
          <w:trHeight w:val="673"/>
          <w:jc w:val="center"/>
        </w:trPr>
        <w:tc>
          <w:tcPr>
            <w:tcW w:w="2381" w:type="dxa"/>
            <w:vAlign w:val="center"/>
          </w:tcPr>
          <w:p w14:paraId="618FF7B3" w14:textId="77777777" w:rsidR="00920775" w:rsidRDefault="00000000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广东省广裕集团</w:t>
            </w:r>
            <w:proofErr w:type="gramStart"/>
            <w:r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肇</w:t>
            </w:r>
            <w:proofErr w:type="gramEnd"/>
            <w:r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庆祥达实业有限公司消防防火门维修定点采购项目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1E80E4" w14:textId="77777777" w:rsidR="00920775" w:rsidRDefault="00000000">
            <w:pPr>
              <w:autoSpaceDE w:val="0"/>
              <w:spacing w:line="360" w:lineRule="auto"/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1项</w:t>
            </w:r>
          </w:p>
        </w:tc>
        <w:tc>
          <w:tcPr>
            <w:tcW w:w="2980" w:type="dxa"/>
            <w:vAlign w:val="center"/>
          </w:tcPr>
          <w:p w14:paraId="0C439621" w14:textId="77777777" w:rsidR="00920775" w:rsidRDefault="00000000">
            <w:pPr>
              <w:pStyle w:val="af8"/>
              <w:autoSpaceDE w:val="0"/>
              <w:spacing w:before="0" w:after="0" w:line="360" w:lineRule="auto"/>
              <w:rPr>
                <w:rFonts w:ascii="宋体" w:hAnsi="宋体" w:cs="仿宋_GB2312"/>
                <w:snapToGrid/>
                <w:color w:val="000000" w:themeColor="text1"/>
                <w:spacing w:val="0"/>
                <w:kern w:val="2"/>
                <w:szCs w:val="24"/>
              </w:rPr>
            </w:pPr>
            <w:r>
              <w:rPr>
                <w:rFonts w:ascii="宋体" w:hAnsi="宋体" w:cs="仿宋_GB2312" w:hint="eastAsia"/>
                <w:snapToGrid/>
                <w:color w:val="000000" w:themeColor="text1"/>
                <w:spacing w:val="0"/>
                <w:kern w:val="2"/>
                <w:szCs w:val="24"/>
              </w:rPr>
              <w:t>自合同签订之日起1年或甲方累计采购量达到合同金额后合同期限结束，以先到者为准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17E327AA" w14:textId="77777777" w:rsidR="00920775" w:rsidRPr="0047137B" w:rsidRDefault="00000000" w:rsidP="00374F40">
            <w:pPr>
              <w:pStyle w:val="TOC1"/>
              <w:spacing w:line="360" w:lineRule="auto"/>
              <w:jc w:val="center"/>
              <w:rPr>
                <w:rFonts w:ascii="宋体" w:eastAsia="宋体" w:hAnsi="宋体" w:cs="仿宋_GB2312"/>
                <w:b w:val="0"/>
                <w:bCs/>
                <w:szCs w:val="24"/>
              </w:rPr>
            </w:pPr>
            <w:r w:rsidRPr="0047137B">
              <w:rPr>
                <w:rFonts w:ascii="宋体" w:eastAsia="宋体" w:hAnsi="宋体" w:hint="eastAsia"/>
                <w:b w:val="0"/>
                <w:bCs/>
                <w:color w:val="000000"/>
                <w:szCs w:val="21"/>
              </w:rPr>
              <w:t>人民</w:t>
            </w:r>
            <w:r w:rsidRPr="0047137B">
              <w:rPr>
                <w:rFonts w:ascii="宋体" w:eastAsia="宋体" w:hAnsi="宋体" w:hint="eastAsia"/>
                <w:b w:val="0"/>
                <w:bCs/>
                <w:szCs w:val="21"/>
              </w:rPr>
              <w:t>币180,000.00</w:t>
            </w:r>
            <w:r w:rsidRPr="0047137B">
              <w:rPr>
                <w:rFonts w:ascii="宋体" w:eastAsia="宋体" w:hAnsi="宋体" w:hint="eastAsia"/>
                <w:b w:val="0"/>
                <w:bCs/>
                <w:color w:val="000000"/>
                <w:szCs w:val="21"/>
              </w:rPr>
              <w:t>元</w:t>
            </w:r>
          </w:p>
        </w:tc>
      </w:tr>
    </w:tbl>
    <w:p w14:paraId="49984C04" w14:textId="77777777" w:rsidR="00920775" w:rsidRDefault="00000000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仿宋_GB2312"/>
          <w:b/>
          <w:bCs/>
          <w:sz w:val="24"/>
          <w:szCs w:val="24"/>
        </w:rPr>
      </w:pPr>
      <w:r>
        <w:rPr>
          <w:rFonts w:hAnsi="宋体" w:cs="仿宋_GB2312" w:hint="eastAsia"/>
          <w:b/>
          <w:bCs/>
          <w:sz w:val="24"/>
          <w:szCs w:val="24"/>
        </w:rPr>
        <w:t>项目概况</w:t>
      </w:r>
    </w:p>
    <w:p w14:paraId="72A90D1E" w14:textId="77777777" w:rsidR="00920775" w:rsidRDefault="00000000">
      <w:pPr>
        <w:pStyle w:val="2"/>
        <w:numPr>
          <w:ilvl w:val="0"/>
          <w:numId w:val="5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本项目是广东省广裕集团</w:t>
      </w:r>
      <w:proofErr w:type="gramStart"/>
      <w:r>
        <w:rPr>
          <w:rFonts w:hint="eastAsia"/>
          <w:sz w:val="24"/>
          <w:szCs w:val="24"/>
        </w:rPr>
        <w:t>肇</w:t>
      </w:r>
      <w:proofErr w:type="gramEnd"/>
      <w:r>
        <w:rPr>
          <w:rFonts w:hint="eastAsia"/>
          <w:sz w:val="24"/>
          <w:szCs w:val="24"/>
        </w:rPr>
        <w:t>庆祥达实业有限公司消防防火门维修定点采购项目，项目内容为消防防火门（附带相关零部件）更换，详细规格见附件《消防防火门维修定点采购项目价格清单》。</w:t>
      </w:r>
    </w:p>
    <w:p w14:paraId="5A6925AB" w14:textId="2D07FF30" w:rsidR="00920775" w:rsidRDefault="00000000">
      <w:pPr>
        <w:pStyle w:val="2"/>
        <w:numPr>
          <w:ilvl w:val="0"/>
          <w:numId w:val="5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本项目所需货物按甲方实际需求进行供应，</w:t>
      </w:r>
      <w:r>
        <w:rPr>
          <w:rFonts w:hint="eastAsia"/>
          <w:sz w:val="24"/>
          <w:szCs w:val="24"/>
        </w:rPr>
        <w:t>采购预算金额</w:t>
      </w:r>
      <w:r>
        <w:rPr>
          <w:rFonts w:hint="eastAsia"/>
          <w:bCs/>
          <w:sz w:val="24"/>
          <w:szCs w:val="24"/>
        </w:rPr>
        <w:t>18万元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采购数量以甲方实际需求为准，按实结算，合同服务期限为</w:t>
      </w:r>
      <w:r>
        <w:rPr>
          <w:rFonts w:hint="eastAsia"/>
          <w:color w:val="000000"/>
          <w:sz w:val="24"/>
          <w:szCs w:val="24"/>
        </w:rPr>
        <w:t>自合同签订之日起1年或甲方累计采购量达到合同金额后合同期限结束，以先到者为准</w:t>
      </w:r>
      <w:r>
        <w:rPr>
          <w:rFonts w:hint="eastAsia"/>
          <w:sz w:val="24"/>
          <w:szCs w:val="24"/>
        </w:rPr>
        <w:t>。甲方不保证一年的总结算金额达到本项目</w:t>
      </w:r>
      <w:r>
        <w:rPr>
          <w:rFonts w:hint="eastAsia"/>
          <w:sz w:val="24"/>
          <w:szCs w:val="24"/>
        </w:rPr>
        <w:t>采购预算金额人民币</w:t>
      </w:r>
      <w:r>
        <w:rPr>
          <w:rFonts w:hint="eastAsia"/>
          <w:sz w:val="24"/>
          <w:szCs w:val="24"/>
          <w:u w:val="single"/>
        </w:rPr>
        <w:t>1</w:t>
      </w:r>
      <w:r>
        <w:rPr>
          <w:rFonts w:hint="eastAsia"/>
          <w:bCs/>
          <w:sz w:val="24"/>
          <w:szCs w:val="24"/>
          <w:u w:val="single"/>
        </w:rPr>
        <w:t>80,000.00元。</w:t>
      </w:r>
    </w:p>
    <w:p w14:paraId="066EFC1F" w14:textId="77777777" w:rsidR="00920775" w:rsidRDefault="00000000">
      <w:pPr>
        <w:pStyle w:val="2"/>
        <w:numPr>
          <w:ilvl w:val="0"/>
          <w:numId w:val="5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本项目采购内容详见《消防防火门维修定点采购项目价格清单》，合同签订单价为：单价最高限价*（1-成交下浮率）。</w:t>
      </w:r>
    </w:p>
    <w:p w14:paraId="6ACAED5A" w14:textId="77777777" w:rsidR="00920775" w:rsidRDefault="00000000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仿宋_GB2312"/>
          <w:b/>
          <w:sz w:val="24"/>
          <w:szCs w:val="24"/>
        </w:rPr>
      </w:pPr>
      <w:r>
        <w:rPr>
          <w:rFonts w:hAnsi="宋体" w:cs="仿宋_GB2312" w:hint="eastAsia"/>
          <w:b/>
          <w:bCs/>
          <w:sz w:val="24"/>
          <w:szCs w:val="24"/>
        </w:rPr>
        <w:t>供应形式及交货时间</w:t>
      </w:r>
    </w:p>
    <w:p w14:paraId="06008977" w14:textId="77777777" w:rsidR="00920775" w:rsidRDefault="00000000">
      <w:pPr>
        <w:pStyle w:val="2"/>
        <w:numPr>
          <w:ilvl w:val="0"/>
          <w:numId w:val="6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甲方采取少量库存管理的方式，甲方将采购计划的物资品种、数量通知乙方，</w:t>
      </w:r>
      <w:r>
        <w:rPr>
          <w:rFonts w:hint="eastAsia"/>
          <w:sz w:val="24"/>
          <w:szCs w:val="24"/>
        </w:rPr>
        <w:lastRenderedPageBreak/>
        <w:t>在接到甲方通知(电传)后，乙方必须在</w:t>
      </w:r>
      <w:r>
        <w:rPr>
          <w:rFonts w:hint="eastAsia"/>
          <w:b/>
          <w:bCs/>
          <w:sz w:val="24"/>
          <w:szCs w:val="24"/>
          <w:u w:val="single"/>
        </w:rPr>
        <w:t xml:space="preserve"> 5个工作日</w:t>
      </w:r>
      <w:r>
        <w:rPr>
          <w:rFonts w:hint="eastAsia"/>
          <w:sz w:val="24"/>
          <w:szCs w:val="24"/>
        </w:rPr>
        <w:t>内上门进行复尺确认，</w:t>
      </w:r>
      <w:r>
        <w:rPr>
          <w:rFonts w:hint="eastAsia"/>
          <w:b/>
          <w:bCs/>
          <w:sz w:val="24"/>
          <w:szCs w:val="24"/>
          <w:u w:val="single"/>
        </w:rPr>
        <w:t xml:space="preserve"> 15个工作日</w:t>
      </w:r>
      <w:r>
        <w:rPr>
          <w:rFonts w:hint="eastAsia"/>
          <w:sz w:val="24"/>
          <w:szCs w:val="24"/>
        </w:rPr>
        <w:t xml:space="preserve">内送货上门并完成安装。 </w:t>
      </w:r>
    </w:p>
    <w:p w14:paraId="5DA63FC5" w14:textId="77777777" w:rsidR="00920775" w:rsidRDefault="00000000">
      <w:pPr>
        <w:pStyle w:val="2"/>
        <w:numPr>
          <w:ilvl w:val="0"/>
          <w:numId w:val="6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交货时间：交货必须在甲方正常上班时间(除法定节假日)。</w:t>
      </w:r>
    </w:p>
    <w:p w14:paraId="4DE9427B" w14:textId="77777777" w:rsidR="00920775" w:rsidRDefault="00000000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/>
          <w:b/>
          <w:bCs/>
          <w:color w:val="000000" w:themeColor="text1"/>
          <w:sz w:val="24"/>
          <w:szCs w:val="24"/>
        </w:rPr>
      </w:pPr>
      <w:r>
        <w:rPr>
          <w:rFonts w:hAnsi="宋体" w:cs="宋体" w:hint="eastAsia"/>
          <w:b/>
          <w:bCs/>
          <w:color w:val="000000" w:themeColor="text1"/>
          <w:sz w:val="24"/>
          <w:szCs w:val="24"/>
        </w:rPr>
        <w:t>运作程序</w:t>
      </w:r>
    </w:p>
    <w:p w14:paraId="08A84154" w14:textId="77777777" w:rsidR="00920775" w:rsidRDefault="00000000">
      <w:pPr>
        <w:pStyle w:val="2"/>
        <w:numPr>
          <w:ilvl w:val="0"/>
          <w:numId w:val="7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甲方和乙方在签订本项目合同时确定品牌/厂家（需经甲方确认及同意），乙方须按照本项目合同要求提供货物，且验收时提供的产品必须具有3C消防认证及消防</w:t>
      </w:r>
      <w:proofErr w:type="gramStart"/>
      <w:r>
        <w:rPr>
          <w:rFonts w:hint="eastAsia"/>
          <w:sz w:val="24"/>
          <w:szCs w:val="24"/>
        </w:rPr>
        <w:t>防</w:t>
      </w:r>
      <w:proofErr w:type="gramEnd"/>
      <w:r>
        <w:rPr>
          <w:rFonts w:hint="eastAsia"/>
          <w:sz w:val="24"/>
          <w:szCs w:val="24"/>
        </w:rPr>
        <w:t>伪码。</w:t>
      </w:r>
    </w:p>
    <w:p w14:paraId="39DEE26C" w14:textId="77777777" w:rsidR="00920775" w:rsidRDefault="00000000">
      <w:pPr>
        <w:pStyle w:val="2"/>
        <w:numPr>
          <w:ilvl w:val="0"/>
          <w:numId w:val="7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乙方送货前应提前通知甲方，以便甲方做好接收验货工作；如遇甲方有特殊原因须改期收货时，应及时通知乙方推迟送货。</w:t>
      </w:r>
    </w:p>
    <w:p w14:paraId="36A117D6" w14:textId="77777777" w:rsidR="00920775" w:rsidRDefault="00000000">
      <w:pPr>
        <w:pStyle w:val="2"/>
        <w:numPr>
          <w:ilvl w:val="0"/>
          <w:numId w:val="7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乙方经核实订单后，如某些商品或规格市场上已经不再生产、流通导致无货可供的，应提前两天以书面形式告知甲方，并提供有效的断货证明材料。乙方需保证提供不低于同类型产品质量及价格的新货品种类。</w:t>
      </w:r>
    </w:p>
    <w:p w14:paraId="5D1C34F9" w14:textId="77777777" w:rsidR="00920775" w:rsidRDefault="00000000">
      <w:pPr>
        <w:pStyle w:val="2"/>
        <w:numPr>
          <w:ilvl w:val="0"/>
          <w:numId w:val="7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因乙方声称某些商品或规格等市场不再生产、供应流通，无法供应、但又不能提供有效证明材料时，甲方有权自行采购同等质量的货物，由此造成的经济损失和责任均由乙方承担，并承担违约责任。</w:t>
      </w:r>
    </w:p>
    <w:p w14:paraId="1E291232" w14:textId="77777777" w:rsidR="00920775" w:rsidRDefault="00000000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/>
          <w:b/>
          <w:bCs/>
          <w:color w:val="000000" w:themeColor="text1"/>
          <w:sz w:val="24"/>
          <w:szCs w:val="24"/>
        </w:rPr>
      </w:pPr>
      <w:r>
        <w:rPr>
          <w:rFonts w:hAnsi="宋体" w:hint="eastAsia"/>
          <w:b/>
          <w:bCs/>
          <w:sz w:val="24"/>
          <w:szCs w:val="24"/>
        </w:rPr>
        <w:t>验收方法</w:t>
      </w:r>
    </w:p>
    <w:p w14:paraId="28ABC48F" w14:textId="77777777" w:rsidR="00920775" w:rsidRDefault="00000000">
      <w:pPr>
        <w:pStyle w:val="2"/>
        <w:numPr>
          <w:ilvl w:val="0"/>
          <w:numId w:val="8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甲方检查验收时，发现有下列情形的，应当拒收：</w:t>
      </w:r>
    </w:p>
    <w:p w14:paraId="60A064DC" w14:textId="77777777" w:rsidR="00920775" w:rsidRDefault="00000000">
      <w:pPr>
        <w:pStyle w:val="2"/>
        <w:numPr>
          <w:ilvl w:val="0"/>
          <w:numId w:val="9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未经甲方同意，乙方擅自变更商品名称或品牌、产地、规格、型号等商品实质内容的；</w:t>
      </w:r>
    </w:p>
    <w:p w14:paraId="044A2DA2" w14:textId="77777777" w:rsidR="00920775" w:rsidRDefault="00000000">
      <w:pPr>
        <w:pStyle w:val="2"/>
        <w:numPr>
          <w:ilvl w:val="0"/>
          <w:numId w:val="9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货物不符合规格、重(含)量、标准等验收要求的；</w:t>
      </w:r>
    </w:p>
    <w:p w14:paraId="2CC54DEF" w14:textId="77777777" w:rsidR="00920775" w:rsidRDefault="00000000">
      <w:pPr>
        <w:pStyle w:val="2"/>
        <w:numPr>
          <w:ilvl w:val="0"/>
          <w:numId w:val="9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外包装上无产地、品牌等商品必备标识的；</w:t>
      </w:r>
    </w:p>
    <w:p w14:paraId="284B9880" w14:textId="77777777" w:rsidR="00920775" w:rsidRDefault="00000000">
      <w:pPr>
        <w:pStyle w:val="2"/>
        <w:numPr>
          <w:ilvl w:val="0"/>
          <w:numId w:val="9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乙方提供或夹带、附送假冒伪劣、变质商品的；</w:t>
      </w:r>
    </w:p>
    <w:p w14:paraId="772635B2" w14:textId="77777777" w:rsidR="00920775" w:rsidRDefault="00000000">
      <w:pPr>
        <w:pStyle w:val="2"/>
        <w:numPr>
          <w:ilvl w:val="0"/>
          <w:numId w:val="8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甲方在收取货两天内发现货物不合格的，有权退货。乙方应当在甲方限期内重新提供符合要求的货品。</w:t>
      </w:r>
    </w:p>
    <w:p w14:paraId="0FE6EDA5" w14:textId="77777777" w:rsidR="00920775" w:rsidRDefault="00000000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/>
          <w:b/>
          <w:bCs/>
          <w:color w:val="000000" w:themeColor="text1"/>
          <w:sz w:val="24"/>
          <w:szCs w:val="24"/>
        </w:rPr>
      </w:pPr>
      <w:r>
        <w:rPr>
          <w:rFonts w:hAnsi="宋体" w:hint="eastAsia"/>
          <w:b/>
          <w:bCs/>
          <w:sz w:val="24"/>
          <w:szCs w:val="24"/>
        </w:rPr>
        <w:t>质量保证</w:t>
      </w:r>
    </w:p>
    <w:p w14:paraId="29378FB6" w14:textId="77777777" w:rsidR="00920775" w:rsidRDefault="00000000">
      <w:pPr>
        <w:pStyle w:val="2"/>
        <w:numPr>
          <w:ilvl w:val="0"/>
          <w:numId w:val="10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乙方不得供应或夹带、附送假冒伪劣、变质商品，有标注生产日期的货物，生产日期应在供货日前3个月内。</w:t>
      </w:r>
    </w:p>
    <w:p w14:paraId="5390F881" w14:textId="77777777" w:rsidR="00920775" w:rsidRDefault="00000000">
      <w:pPr>
        <w:pStyle w:val="2"/>
        <w:numPr>
          <w:ilvl w:val="0"/>
          <w:numId w:val="10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乙方所送商品必须符合国家质量标准。双方对质量有争议，如需将货物送至具有资质的质量检测机构检测的，若检测结果合格，检测费用由甲方支付。</w:t>
      </w:r>
      <w:r>
        <w:rPr>
          <w:rFonts w:hint="eastAsia"/>
          <w:sz w:val="24"/>
          <w:szCs w:val="24"/>
        </w:rPr>
        <w:lastRenderedPageBreak/>
        <w:t>若检测结果不合格，则检测费用由乙方支付。甲方将该批次货物退货，乙方重新配送合格物资外，乙方还需缴纳该批次货物金额的30%作为违约金予甲方。</w:t>
      </w:r>
    </w:p>
    <w:p w14:paraId="7B9A6053" w14:textId="77777777" w:rsidR="00920775" w:rsidRDefault="00000000">
      <w:pPr>
        <w:pStyle w:val="2"/>
        <w:numPr>
          <w:ilvl w:val="0"/>
          <w:numId w:val="10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乙方在合同履行中，有任何违约事项的，甲方应记录在案，以作下年度供应商参与竞价时的信誉考察及评标因素。</w:t>
      </w:r>
    </w:p>
    <w:p w14:paraId="6C6E4CD5" w14:textId="77777777" w:rsidR="00920775" w:rsidRDefault="00000000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/>
          <w:b/>
          <w:bCs/>
          <w:color w:val="000000" w:themeColor="text1"/>
          <w:sz w:val="24"/>
          <w:szCs w:val="24"/>
        </w:rPr>
      </w:pPr>
      <w:r>
        <w:rPr>
          <w:rFonts w:hAnsi="宋体" w:hint="eastAsia"/>
          <w:b/>
          <w:bCs/>
          <w:sz w:val="24"/>
          <w:szCs w:val="24"/>
        </w:rPr>
        <w:t>价格机制</w:t>
      </w:r>
    </w:p>
    <w:p w14:paraId="5E866ACF" w14:textId="77777777" w:rsidR="00920775" w:rsidRDefault="00000000">
      <w:pPr>
        <w:autoSpaceDE w:val="0"/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价格原则：合同签订后，不作价格调整。</w:t>
      </w:r>
    </w:p>
    <w:p w14:paraId="65BC6289" w14:textId="77777777" w:rsidR="00920775" w:rsidRDefault="00000000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/>
          <w:b/>
          <w:bCs/>
          <w:color w:val="000000" w:themeColor="text1"/>
          <w:sz w:val="24"/>
          <w:szCs w:val="24"/>
        </w:rPr>
      </w:pPr>
      <w:r>
        <w:rPr>
          <w:rFonts w:hAnsi="宋体" w:cs="宋体" w:hint="eastAsia"/>
          <w:b/>
          <w:bCs/>
          <w:color w:val="000000" w:themeColor="text1"/>
          <w:sz w:val="24"/>
          <w:szCs w:val="24"/>
        </w:rPr>
        <w:t>违约责任</w:t>
      </w:r>
    </w:p>
    <w:p w14:paraId="071D0BB9" w14:textId="77777777" w:rsidR="00920775" w:rsidRDefault="00000000">
      <w:pPr>
        <w:pStyle w:val="2"/>
        <w:numPr>
          <w:ilvl w:val="0"/>
          <w:numId w:val="1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合同签订后，有下列情形的，视作违约：</w:t>
      </w:r>
    </w:p>
    <w:p w14:paraId="0057658B" w14:textId="77777777" w:rsidR="00920775" w:rsidRDefault="00000000">
      <w:pPr>
        <w:pStyle w:val="2"/>
        <w:ind w:leftChars="200" w:left="862" w:hanging="442"/>
        <w:rPr>
          <w:sz w:val="24"/>
          <w:szCs w:val="24"/>
        </w:rPr>
      </w:pPr>
      <w:r>
        <w:rPr>
          <w:rFonts w:hint="eastAsia"/>
          <w:sz w:val="24"/>
          <w:szCs w:val="24"/>
        </w:rPr>
        <w:t>未经甲方同意，乙方擅自变更商品名称或品牌、产地、规格、型号等实质内容的，扣罚履约保证金20%；</w:t>
      </w:r>
    </w:p>
    <w:p w14:paraId="33DF34DA" w14:textId="77777777" w:rsidR="00920775" w:rsidRDefault="00000000">
      <w:pPr>
        <w:pStyle w:val="2"/>
        <w:ind w:leftChars="200" w:left="862" w:hanging="442"/>
        <w:rPr>
          <w:sz w:val="24"/>
          <w:szCs w:val="24"/>
        </w:rPr>
      </w:pPr>
      <w:r>
        <w:rPr>
          <w:rFonts w:hint="eastAsia"/>
          <w:sz w:val="24"/>
          <w:szCs w:val="24"/>
        </w:rPr>
        <w:t>交货时，乙方仍未提供该商品已经断货的有效的证明材料的，扣罚履约保证金5%；</w:t>
      </w:r>
    </w:p>
    <w:p w14:paraId="14FB613F" w14:textId="77777777" w:rsidR="00920775" w:rsidRDefault="00000000">
      <w:pPr>
        <w:pStyle w:val="2"/>
        <w:ind w:leftChars="200" w:left="862" w:hanging="442"/>
        <w:rPr>
          <w:sz w:val="24"/>
          <w:szCs w:val="24"/>
        </w:rPr>
      </w:pPr>
      <w:r>
        <w:rPr>
          <w:rFonts w:hint="eastAsia"/>
          <w:sz w:val="24"/>
          <w:szCs w:val="24"/>
        </w:rPr>
        <w:t>收货时发现商品短少的，乙方未按时补充的，扣罚履约保证金10%；</w:t>
      </w:r>
    </w:p>
    <w:p w14:paraId="0ACE6BC8" w14:textId="77777777" w:rsidR="00920775" w:rsidRDefault="00000000">
      <w:pPr>
        <w:pStyle w:val="2"/>
        <w:ind w:leftChars="200" w:left="862" w:hanging="442"/>
        <w:rPr>
          <w:sz w:val="24"/>
          <w:szCs w:val="24"/>
        </w:rPr>
      </w:pPr>
      <w:r>
        <w:rPr>
          <w:rFonts w:hint="eastAsia"/>
          <w:sz w:val="24"/>
          <w:szCs w:val="24"/>
        </w:rPr>
        <w:t>乙方提供或夹带、附送假冒伪劣、变质商品的，扣罚履约保证金50%；</w:t>
      </w:r>
    </w:p>
    <w:p w14:paraId="2C098C7B" w14:textId="77777777" w:rsidR="00920775" w:rsidRDefault="00000000">
      <w:pPr>
        <w:pStyle w:val="2"/>
        <w:ind w:leftChars="200" w:left="862" w:hanging="442"/>
        <w:rPr>
          <w:sz w:val="24"/>
          <w:szCs w:val="24"/>
        </w:rPr>
      </w:pPr>
      <w:r>
        <w:rPr>
          <w:rFonts w:hint="eastAsia"/>
          <w:sz w:val="24"/>
          <w:szCs w:val="24"/>
        </w:rPr>
        <w:t>乙方不按计划送货的(不可抗力除外)扣罚履约保证金10%；</w:t>
      </w:r>
    </w:p>
    <w:p w14:paraId="055F26B3" w14:textId="77777777" w:rsidR="00920775" w:rsidRDefault="00000000">
      <w:pPr>
        <w:pStyle w:val="2"/>
        <w:ind w:leftChars="200" w:left="862" w:hanging="442"/>
        <w:rPr>
          <w:sz w:val="24"/>
          <w:szCs w:val="24"/>
        </w:rPr>
      </w:pPr>
      <w:r>
        <w:rPr>
          <w:rFonts w:hint="eastAsia"/>
          <w:sz w:val="24"/>
          <w:szCs w:val="24"/>
        </w:rPr>
        <w:t>甲方退货后，乙方必须在三日内补齐退货的商品，未补齐时扣罚履约保证金10%。</w:t>
      </w:r>
    </w:p>
    <w:p w14:paraId="2E5C569A" w14:textId="77777777" w:rsidR="00920775" w:rsidRDefault="00000000">
      <w:pPr>
        <w:pStyle w:val="2"/>
        <w:ind w:leftChars="200" w:left="862" w:hanging="442"/>
        <w:rPr>
          <w:sz w:val="24"/>
          <w:szCs w:val="24"/>
        </w:rPr>
      </w:pPr>
      <w:r>
        <w:rPr>
          <w:rFonts w:hint="eastAsia"/>
          <w:sz w:val="24"/>
          <w:szCs w:val="24"/>
        </w:rPr>
        <w:t>乙方以获取不当利益为目的或以降低供货质量等手段，给予甲方工作人员好处费、赠送物品，向甲方工作人员行贿等损害甲方利益行为的，扣罚履约保证金20%，并视作违约。</w:t>
      </w:r>
    </w:p>
    <w:p w14:paraId="277326EA" w14:textId="77777777" w:rsidR="00920775" w:rsidRDefault="00000000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/>
          <w:b/>
          <w:bCs/>
          <w:color w:val="000000" w:themeColor="text1"/>
          <w:sz w:val="24"/>
          <w:szCs w:val="24"/>
        </w:rPr>
      </w:pPr>
      <w:r>
        <w:rPr>
          <w:rFonts w:hAnsi="宋体" w:hint="eastAsia"/>
          <w:b/>
          <w:bCs/>
          <w:sz w:val="24"/>
          <w:szCs w:val="24"/>
        </w:rPr>
        <w:t>履约保证金和违约金计算</w:t>
      </w:r>
    </w:p>
    <w:p w14:paraId="07A8B81A" w14:textId="77777777" w:rsidR="00920775" w:rsidRDefault="00000000">
      <w:pPr>
        <w:pStyle w:val="2"/>
        <w:numPr>
          <w:ilvl w:val="0"/>
          <w:numId w:val="1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合同签订后十个工作日内，乙方须将合同金额</w:t>
      </w:r>
      <w:r>
        <w:rPr>
          <w:rFonts w:hint="eastAsia"/>
          <w:sz w:val="24"/>
          <w:szCs w:val="24"/>
        </w:rPr>
        <w:t>（18万元）</w:t>
      </w:r>
      <w:r>
        <w:rPr>
          <w:rFonts w:hint="eastAsia"/>
          <w:sz w:val="24"/>
          <w:szCs w:val="24"/>
        </w:rPr>
        <w:t>的5%</w:t>
      </w:r>
      <w:r>
        <w:rPr>
          <w:rFonts w:hint="eastAsia"/>
          <w:sz w:val="24"/>
          <w:szCs w:val="24"/>
        </w:rPr>
        <w:t>，即人民币</w:t>
      </w:r>
      <w:r>
        <w:rPr>
          <w:rFonts w:hint="eastAsia"/>
          <w:b/>
          <w:bCs/>
          <w:sz w:val="24"/>
          <w:szCs w:val="24"/>
          <w:u w:val="single"/>
        </w:rPr>
        <w:t>玖仟元</w:t>
      </w:r>
      <w:proofErr w:type="gramStart"/>
      <w:r>
        <w:rPr>
          <w:rFonts w:hint="eastAsia"/>
          <w:b/>
          <w:bCs/>
          <w:sz w:val="24"/>
          <w:szCs w:val="24"/>
          <w:u w:val="single"/>
        </w:rPr>
        <w:t>整</w:t>
      </w:r>
      <w:r>
        <w:rPr>
          <w:rFonts w:hint="eastAsia"/>
          <w:sz w:val="24"/>
          <w:szCs w:val="24"/>
        </w:rPr>
        <w:t>支付</w:t>
      </w:r>
      <w:proofErr w:type="gramEnd"/>
      <w:r>
        <w:rPr>
          <w:rFonts w:hint="eastAsia"/>
          <w:sz w:val="24"/>
          <w:szCs w:val="24"/>
        </w:rPr>
        <w:t>至指定账户。在乙方完成合同</w:t>
      </w:r>
      <w:r>
        <w:rPr>
          <w:rFonts w:hint="eastAsia"/>
          <w:color w:val="000000"/>
          <w:sz w:val="24"/>
          <w:szCs w:val="24"/>
        </w:rPr>
        <w:t>约定权利</w:t>
      </w:r>
      <w:r>
        <w:rPr>
          <w:rFonts w:hint="eastAsia"/>
          <w:sz w:val="24"/>
          <w:szCs w:val="24"/>
        </w:rPr>
        <w:t>义务30日内，甲方一次性无息退还履约保证金。如发生违约，甲方可从履约保证金中扣除，于合同期满或合同中止后结算。</w:t>
      </w:r>
    </w:p>
    <w:p w14:paraId="32C23DE3" w14:textId="77777777" w:rsidR="00920775" w:rsidRDefault="00000000">
      <w:pPr>
        <w:pStyle w:val="2"/>
        <w:numPr>
          <w:ilvl w:val="0"/>
          <w:numId w:val="1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依法应由甲方享有的原商品的附赠品(商品标注为准)，乙方拒不返还的，扣罚履约保证金10%；</w:t>
      </w:r>
    </w:p>
    <w:p w14:paraId="60CCFD09" w14:textId="77777777" w:rsidR="00920775" w:rsidRDefault="00000000">
      <w:pPr>
        <w:pStyle w:val="2"/>
        <w:numPr>
          <w:ilvl w:val="0"/>
          <w:numId w:val="1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乙方私自变更商品名称或品牌、产地、规格、型号等实质内容的，扣罚履</w:t>
      </w:r>
      <w:r>
        <w:rPr>
          <w:rFonts w:hint="eastAsia"/>
          <w:sz w:val="24"/>
          <w:szCs w:val="24"/>
        </w:rPr>
        <w:lastRenderedPageBreak/>
        <w:t>约保证金20%；</w:t>
      </w:r>
    </w:p>
    <w:p w14:paraId="33143EBA" w14:textId="77777777" w:rsidR="00920775" w:rsidRDefault="00000000">
      <w:pPr>
        <w:pStyle w:val="2"/>
        <w:numPr>
          <w:ilvl w:val="0"/>
          <w:numId w:val="1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乙方提供或夹带、附送假冒伪劣、变质商品的，扣罚履约保证金50%；</w:t>
      </w:r>
    </w:p>
    <w:p w14:paraId="2AB73419" w14:textId="77777777" w:rsidR="00920775" w:rsidRDefault="00000000">
      <w:pPr>
        <w:pStyle w:val="2"/>
        <w:numPr>
          <w:ilvl w:val="0"/>
          <w:numId w:val="1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如在合同执行期间因乙方违约导致履约保证金部分扣除，乙方须在五个工作日内将扣除的履约保证金补齐。</w:t>
      </w:r>
    </w:p>
    <w:p w14:paraId="51566458" w14:textId="77777777" w:rsidR="00920775" w:rsidRDefault="00000000">
      <w:pPr>
        <w:pStyle w:val="2"/>
        <w:numPr>
          <w:ilvl w:val="0"/>
          <w:numId w:val="1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合同期内，如乙方累计扣罚履约保证金达到 200%（含 200%）以上（即人民币</w:t>
      </w:r>
      <w:r>
        <w:rPr>
          <w:rFonts w:hint="eastAsia"/>
          <w:sz w:val="24"/>
          <w:szCs w:val="24"/>
          <w:u w:val="single"/>
        </w:rPr>
        <w:t xml:space="preserve"> 18000 </w:t>
      </w:r>
      <w:r>
        <w:rPr>
          <w:rFonts w:hint="eastAsia"/>
          <w:sz w:val="24"/>
          <w:szCs w:val="24"/>
        </w:rPr>
        <w:t>元及以上）的违约行为或累计扣罚履约保证金达</w:t>
      </w:r>
      <w:r>
        <w:rPr>
          <w:rFonts w:hint="eastAsia"/>
          <w:sz w:val="24"/>
          <w:szCs w:val="24"/>
          <w:u w:val="single"/>
        </w:rPr>
        <w:t>5</w:t>
      </w:r>
      <w:r>
        <w:rPr>
          <w:rFonts w:hint="eastAsia"/>
          <w:sz w:val="24"/>
          <w:szCs w:val="24"/>
        </w:rPr>
        <w:t>次或以上的，甲方有权立即单方解除本合同，并要求乙方按合同总价款的 10%计付违约金。</w:t>
      </w:r>
    </w:p>
    <w:p w14:paraId="7A5465D2" w14:textId="77777777" w:rsidR="00920775" w:rsidRDefault="00000000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/>
          <w:b/>
          <w:bCs/>
          <w:color w:val="000000" w:themeColor="text1"/>
          <w:sz w:val="24"/>
          <w:szCs w:val="24"/>
        </w:rPr>
      </w:pPr>
      <w:r>
        <w:rPr>
          <w:rFonts w:hAnsi="宋体" w:cs="宋体" w:hint="eastAsia"/>
          <w:b/>
          <w:bCs/>
          <w:color w:val="000000" w:themeColor="text1"/>
          <w:sz w:val="24"/>
          <w:szCs w:val="24"/>
        </w:rPr>
        <w:t>货款结算及付款</w:t>
      </w:r>
    </w:p>
    <w:p w14:paraId="12D33209" w14:textId="77777777" w:rsidR="00920775" w:rsidRDefault="00000000">
      <w:pPr>
        <w:pStyle w:val="2"/>
        <w:numPr>
          <w:ilvl w:val="0"/>
          <w:numId w:val="1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货物包装、运输、发票、税等费用由乙方负担；</w:t>
      </w:r>
    </w:p>
    <w:p w14:paraId="4B3349C7" w14:textId="77777777" w:rsidR="00920775" w:rsidRDefault="00000000">
      <w:pPr>
        <w:pStyle w:val="2"/>
        <w:numPr>
          <w:ilvl w:val="0"/>
          <w:numId w:val="1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半年度进行结算，甲方在收到供增值税专用发票后15个工作日内办理支付手续。</w:t>
      </w:r>
    </w:p>
    <w:p w14:paraId="09A22E37" w14:textId="77777777" w:rsidR="00920775" w:rsidRDefault="00000000">
      <w:pPr>
        <w:pStyle w:val="2"/>
        <w:numPr>
          <w:ilvl w:val="0"/>
          <w:numId w:val="13"/>
        </w:numPr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当半年度</w:t>
      </w:r>
      <w:proofErr w:type="gramEnd"/>
      <w:r>
        <w:rPr>
          <w:rFonts w:hint="eastAsia"/>
          <w:sz w:val="24"/>
          <w:szCs w:val="24"/>
        </w:rPr>
        <w:t>结算金额=∑[</w:t>
      </w:r>
      <w:proofErr w:type="gramStart"/>
      <w:r>
        <w:rPr>
          <w:rFonts w:hint="eastAsia"/>
          <w:sz w:val="24"/>
          <w:szCs w:val="24"/>
        </w:rPr>
        <w:t>当半年度</w:t>
      </w:r>
      <w:proofErr w:type="gramEnd"/>
      <w:r>
        <w:rPr>
          <w:rFonts w:hint="eastAsia"/>
          <w:sz w:val="24"/>
          <w:szCs w:val="24"/>
        </w:rPr>
        <w:t>每个货物的实际结算数量×相应的结算单价]。</w:t>
      </w:r>
    </w:p>
    <w:p w14:paraId="2DD39C12" w14:textId="77777777" w:rsidR="00920775" w:rsidRDefault="00000000">
      <w:pPr>
        <w:pStyle w:val="2"/>
        <w:numPr>
          <w:ilvl w:val="0"/>
          <w:numId w:val="1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付款方式：采用银行转账、银行汇付（含电汇）等方式。</w:t>
      </w:r>
    </w:p>
    <w:p w14:paraId="2A1718D6" w14:textId="77777777" w:rsidR="00920775" w:rsidRDefault="00000000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仿宋_GB2312"/>
          <w:b/>
          <w:bCs/>
          <w:sz w:val="24"/>
          <w:szCs w:val="24"/>
        </w:rPr>
      </w:pPr>
      <w:r>
        <w:rPr>
          <w:rFonts w:hAnsi="宋体" w:cs="仿宋_GB2312" w:hint="eastAsia"/>
          <w:b/>
          <w:bCs/>
          <w:sz w:val="24"/>
          <w:szCs w:val="24"/>
        </w:rPr>
        <w:t>其他</w:t>
      </w:r>
    </w:p>
    <w:p w14:paraId="5320895B" w14:textId="77777777" w:rsidR="00920775" w:rsidRDefault="00000000">
      <w:pPr>
        <w:pStyle w:val="af6"/>
        <w:numPr>
          <w:ilvl w:val="0"/>
          <w:numId w:val="14"/>
        </w:numPr>
        <w:spacing w:line="360" w:lineRule="auto"/>
        <w:ind w:firstLineChars="0"/>
        <w:rPr>
          <w:rFonts w:ascii="宋体" w:eastAsia="宋体" w:hAnsi="宋体" w:cs="仿宋_GB2312"/>
          <w:sz w:val="24"/>
          <w:szCs w:val="24"/>
        </w:rPr>
      </w:pPr>
      <w:r>
        <w:rPr>
          <w:rFonts w:ascii="宋体" w:eastAsia="宋体" w:hAnsi="宋体" w:cs="仿宋_GB2312" w:hint="eastAsia"/>
          <w:sz w:val="24"/>
          <w:szCs w:val="24"/>
        </w:rPr>
        <w:t>未经甲方书面同意，乙方不得擅自转让部分或全部本项目合同项下义务；</w:t>
      </w:r>
    </w:p>
    <w:p w14:paraId="22424A11" w14:textId="77777777" w:rsidR="00920775" w:rsidRDefault="00000000">
      <w:pPr>
        <w:pStyle w:val="af6"/>
        <w:numPr>
          <w:ilvl w:val="0"/>
          <w:numId w:val="14"/>
        </w:numPr>
        <w:spacing w:line="360" w:lineRule="auto"/>
        <w:ind w:firstLineChars="0"/>
        <w:rPr>
          <w:rFonts w:ascii="宋体" w:eastAsia="宋体" w:hAnsi="宋体" w:cs="仿宋_GB2312"/>
          <w:sz w:val="24"/>
          <w:szCs w:val="24"/>
        </w:rPr>
      </w:pPr>
      <w:r>
        <w:rPr>
          <w:rFonts w:ascii="宋体" w:eastAsia="宋体" w:hAnsi="宋体" w:cs="仿宋_GB2312" w:hint="eastAsia"/>
          <w:sz w:val="24"/>
          <w:szCs w:val="24"/>
        </w:rPr>
        <w:t>本项目成交通知书、竞价文件、响应文件及附件均是本合同不可分割的部分，解释的顺序除特别说明外，以文件生成时间在后的为准。</w:t>
      </w:r>
    </w:p>
    <w:p w14:paraId="64203821" w14:textId="77777777" w:rsidR="00920775" w:rsidRDefault="00000000">
      <w:pPr>
        <w:pStyle w:val="af6"/>
        <w:numPr>
          <w:ilvl w:val="0"/>
          <w:numId w:val="14"/>
        </w:numPr>
        <w:spacing w:line="360" w:lineRule="auto"/>
        <w:ind w:firstLineChars="0"/>
        <w:rPr>
          <w:rFonts w:ascii="宋体" w:eastAsia="宋体" w:hAnsi="宋体" w:cs="仿宋_GB2312"/>
          <w:sz w:val="24"/>
          <w:szCs w:val="24"/>
        </w:rPr>
      </w:pPr>
      <w:r>
        <w:rPr>
          <w:rFonts w:hint="eastAsia"/>
        </w:rPr>
        <w:t>如履行本合同发生纠纷的，由双方进行协商，如协商不成的，任何一方均可向甲方所在地人民院提起诉讼。</w:t>
      </w:r>
    </w:p>
    <w:p w14:paraId="43162E8B" w14:textId="77777777" w:rsidR="00920775" w:rsidRDefault="00000000">
      <w:pPr>
        <w:pStyle w:val="af6"/>
        <w:numPr>
          <w:ilvl w:val="0"/>
          <w:numId w:val="14"/>
        </w:numPr>
        <w:spacing w:line="360" w:lineRule="auto"/>
        <w:ind w:firstLineChars="0"/>
        <w:rPr>
          <w:rFonts w:ascii="宋体" w:eastAsia="宋体" w:hAnsi="宋体" w:cs="仿宋_GB2312"/>
          <w:sz w:val="24"/>
          <w:szCs w:val="24"/>
        </w:rPr>
      </w:pPr>
      <w:r>
        <w:rPr>
          <w:rFonts w:ascii="宋体" w:eastAsia="宋体" w:hAnsi="宋体" w:cs="仿宋_GB2312" w:hint="eastAsia"/>
          <w:sz w:val="24"/>
          <w:szCs w:val="24"/>
        </w:rPr>
        <w:t>本合同自甲乙双方签字盖章后生效；本合同一式肆份，甲方执</w:t>
      </w:r>
      <w:r>
        <w:rPr>
          <w:rFonts w:ascii="宋体" w:eastAsia="宋体" w:hAnsi="宋体" w:cs="仿宋_GB2312" w:hint="eastAsia"/>
          <w:sz w:val="24"/>
          <w:szCs w:val="24"/>
          <w:u w:val="single"/>
        </w:rPr>
        <w:t>叁</w:t>
      </w:r>
      <w:r>
        <w:rPr>
          <w:rFonts w:ascii="宋体" w:eastAsia="宋体" w:hAnsi="宋体" w:cs="仿宋_GB2312" w:hint="eastAsia"/>
          <w:sz w:val="24"/>
          <w:szCs w:val="24"/>
        </w:rPr>
        <w:t>份，乙方执</w:t>
      </w:r>
      <w:r>
        <w:rPr>
          <w:rFonts w:ascii="宋体" w:eastAsia="宋体" w:hAnsi="宋体" w:cs="仿宋_GB2312" w:hint="eastAsia"/>
          <w:sz w:val="24"/>
          <w:szCs w:val="24"/>
          <w:u w:val="single"/>
        </w:rPr>
        <w:t>壹</w:t>
      </w:r>
      <w:r>
        <w:rPr>
          <w:rFonts w:ascii="宋体" w:eastAsia="宋体" w:hAnsi="宋体" w:cs="仿宋_GB2312" w:hint="eastAsia"/>
          <w:sz w:val="24"/>
          <w:szCs w:val="24"/>
        </w:rPr>
        <w:t>份，具有同等法律效力。</w:t>
      </w:r>
    </w:p>
    <w:p w14:paraId="45045B32" w14:textId="77777777" w:rsidR="00920775" w:rsidRDefault="00000000">
      <w:pPr>
        <w:pStyle w:val="af6"/>
        <w:numPr>
          <w:ilvl w:val="0"/>
          <w:numId w:val="14"/>
        </w:numPr>
        <w:spacing w:line="360" w:lineRule="auto"/>
        <w:ind w:firstLineChars="0"/>
        <w:rPr>
          <w:rFonts w:ascii="宋体" w:eastAsia="宋体" w:hAnsi="宋体" w:cs="仿宋_GB2312"/>
          <w:sz w:val="24"/>
          <w:szCs w:val="24"/>
        </w:rPr>
      </w:pPr>
      <w:r>
        <w:rPr>
          <w:rFonts w:ascii="宋体" w:eastAsia="宋体" w:hAnsi="宋体" w:cs="仿宋_GB2312" w:hint="eastAsia"/>
          <w:sz w:val="24"/>
          <w:szCs w:val="24"/>
        </w:rPr>
        <w:t>未经甲方书面同意，乙方不得擅自转让部分或全部合同项下义务。</w:t>
      </w:r>
    </w:p>
    <w:p w14:paraId="532B58B1" w14:textId="77777777" w:rsidR="00920775" w:rsidRDefault="00000000">
      <w:pPr>
        <w:pStyle w:val="af6"/>
        <w:spacing w:line="360" w:lineRule="auto"/>
        <w:ind w:firstLineChars="0" w:firstLine="0"/>
        <w:rPr>
          <w:rFonts w:ascii="仿宋_GB2312" w:eastAsia="仿宋_GB2312" w:hAnsi="仿宋_GB2312" w:cs="仿宋_GB2312"/>
          <w:sz w:val="24"/>
          <w:szCs w:val="24"/>
        </w:rPr>
      </w:pPr>
      <w:r>
        <w:rPr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2498090</wp:posOffset>
                </wp:positionH>
                <wp:positionV relativeFrom="paragraph">
                  <wp:posOffset>91440</wp:posOffset>
                </wp:positionV>
                <wp:extent cx="3388360" cy="3466465"/>
                <wp:effectExtent l="0" t="0" r="0" b="635"/>
                <wp:wrapNone/>
                <wp:docPr id="103" name="文本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360" cy="3466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D41E0A" w14:textId="77777777" w:rsidR="00920775" w:rsidRDefault="00000000">
                            <w:pPr>
                              <w:ind w:firstLine="36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乙方：（盖章）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B9121CC" w14:textId="77777777" w:rsidR="00920775" w:rsidRDefault="00000000">
                            <w:pPr>
                              <w:ind w:firstLine="36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乙方代表签名：</w:t>
                            </w:r>
                          </w:p>
                          <w:p w14:paraId="09CA89D8" w14:textId="77777777" w:rsidR="00920775" w:rsidRDefault="00000000">
                            <w:pPr>
                              <w:ind w:firstLine="36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电话：</w:t>
                            </w:r>
                          </w:p>
                          <w:p w14:paraId="3A16EB53" w14:textId="77777777" w:rsidR="00920775" w:rsidRDefault="00000000">
                            <w:pPr>
                              <w:ind w:firstLine="36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乙方开户行：</w:t>
                            </w:r>
                          </w:p>
                          <w:p w14:paraId="1C4EB069" w14:textId="77777777" w:rsidR="00920775" w:rsidRDefault="00000000">
                            <w:pPr>
                              <w:ind w:firstLine="36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乙方户名：</w:t>
                            </w:r>
                          </w:p>
                          <w:p w14:paraId="11D27D25" w14:textId="77777777" w:rsidR="00920775" w:rsidRDefault="00000000">
                            <w:pPr>
                              <w:ind w:firstLine="36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乙方账号：</w:t>
                            </w:r>
                          </w:p>
                          <w:p w14:paraId="5317B57A" w14:textId="77777777" w:rsidR="00920775" w:rsidRDefault="00000000">
                            <w:pPr>
                              <w:ind w:firstLine="36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地址：</w:t>
                            </w:r>
                          </w:p>
                          <w:p w14:paraId="4F99FCA2" w14:textId="77777777" w:rsidR="00920775" w:rsidRDefault="00000000">
                            <w:pPr>
                              <w:ind w:firstLine="36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签署时间：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617DC198" w14:textId="77777777" w:rsidR="00920775" w:rsidRDefault="00920775">
                            <w:pPr>
                              <w:ind w:firstLine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03" o:spid="_x0000_s1026" type="#_x0000_t202" style="position:absolute;left:0;text-align:left;margin-left:196.7pt;margin-top:7.2pt;width:266.8pt;height:272.9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" filled="f" stroked="f" strokeweight=".5pt">
                <v:textbox>
                  <w:txbxContent>
                    <w:p w14:paraId="03D41E0A" w14:textId="77777777" w:rsidR="00920775" w:rsidRDefault="00000000">
                      <w:pPr>
                        <w:ind w:firstLine="36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乙方：（盖章）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B9121CC" w14:textId="77777777" w:rsidR="00920775" w:rsidRDefault="00000000">
                      <w:pPr>
                        <w:ind w:firstLine="36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乙方代表签名：</w:t>
                      </w:r>
                    </w:p>
                    <w:p w14:paraId="09CA89D8" w14:textId="77777777" w:rsidR="00920775" w:rsidRDefault="00000000">
                      <w:pPr>
                        <w:ind w:firstLine="36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电话：</w:t>
                      </w:r>
                    </w:p>
                    <w:p w14:paraId="3A16EB53" w14:textId="77777777" w:rsidR="00920775" w:rsidRDefault="00000000">
                      <w:pPr>
                        <w:ind w:firstLine="36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乙方开户行：</w:t>
                      </w:r>
                    </w:p>
                    <w:p w14:paraId="1C4EB069" w14:textId="77777777" w:rsidR="00920775" w:rsidRDefault="00000000">
                      <w:pPr>
                        <w:ind w:firstLine="36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乙方户名：</w:t>
                      </w:r>
                    </w:p>
                    <w:p w14:paraId="11D27D25" w14:textId="77777777" w:rsidR="00920775" w:rsidRDefault="00000000">
                      <w:pPr>
                        <w:ind w:firstLine="36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乙方账号：</w:t>
                      </w:r>
                    </w:p>
                    <w:p w14:paraId="5317B57A" w14:textId="77777777" w:rsidR="00920775" w:rsidRDefault="00000000">
                      <w:pPr>
                        <w:ind w:firstLine="36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地址：</w:t>
                      </w:r>
                    </w:p>
                    <w:p w14:paraId="4F99FCA2" w14:textId="77777777" w:rsidR="00920775" w:rsidRDefault="00000000">
                      <w:pPr>
                        <w:ind w:firstLine="36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签署时间： 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日</w:t>
                      </w:r>
                    </w:p>
                    <w:p w14:paraId="617DC198" w14:textId="77777777" w:rsidR="00920775" w:rsidRDefault="00920775">
                      <w:pPr>
                        <w:ind w:firstLine="36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-207010</wp:posOffset>
                </wp:positionH>
                <wp:positionV relativeFrom="paragraph">
                  <wp:posOffset>101600</wp:posOffset>
                </wp:positionV>
                <wp:extent cx="3009900" cy="3466465"/>
                <wp:effectExtent l="0" t="0" r="0" b="635"/>
                <wp:wrapNone/>
                <wp:docPr id="102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466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9A4BA2" w14:textId="77777777" w:rsidR="00920775" w:rsidRDefault="00000000">
                            <w:pPr>
                              <w:ind w:firstLine="36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甲方：（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盖章）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</w:p>
                          <w:p w14:paraId="08543A28" w14:textId="77777777" w:rsidR="00920775" w:rsidRDefault="00000000">
                            <w:pPr>
                              <w:ind w:firstLine="36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甲方代表签名：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ab/>
                              <w:t xml:space="preserve">             </w:t>
                            </w:r>
                          </w:p>
                          <w:p w14:paraId="2247BBC4" w14:textId="77777777" w:rsidR="00920775" w:rsidRDefault="00000000">
                            <w:pPr>
                              <w:ind w:firstLine="36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电话：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</w:p>
                          <w:p w14:paraId="34FB20A0" w14:textId="77777777" w:rsidR="00920775" w:rsidRDefault="00000000">
                            <w:pPr>
                              <w:ind w:firstLine="36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单位名称：</w:t>
                            </w:r>
                          </w:p>
                          <w:p w14:paraId="211F6C79" w14:textId="77777777" w:rsidR="00920775" w:rsidRDefault="00000000">
                            <w:pPr>
                              <w:ind w:firstLine="36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纳税人识别号：</w:t>
                            </w:r>
                          </w:p>
                          <w:p w14:paraId="4D912956" w14:textId="77777777" w:rsidR="00920775" w:rsidRDefault="00000000">
                            <w:pPr>
                              <w:ind w:firstLine="36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地址：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4EB97BD" w14:textId="77777777" w:rsidR="00920775" w:rsidRDefault="00000000">
                            <w:pPr>
                              <w:ind w:firstLine="36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签署时间： 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年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6D292325" w14:textId="77777777" w:rsidR="00920775" w:rsidRDefault="00920775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2" o:spid="_x0000_s1027" type="#_x0000_t202" style="position:absolute;left:0;text-align:left;margin-left:-16.3pt;margin-top:8pt;width:237pt;height:272.9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" filled="f" stroked="f" strokeweight=".5pt">
                <v:textbox>
                  <w:txbxContent>
                    <w:p w14:paraId="269A4BA2" w14:textId="77777777" w:rsidR="00920775" w:rsidRDefault="00000000">
                      <w:pPr>
                        <w:ind w:firstLine="36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甲方：（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盖章）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            </w:t>
                      </w:r>
                    </w:p>
                    <w:p w14:paraId="08543A28" w14:textId="77777777" w:rsidR="00920775" w:rsidRDefault="00000000">
                      <w:pPr>
                        <w:ind w:firstLine="36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甲方代表签名：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ab/>
                        <w:t xml:space="preserve">             </w:t>
                      </w:r>
                    </w:p>
                    <w:p w14:paraId="2247BBC4" w14:textId="77777777" w:rsidR="00920775" w:rsidRDefault="00000000">
                      <w:pPr>
                        <w:ind w:firstLine="36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电话：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               </w:t>
                      </w:r>
                    </w:p>
                    <w:p w14:paraId="34FB20A0" w14:textId="77777777" w:rsidR="00920775" w:rsidRDefault="00000000">
                      <w:pPr>
                        <w:ind w:firstLine="36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单位名称：</w:t>
                      </w:r>
                    </w:p>
                    <w:p w14:paraId="211F6C79" w14:textId="77777777" w:rsidR="00920775" w:rsidRDefault="00000000">
                      <w:pPr>
                        <w:ind w:firstLine="36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纳税人识别号：</w:t>
                      </w:r>
                    </w:p>
                    <w:p w14:paraId="4D912956" w14:textId="77777777" w:rsidR="00920775" w:rsidRDefault="00000000">
                      <w:pPr>
                        <w:ind w:firstLine="36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地址：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4EB97BD" w14:textId="77777777" w:rsidR="00920775" w:rsidRDefault="00000000">
                      <w:pPr>
                        <w:ind w:firstLine="36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签署时间： 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年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日</w:t>
                      </w:r>
                    </w:p>
                    <w:p w14:paraId="6D292325" w14:textId="77777777" w:rsidR="00920775" w:rsidRDefault="00920775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363B73" w14:textId="77777777" w:rsidR="00920775" w:rsidRDefault="00920775">
      <w:pPr>
        <w:pStyle w:val="af6"/>
        <w:spacing w:line="360" w:lineRule="auto"/>
        <w:ind w:firstLineChars="0" w:firstLine="0"/>
        <w:rPr>
          <w:rFonts w:ascii="仿宋_GB2312" w:eastAsia="仿宋_GB2312" w:hAnsi="仿宋_GB2312" w:cs="仿宋_GB2312"/>
          <w:sz w:val="24"/>
          <w:szCs w:val="24"/>
        </w:rPr>
      </w:pPr>
    </w:p>
    <w:p w14:paraId="6193921A" w14:textId="77777777" w:rsidR="00920775" w:rsidRDefault="00920775">
      <w:pPr>
        <w:spacing w:line="360" w:lineRule="auto"/>
        <w:rPr>
          <w:rFonts w:asciiTheme="minorEastAsia" w:hAnsiTheme="minorEastAsia"/>
        </w:rPr>
      </w:pPr>
    </w:p>
    <w:p w14:paraId="7558DBCA" w14:textId="77777777" w:rsidR="00920775" w:rsidRDefault="00000000">
      <w:pPr>
        <w:pStyle w:val="a7"/>
        <w:tabs>
          <w:tab w:val="left" w:pos="540"/>
        </w:tabs>
        <w:adjustRightInd w:val="0"/>
        <w:snapToGrid w:val="0"/>
        <w:spacing w:beforeLines="50" w:before="156" w:line="360" w:lineRule="auto"/>
        <w:outlineLvl w:val="0"/>
        <w:rPr>
          <w:rFonts w:hAnsi="宋体" w:cs="宋体"/>
          <w:b/>
          <w:bCs/>
          <w:sz w:val="24"/>
          <w:szCs w:val="24"/>
        </w:rPr>
      </w:pPr>
      <w:r>
        <w:br w:type="page"/>
      </w:r>
      <w:r>
        <w:rPr>
          <w:rFonts w:hint="eastAsia"/>
          <w:b/>
          <w:bCs/>
          <w:sz w:val="24"/>
          <w:szCs w:val="24"/>
        </w:rPr>
        <w:lastRenderedPageBreak/>
        <w:t>附件：</w:t>
      </w:r>
      <w:r>
        <w:rPr>
          <w:rFonts w:hAnsi="宋体" w:cs="宋体" w:hint="eastAsia"/>
          <w:b/>
          <w:bCs/>
          <w:sz w:val="24"/>
          <w:szCs w:val="24"/>
        </w:rPr>
        <w:t>消防防火门维修定点采购项目价格清单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967"/>
        <w:gridCol w:w="805"/>
        <w:gridCol w:w="1327"/>
        <w:gridCol w:w="1328"/>
        <w:gridCol w:w="940"/>
        <w:gridCol w:w="1199"/>
        <w:gridCol w:w="995"/>
        <w:gridCol w:w="1380"/>
      </w:tblGrid>
      <w:tr w:rsidR="00920775" w14:paraId="058CA743" w14:textId="77777777">
        <w:trPr>
          <w:trHeight w:val="496"/>
          <w:jc w:val="center"/>
        </w:trPr>
        <w:tc>
          <w:tcPr>
            <w:tcW w:w="9739" w:type="dxa"/>
            <w:gridSpan w:val="9"/>
            <w:shd w:val="clear" w:color="auto" w:fill="auto"/>
            <w:vAlign w:val="center"/>
          </w:tcPr>
          <w:p w14:paraId="6CF4C73F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消防防火门维修定点采购项目</w:t>
            </w:r>
          </w:p>
        </w:tc>
      </w:tr>
      <w:tr w:rsidR="00920775" w14:paraId="606DADB0" w14:textId="77777777">
        <w:trPr>
          <w:trHeight w:val="496"/>
          <w:jc w:val="center"/>
        </w:trPr>
        <w:tc>
          <w:tcPr>
            <w:tcW w:w="798" w:type="dxa"/>
            <w:vMerge w:val="restart"/>
            <w:shd w:val="clear" w:color="auto" w:fill="auto"/>
            <w:vAlign w:val="center"/>
          </w:tcPr>
          <w:p w14:paraId="7FF9740D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</w:tcPr>
          <w:p w14:paraId="1FE61833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805" w:type="dxa"/>
            <w:vMerge w:val="restart"/>
            <w:shd w:val="clear" w:color="auto" w:fill="auto"/>
            <w:vAlign w:val="center"/>
          </w:tcPr>
          <w:p w14:paraId="593B3192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2655" w:type="dxa"/>
            <w:gridSpan w:val="2"/>
            <w:shd w:val="clear" w:color="auto" w:fill="auto"/>
            <w:vAlign w:val="center"/>
          </w:tcPr>
          <w:p w14:paraId="4EE98E19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尺寸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</w:tcPr>
          <w:p w14:paraId="70FD29AC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合计平方数</w:t>
            </w:r>
          </w:p>
        </w:tc>
        <w:tc>
          <w:tcPr>
            <w:tcW w:w="1199" w:type="dxa"/>
            <w:vMerge w:val="restart"/>
            <w:shd w:val="clear" w:color="auto" w:fill="auto"/>
            <w:vAlign w:val="center"/>
          </w:tcPr>
          <w:p w14:paraId="3B34AE76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995" w:type="dxa"/>
            <w:vMerge w:val="restart"/>
            <w:vAlign w:val="center"/>
          </w:tcPr>
          <w:p w14:paraId="6F15ABD2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品牌/厂家</w:t>
            </w:r>
          </w:p>
        </w:tc>
        <w:tc>
          <w:tcPr>
            <w:tcW w:w="1380" w:type="dxa"/>
            <w:vMerge w:val="restart"/>
            <w:vAlign w:val="center"/>
          </w:tcPr>
          <w:p w14:paraId="2D6D9804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结算单价（元）</w:t>
            </w:r>
          </w:p>
        </w:tc>
      </w:tr>
      <w:tr w:rsidR="00920775" w14:paraId="2E0C2414" w14:textId="77777777">
        <w:trPr>
          <w:trHeight w:val="303"/>
          <w:jc w:val="center"/>
        </w:trPr>
        <w:tc>
          <w:tcPr>
            <w:tcW w:w="798" w:type="dxa"/>
            <w:vMerge/>
            <w:vAlign w:val="center"/>
          </w:tcPr>
          <w:p w14:paraId="6AAD29C7" w14:textId="77777777" w:rsidR="00920775" w:rsidRDefault="00920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14:paraId="1028A644" w14:textId="77777777" w:rsidR="00920775" w:rsidRDefault="00920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14:paraId="027F328F" w14:textId="77777777" w:rsidR="00920775" w:rsidRDefault="00920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64C33FBC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宽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3170FA73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高</w:t>
            </w:r>
          </w:p>
        </w:tc>
        <w:tc>
          <w:tcPr>
            <w:tcW w:w="940" w:type="dxa"/>
            <w:vMerge/>
            <w:vAlign w:val="center"/>
          </w:tcPr>
          <w:p w14:paraId="5644CE84" w14:textId="77777777" w:rsidR="00920775" w:rsidRDefault="00920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vMerge/>
            <w:vAlign w:val="center"/>
          </w:tcPr>
          <w:p w14:paraId="28B37565" w14:textId="77777777" w:rsidR="00920775" w:rsidRDefault="00920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Merge/>
            <w:vAlign w:val="center"/>
          </w:tcPr>
          <w:p w14:paraId="07AB7C8F" w14:textId="77777777" w:rsidR="00920775" w:rsidRDefault="00920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Merge/>
            <w:vAlign w:val="center"/>
          </w:tcPr>
          <w:p w14:paraId="58D63DC2" w14:textId="77777777" w:rsidR="00920775" w:rsidRDefault="00920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20775" w14:paraId="716F6A44" w14:textId="77777777">
        <w:trPr>
          <w:trHeight w:val="596"/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22D0DC9F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1AC92EF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单门更换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148DA621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甲级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192B0886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84-86cm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22F2A990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200-203cm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525FCB95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1.75㎡</w:t>
            </w:r>
          </w:p>
        </w:tc>
        <w:tc>
          <w:tcPr>
            <w:tcW w:w="1199" w:type="dxa"/>
            <w:vMerge w:val="restart"/>
            <w:shd w:val="clear" w:color="auto" w:fill="auto"/>
            <w:vAlign w:val="center"/>
          </w:tcPr>
          <w:p w14:paraId="4011FDE7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按需更换单个消防防火门门体，包含闭门器、门铰、门锁、垃圾清运等配件及相关工作。</w:t>
            </w:r>
          </w:p>
        </w:tc>
        <w:tc>
          <w:tcPr>
            <w:tcW w:w="995" w:type="dxa"/>
            <w:vAlign w:val="center"/>
          </w:tcPr>
          <w:p w14:paraId="0D465A8B" w14:textId="77777777" w:rsidR="00920775" w:rsidRDefault="00920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5F0C2EE2" w14:textId="77777777" w:rsidR="00920775" w:rsidRDefault="00920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20775" w14:paraId="4E54022F" w14:textId="77777777">
        <w:trPr>
          <w:trHeight w:val="596"/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5A4CAE8F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AD18787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单门更换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63492F3E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甲级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09A63844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69-72cm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48C93AE8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200-203cm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6AE5A494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1.46㎡</w:t>
            </w: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06E7BADB" w14:textId="77777777" w:rsidR="00920775" w:rsidRDefault="00920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02F8050E" w14:textId="77777777" w:rsidR="00920775" w:rsidRDefault="00920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7FE6A4FA" w14:textId="77777777" w:rsidR="00920775" w:rsidRDefault="00920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20775" w14:paraId="080DB19A" w14:textId="77777777">
        <w:trPr>
          <w:trHeight w:val="596"/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07E49D1E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86C4BC8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单门更换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1DA4273A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甲级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3D81A14E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89-92cm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311600E2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200-203cm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342CA5E2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1.87㎡</w:t>
            </w: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2FE4A964" w14:textId="77777777" w:rsidR="00920775" w:rsidRDefault="00920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72433672" w14:textId="77777777" w:rsidR="00920775" w:rsidRDefault="00920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178C9A71" w14:textId="77777777" w:rsidR="00920775" w:rsidRDefault="00920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20775" w14:paraId="292C4198" w14:textId="77777777">
        <w:trPr>
          <w:trHeight w:val="596"/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10631E8A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5975372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单门更换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596928E9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丙级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32534D16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49-50cm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40C101AF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173-176cm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476A755C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0.88㎡</w:t>
            </w: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5A251BA5" w14:textId="77777777" w:rsidR="00920775" w:rsidRDefault="00920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5CA25EE2" w14:textId="77777777" w:rsidR="00920775" w:rsidRDefault="00920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5C1EEB0D" w14:textId="77777777" w:rsidR="00920775" w:rsidRDefault="00920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20775" w14:paraId="7F9310B3" w14:textId="77777777">
        <w:trPr>
          <w:trHeight w:val="596"/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21DD1EF7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AF9ACCB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单门更换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1766B107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丙级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59A225BE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42-44cm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3C8EDFD0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173-176cm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502CF6B8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0.77㎡</w:t>
            </w: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6801C79C" w14:textId="77777777" w:rsidR="00920775" w:rsidRDefault="00920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2753928D" w14:textId="77777777" w:rsidR="00920775" w:rsidRDefault="00920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4C29EDC2" w14:textId="77777777" w:rsidR="00920775" w:rsidRDefault="00920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20775" w14:paraId="444DE076" w14:textId="77777777">
        <w:trPr>
          <w:trHeight w:val="596"/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47F4B271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16E6601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单门更换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534BFCBE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丙级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252BF0B3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68-70cm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21BDB72E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173-176cm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06292360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1.23㎡</w:t>
            </w: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733ECE2C" w14:textId="77777777" w:rsidR="00920775" w:rsidRDefault="00920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4B7865F2" w14:textId="77777777" w:rsidR="00920775" w:rsidRDefault="00920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64EBC768" w14:textId="77777777" w:rsidR="00920775" w:rsidRDefault="00920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20775" w14:paraId="78C21AE3" w14:textId="77777777">
        <w:trPr>
          <w:trHeight w:val="596"/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7AA8D61F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A2B5980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双开门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整门拆装</w:t>
            </w:r>
            <w:proofErr w:type="gramEnd"/>
          </w:p>
        </w:tc>
        <w:tc>
          <w:tcPr>
            <w:tcW w:w="805" w:type="dxa"/>
            <w:shd w:val="clear" w:color="auto" w:fill="auto"/>
            <w:vAlign w:val="center"/>
          </w:tcPr>
          <w:p w14:paraId="2C154F41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甲级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488E3C97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178-182cm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13B74DBE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205-208cm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7A2E202D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3.79㎡</w:t>
            </w:r>
          </w:p>
        </w:tc>
        <w:tc>
          <w:tcPr>
            <w:tcW w:w="1199" w:type="dxa"/>
            <w:vMerge w:val="restart"/>
            <w:shd w:val="clear" w:color="auto" w:fill="auto"/>
            <w:vAlign w:val="center"/>
          </w:tcPr>
          <w:p w14:paraId="56955A5A" w14:textId="77777777" w:rsidR="00920775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按需拆装整套消防防火门门体，包含门框、闭门器、门铰、门锁、墙面修复、垃圾清运等配件及相关工作。</w:t>
            </w:r>
          </w:p>
        </w:tc>
        <w:tc>
          <w:tcPr>
            <w:tcW w:w="995" w:type="dxa"/>
            <w:vAlign w:val="center"/>
          </w:tcPr>
          <w:p w14:paraId="3AB82036" w14:textId="77777777" w:rsidR="00920775" w:rsidRDefault="00920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44B89893" w14:textId="77777777" w:rsidR="00920775" w:rsidRDefault="00920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20775" w14:paraId="52DA5473" w14:textId="77777777">
        <w:trPr>
          <w:trHeight w:val="596"/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498E6E5A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82C3E25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双开门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整门拆装</w:t>
            </w:r>
            <w:proofErr w:type="gramEnd"/>
          </w:p>
        </w:tc>
        <w:tc>
          <w:tcPr>
            <w:tcW w:w="805" w:type="dxa"/>
            <w:shd w:val="clear" w:color="auto" w:fill="auto"/>
            <w:vAlign w:val="center"/>
          </w:tcPr>
          <w:p w14:paraId="54590E45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甲级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77855E94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148-154cm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528A5B16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205-208cm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0D536A2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3.2㎡</w:t>
            </w: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2E9D9DF3" w14:textId="77777777" w:rsidR="00920775" w:rsidRDefault="0092077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6FC1367C" w14:textId="77777777" w:rsidR="00920775" w:rsidRDefault="00920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625430A0" w14:textId="77777777" w:rsidR="00920775" w:rsidRDefault="00920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20775" w14:paraId="25C16DB3" w14:textId="77777777">
        <w:trPr>
          <w:trHeight w:val="596"/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1CE68FF4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42D44C1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单开门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整门拆装</w:t>
            </w:r>
            <w:proofErr w:type="gramEnd"/>
          </w:p>
        </w:tc>
        <w:tc>
          <w:tcPr>
            <w:tcW w:w="805" w:type="dxa"/>
            <w:shd w:val="clear" w:color="auto" w:fill="auto"/>
            <w:vAlign w:val="center"/>
          </w:tcPr>
          <w:p w14:paraId="67B37408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甲级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6A774187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99-102cm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7C19C416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205-208cm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03847D5A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2.12㎡</w:t>
            </w: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0CC994D4" w14:textId="77777777" w:rsidR="00920775" w:rsidRDefault="0092077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2C5F4629" w14:textId="77777777" w:rsidR="00920775" w:rsidRDefault="00920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5E134EC3" w14:textId="77777777" w:rsidR="00920775" w:rsidRDefault="00920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20775" w14:paraId="4BE1356D" w14:textId="77777777">
        <w:trPr>
          <w:trHeight w:val="596"/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089A4439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137EA2B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单开门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整门拆装</w:t>
            </w:r>
            <w:proofErr w:type="gramEnd"/>
          </w:p>
        </w:tc>
        <w:tc>
          <w:tcPr>
            <w:tcW w:w="805" w:type="dxa"/>
            <w:shd w:val="clear" w:color="auto" w:fill="auto"/>
            <w:vAlign w:val="center"/>
          </w:tcPr>
          <w:p w14:paraId="791F3495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丙级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3D31247A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59-60cm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215128F9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178-181cm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419DAB54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1.09㎡</w:t>
            </w: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58C28B4F" w14:textId="77777777" w:rsidR="00920775" w:rsidRDefault="0092077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3A672EB7" w14:textId="77777777" w:rsidR="00920775" w:rsidRDefault="00920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377F43B" w14:textId="77777777" w:rsidR="00920775" w:rsidRDefault="00920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20775" w14:paraId="081E78D4" w14:textId="77777777">
        <w:trPr>
          <w:trHeight w:val="596"/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19CB8711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009634E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单开门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整门拆装</w:t>
            </w:r>
            <w:proofErr w:type="gramEnd"/>
          </w:p>
        </w:tc>
        <w:tc>
          <w:tcPr>
            <w:tcW w:w="805" w:type="dxa"/>
            <w:shd w:val="clear" w:color="auto" w:fill="auto"/>
            <w:vAlign w:val="center"/>
          </w:tcPr>
          <w:p w14:paraId="73336FCA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丙级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17548B07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52-54cm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21663BB9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178-181cm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6A0DFA2D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0.98㎡</w:t>
            </w: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3543859D" w14:textId="77777777" w:rsidR="00920775" w:rsidRDefault="0092077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7A6995C6" w14:textId="77777777" w:rsidR="00920775" w:rsidRDefault="00920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3FA3C08B" w14:textId="77777777" w:rsidR="00920775" w:rsidRDefault="00920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20775" w14:paraId="00FEDAF9" w14:textId="77777777">
        <w:trPr>
          <w:trHeight w:val="596"/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140E18D0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BDA9516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双开门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整门拆装</w:t>
            </w:r>
            <w:proofErr w:type="gramEnd"/>
          </w:p>
        </w:tc>
        <w:tc>
          <w:tcPr>
            <w:tcW w:w="805" w:type="dxa"/>
            <w:shd w:val="clear" w:color="auto" w:fill="auto"/>
            <w:vAlign w:val="center"/>
          </w:tcPr>
          <w:p w14:paraId="0B966FAC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丙级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2546C492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146-150cm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26EFD986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178-181cm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5A78C444" w14:textId="77777777" w:rsidR="0092077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2.72㎡</w:t>
            </w: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660E55B1" w14:textId="77777777" w:rsidR="00920775" w:rsidRDefault="00920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4EFA6435" w14:textId="77777777" w:rsidR="00920775" w:rsidRDefault="00920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76E31739" w14:textId="77777777" w:rsidR="00920775" w:rsidRDefault="00920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C234046" w14:textId="77777777" w:rsidR="00920775" w:rsidRDefault="00920775">
      <w:pPr>
        <w:pStyle w:val="a7"/>
        <w:tabs>
          <w:tab w:val="left" w:pos="540"/>
        </w:tabs>
        <w:adjustRightInd w:val="0"/>
        <w:snapToGrid w:val="0"/>
        <w:spacing w:beforeLines="50" w:before="156" w:line="360" w:lineRule="auto"/>
        <w:outlineLvl w:val="0"/>
        <w:rPr>
          <w:rFonts w:hAnsi="宋体" w:cs="宋体"/>
          <w:b/>
          <w:bCs/>
          <w:sz w:val="24"/>
          <w:szCs w:val="24"/>
        </w:rPr>
      </w:pPr>
    </w:p>
    <w:sectPr w:rsidR="00920775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89D5E" w14:textId="77777777" w:rsidR="00034060" w:rsidRDefault="00034060">
      <w:r>
        <w:separator/>
      </w:r>
    </w:p>
  </w:endnote>
  <w:endnote w:type="continuationSeparator" w:id="0">
    <w:p w14:paraId="7675FD14" w14:textId="77777777" w:rsidR="00034060" w:rsidRDefault="0003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DFD28" w14:textId="77777777" w:rsidR="00034060" w:rsidRDefault="00034060">
      <w:r>
        <w:separator/>
      </w:r>
    </w:p>
  </w:footnote>
  <w:footnote w:type="continuationSeparator" w:id="0">
    <w:p w14:paraId="65ECC081" w14:textId="77777777" w:rsidR="00034060" w:rsidRDefault="00034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C925E" w14:textId="77777777" w:rsidR="00920775" w:rsidRDefault="00920775">
    <w:pPr>
      <w:pStyle w:val="a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宋体" w:eastAsia="宋体" w:hAnsi="宋体" w:cs="Times New Roman" w:hint="default"/>
        <w:b w:val="0"/>
        <w:dstrike w:val="0"/>
      </w:rPr>
    </w:lvl>
    <w:lvl w:ilvl="2">
      <w:start w:val="1"/>
      <w:numFmt w:val="decimal"/>
      <w:lvlText w:val="%1.%2.%3"/>
      <w:lvlJc w:val="left"/>
      <w:pPr>
        <w:tabs>
          <w:tab w:val="left" w:pos="1703"/>
        </w:tabs>
        <w:ind w:left="1703" w:hanging="851"/>
      </w:pPr>
      <w:rPr>
        <w:rFonts w:ascii="宋体" w:eastAsia="宋体" w:hAnsi="宋体" w:cs="Times New Roman" w:hint="default"/>
        <w:b w:val="0"/>
        <w:color w:val="auto"/>
        <w:sz w:val="21"/>
        <w:szCs w:val="21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51"/>
        </w:tabs>
        <w:ind w:left="851" w:hanging="851"/>
      </w:pPr>
      <w:rPr>
        <w:rFonts w:hint="eastAsia"/>
        <w:dstrike w:val="0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07E805E7"/>
    <w:multiLevelType w:val="multilevel"/>
    <w:tmpl w:val="07E805E7"/>
    <w:lvl w:ilvl="0">
      <w:start w:val="1"/>
      <w:numFmt w:val="chineseCountingThousand"/>
      <w:suff w:val="nothing"/>
      <w:lvlText w:val="(%1)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hint="eastAsia"/>
      </w:rPr>
    </w:lvl>
  </w:abstractNum>
  <w:abstractNum w:abstractNumId="2" w15:restartNumberingAfterBreak="0">
    <w:nsid w:val="0E185C47"/>
    <w:multiLevelType w:val="multilevel"/>
    <w:tmpl w:val="0E185C47"/>
    <w:lvl w:ilvl="0">
      <w:start w:val="1"/>
      <w:numFmt w:val="chineseCountingThousand"/>
      <w:suff w:val="space"/>
      <w:lvlText w:val="(%1)"/>
      <w:lvlJc w:val="left"/>
      <w:pPr>
        <w:ind w:left="0" w:firstLine="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4D96D82"/>
    <w:multiLevelType w:val="multilevel"/>
    <w:tmpl w:val="14D96D82"/>
    <w:lvl w:ilvl="0">
      <w:start w:val="1"/>
      <w:numFmt w:val="chineseCountingThousand"/>
      <w:suff w:val="nothing"/>
      <w:lvlText w:val="(%1)"/>
      <w:lvlJc w:val="left"/>
      <w:pPr>
        <w:ind w:left="440" w:hanging="44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6087778"/>
    <w:multiLevelType w:val="multilevel"/>
    <w:tmpl w:val="16087778"/>
    <w:lvl w:ilvl="0">
      <w:start w:val="1"/>
      <w:numFmt w:val="chineseCountingThousand"/>
      <w:suff w:val="nothing"/>
      <w:lvlText w:val="(%1)"/>
      <w:lvlJc w:val="left"/>
      <w:pPr>
        <w:ind w:left="440" w:hanging="44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C2F72D3"/>
    <w:multiLevelType w:val="multilevel"/>
    <w:tmpl w:val="1C2F72D3"/>
    <w:lvl w:ilvl="0">
      <w:start w:val="1"/>
      <w:numFmt w:val="chineseCountingThousand"/>
      <w:suff w:val="space"/>
      <w:lvlText w:val="(%1)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japaneseCounting"/>
      <w:lvlText w:val="(%2)"/>
      <w:lvlJc w:val="left"/>
      <w:pPr>
        <w:ind w:left="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A1E78CE"/>
    <w:multiLevelType w:val="multilevel"/>
    <w:tmpl w:val="2A1E78CE"/>
    <w:lvl w:ilvl="0">
      <w:start w:val="1"/>
      <w:numFmt w:val="chineseCountingThousand"/>
      <w:suff w:val="nothing"/>
      <w:lvlText w:val="(%1)"/>
      <w:lvlJc w:val="left"/>
      <w:pPr>
        <w:ind w:left="440" w:hanging="44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DF25939"/>
    <w:multiLevelType w:val="multilevel"/>
    <w:tmpl w:val="2DF25939"/>
    <w:lvl w:ilvl="0">
      <w:start w:val="1"/>
      <w:numFmt w:val="chineseCountingThousand"/>
      <w:suff w:val="nothing"/>
      <w:lvlText w:val="(%1)"/>
      <w:lvlJc w:val="left"/>
      <w:pPr>
        <w:ind w:left="440" w:hanging="440"/>
      </w:pPr>
      <w:rPr>
        <w:rFonts w:ascii="宋体" w:eastAsia="宋体" w:hAnsi="宋体" w:hint="eastAsia"/>
      </w:rPr>
    </w:lvl>
    <w:lvl w:ilvl="1">
      <w:start w:val="1"/>
      <w:numFmt w:val="japaneseCounting"/>
      <w:lvlText w:val="(%2)"/>
      <w:lvlJc w:val="left"/>
      <w:pPr>
        <w:ind w:left="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2D72CC8"/>
    <w:multiLevelType w:val="multilevel"/>
    <w:tmpl w:val="32D72CC8"/>
    <w:lvl w:ilvl="0">
      <w:start w:val="1"/>
      <w:numFmt w:val="chineseCountingThousand"/>
      <w:lvlText w:val="%1、"/>
      <w:lvlJc w:val="left"/>
      <w:pPr>
        <w:ind w:left="420" w:hanging="42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5B4039"/>
    <w:multiLevelType w:val="multilevel"/>
    <w:tmpl w:val="435B4039"/>
    <w:lvl w:ilvl="0">
      <w:start w:val="1"/>
      <w:numFmt w:val="chineseCountingThousand"/>
      <w:suff w:val="space"/>
      <w:lvlText w:val="(%1)"/>
      <w:lvlJc w:val="left"/>
      <w:pPr>
        <w:ind w:left="0" w:firstLine="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C2A3851"/>
    <w:multiLevelType w:val="multilevel"/>
    <w:tmpl w:val="4C2A3851"/>
    <w:lvl w:ilvl="0">
      <w:start w:val="1"/>
      <w:numFmt w:val="decimal"/>
      <w:lvlText w:val="%1."/>
      <w:lvlJc w:val="left"/>
      <w:pPr>
        <w:ind w:left="440" w:hanging="44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CC55870"/>
    <w:multiLevelType w:val="multilevel"/>
    <w:tmpl w:val="4CC55870"/>
    <w:lvl w:ilvl="0">
      <w:start w:val="1"/>
      <w:numFmt w:val="decimal"/>
      <w:pStyle w:val="2"/>
      <w:lvlText w:val="%1."/>
      <w:lvlJc w:val="left"/>
      <w:pPr>
        <w:ind w:left="1280" w:hanging="44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172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60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304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48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92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436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800" w:hanging="44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5A037C68"/>
    <w:multiLevelType w:val="multilevel"/>
    <w:tmpl w:val="5A037C68"/>
    <w:lvl w:ilvl="0">
      <w:start w:val="1"/>
      <w:numFmt w:val="chineseCountingThousand"/>
      <w:pStyle w:val="1"/>
      <w:suff w:val="space"/>
      <w:lvlText w:val="第%1章"/>
      <w:lvlJc w:val="left"/>
      <w:pPr>
        <w:ind w:left="3260" w:hanging="425"/>
      </w:pPr>
      <w:rPr>
        <w:rFonts w:hint="eastAsia"/>
      </w:rPr>
    </w:lvl>
    <w:lvl w:ilvl="1">
      <w:start w:val="1"/>
      <w:numFmt w:val="decimal"/>
      <w:pStyle w:val="20"/>
      <w:isLgl/>
      <w:suff w:val="space"/>
      <w:lvlText w:val="%1.%2"/>
      <w:lvlJc w:val="left"/>
      <w:pPr>
        <w:ind w:left="1276" w:hanging="992"/>
      </w:pPr>
      <w:rPr>
        <w:rFonts w:asciiTheme="minorHAnsi" w:hAnsiTheme="minorHAnsi" w:cstheme="minorHAnsi" w:hint="default"/>
        <w:b/>
        <w:sz w:val="36"/>
        <w:szCs w:val="36"/>
        <w:lang w:val="en-US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2552" w:hanging="1418"/>
      </w:pPr>
      <w:rPr>
        <w:rFonts w:hint="eastAsia"/>
        <w:b/>
        <w:lang w:val="en-US"/>
      </w:rPr>
    </w:lvl>
    <w:lvl w:ilvl="3">
      <w:start w:val="1"/>
      <w:numFmt w:val="decimal"/>
      <w:pStyle w:val="40"/>
      <w:isLgl/>
      <w:suff w:val="space"/>
      <w:lvlText w:val="%1.%2.%3.%4"/>
      <w:lvlJc w:val="left"/>
      <w:pPr>
        <w:ind w:left="2268" w:hanging="1984"/>
      </w:pPr>
      <w:rPr>
        <w:rFonts w:hint="eastAsia"/>
      </w:rPr>
    </w:lvl>
    <w:lvl w:ilvl="4">
      <w:start w:val="1"/>
      <w:numFmt w:val="decimal"/>
      <w:pStyle w:val="5"/>
      <w:suff w:val="space"/>
      <w:lvlText w:val="§4.%2.%3.%4.%5"/>
      <w:lvlJc w:val="left"/>
      <w:pPr>
        <w:ind w:left="1985" w:hanging="198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5102" w:hanging="1700"/>
      </w:pPr>
      <w:rPr>
        <w:rFonts w:hint="eastAsia"/>
      </w:rPr>
    </w:lvl>
  </w:abstractNum>
  <w:abstractNum w:abstractNumId="13" w15:restartNumberingAfterBreak="0">
    <w:nsid w:val="63A73B57"/>
    <w:multiLevelType w:val="multilevel"/>
    <w:tmpl w:val="63A73B57"/>
    <w:lvl w:ilvl="0">
      <w:start w:val="1"/>
      <w:numFmt w:val="chineseCountingThousand"/>
      <w:suff w:val="space"/>
      <w:lvlText w:val="(%1)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num w:numId="1" w16cid:durableId="146098670">
    <w:abstractNumId w:val="0"/>
  </w:num>
  <w:num w:numId="2" w16cid:durableId="1212494573">
    <w:abstractNumId w:val="12"/>
  </w:num>
  <w:num w:numId="3" w16cid:durableId="6556478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0778214">
    <w:abstractNumId w:val="8"/>
  </w:num>
  <w:num w:numId="5" w16cid:durableId="146095003">
    <w:abstractNumId w:val="2"/>
  </w:num>
  <w:num w:numId="6" w16cid:durableId="1599831990">
    <w:abstractNumId w:val="6"/>
  </w:num>
  <w:num w:numId="7" w16cid:durableId="2130395982">
    <w:abstractNumId w:val="3"/>
  </w:num>
  <w:num w:numId="8" w16cid:durableId="1411198888">
    <w:abstractNumId w:val="13"/>
  </w:num>
  <w:num w:numId="9" w16cid:durableId="8256347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227223">
    <w:abstractNumId w:val="4"/>
  </w:num>
  <w:num w:numId="11" w16cid:durableId="687685141">
    <w:abstractNumId w:val="9"/>
  </w:num>
  <w:num w:numId="12" w16cid:durableId="1613785485">
    <w:abstractNumId w:val="5"/>
  </w:num>
  <w:num w:numId="13" w16cid:durableId="711998552">
    <w:abstractNumId w:val="7"/>
  </w:num>
  <w:num w:numId="14" w16cid:durableId="284850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JjYTc5N2YxOGRjNDM0YzkxMzAzMTJkYTdjODdhOWYifQ=="/>
  </w:docVars>
  <w:rsids>
    <w:rsidRoot w:val="00603670"/>
    <w:rsid w:val="0000298A"/>
    <w:rsid w:val="0000467F"/>
    <w:rsid w:val="00011A82"/>
    <w:rsid w:val="000163AB"/>
    <w:rsid w:val="00027036"/>
    <w:rsid w:val="00034060"/>
    <w:rsid w:val="00042B6B"/>
    <w:rsid w:val="000431C9"/>
    <w:rsid w:val="00045E6F"/>
    <w:rsid w:val="00050534"/>
    <w:rsid w:val="00052798"/>
    <w:rsid w:val="00053978"/>
    <w:rsid w:val="0005463F"/>
    <w:rsid w:val="000565F1"/>
    <w:rsid w:val="0006472A"/>
    <w:rsid w:val="00067493"/>
    <w:rsid w:val="00072D57"/>
    <w:rsid w:val="000749D9"/>
    <w:rsid w:val="00075391"/>
    <w:rsid w:val="00076297"/>
    <w:rsid w:val="00082CDE"/>
    <w:rsid w:val="00083BE6"/>
    <w:rsid w:val="00086BDC"/>
    <w:rsid w:val="000A6C4C"/>
    <w:rsid w:val="000A6EAA"/>
    <w:rsid w:val="000B040C"/>
    <w:rsid w:val="000B3F59"/>
    <w:rsid w:val="000B4E07"/>
    <w:rsid w:val="000C5ABD"/>
    <w:rsid w:val="000D5C55"/>
    <w:rsid w:val="000E1199"/>
    <w:rsid w:val="000E4C42"/>
    <w:rsid w:val="000F1249"/>
    <w:rsid w:val="000F423D"/>
    <w:rsid w:val="00100860"/>
    <w:rsid w:val="001022AB"/>
    <w:rsid w:val="00107E2D"/>
    <w:rsid w:val="0011556A"/>
    <w:rsid w:val="00116EDF"/>
    <w:rsid w:val="00123BEA"/>
    <w:rsid w:val="001304CF"/>
    <w:rsid w:val="00132FE1"/>
    <w:rsid w:val="00140AD2"/>
    <w:rsid w:val="00145AE8"/>
    <w:rsid w:val="0016171E"/>
    <w:rsid w:val="00175ECB"/>
    <w:rsid w:val="001775AE"/>
    <w:rsid w:val="00182BE9"/>
    <w:rsid w:val="001836A3"/>
    <w:rsid w:val="001863E0"/>
    <w:rsid w:val="00193765"/>
    <w:rsid w:val="001A0DDF"/>
    <w:rsid w:val="001A2C19"/>
    <w:rsid w:val="001A769F"/>
    <w:rsid w:val="001B0A70"/>
    <w:rsid w:val="001B3438"/>
    <w:rsid w:val="001B74DB"/>
    <w:rsid w:val="001C071E"/>
    <w:rsid w:val="001C3D61"/>
    <w:rsid w:val="001C43C7"/>
    <w:rsid w:val="001C6BE3"/>
    <w:rsid w:val="001C7EAF"/>
    <w:rsid w:val="001D1026"/>
    <w:rsid w:val="001D33E6"/>
    <w:rsid w:val="001D3E3B"/>
    <w:rsid w:val="001E3291"/>
    <w:rsid w:val="001E48AC"/>
    <w:rsid w:val="001E4D28"/>
    <w:rsid w:val="001E5C33"/>
    <w:rsid w:val="001F3F8C"/>
    <w:rsid w:val="001F59BB"/>
    <w:rsid w:val="0020323E"/>
    <w:rsid w:val="002056C6"/>
    <w:rsid w:val="00207081"/>
    <w:rsid w:val="002379C7"/>
    <w:rsid w:val="0024390D"/>
    <w:rsid w:val="00251790"/>
    <w:rsid w:val="00253352"/>
    <w:rsid w:val="00254ED9"/>
    <w:rsid w:val="00262DAA"/>
    <w:rsid w:val="0026399A"/>
    <w:rsid w:val="002674A4"/>
    <w:rsid w:val="00270E13"/>
    <w:rsid w:val="00274FF8"/>
    <w:rsid w:val="002811FA"/>
    <w:rsid w:val="00283853"/>
    <w:rsid w:val="00283A1B"/>
    <w:rsid w:val="002920CA"/>
    <w:rsid w:val="0029296F"/>
    <w:rsid w:val="00293F3E"/>
    <w:rsid w:val="002A1D82"/>
    <w:rsid w:val="002A1FE5"/>
    <w:rsid w:val="002A50F6"/>
    <w:rsid w:val="002B2992"/>
    <w:rsid w:val="002B4DF8"/>
    <w:rsid w:val="002B6918"/>
    <w:rsid w:val="002B6EEB"/>
    <w:rsid w:val="002C2E94"/>
    <w:rsid w:val="002C7CC8"/>
    <w:rsid w:val="002D38B1"/>
    <w:rsid w:val="002D4EBD"/>
    <w:rsid w:val="002D5B83"/>
    <w:rsid w:val="002E0263"/>
    <w:rsid w:val="002E61D3"/>
    <w:rsid w:val="002E66A9"/>
    <w:rsid w:val="002F352E"/>
    <w:rsid w:val="002F4A33"/>
    <w:rsid w:val="002F5E67"/>
    <w:rsid w:val="0031356B"/>
    <w:rsid w:val="0032150E"/>
    <w:rsid w:val="00327C22"/>
    <w:rsid w:val="003309BC"/>
    <w:rsid w:val="00332AF3"/>
    <w:rsid w:val="00336F07"/>
    <w:rsid w:val="00342E19"/>
    <w:rsid w:val="00355F34"/>
    <w:rsid w:val="00361074"/>
    <w:rsid w:val="00366797"/>
    <w:rsid w:val="00374F40"/>
    <w:rsid w:val="003818F2"/>
    <w:rsid w:val="00383905"/>
    <w:rsid w:val="00384761"/>
    <w:rsid w:val="00392176"/>
    <w:rsid w:val="00392847"/>
    <w:rsid w:val="00393D24"/>
    <w:rsid w:val="00394537"/>
    <w:rsid w:val="00395A64"/>
    <w:rsid w:val="00395C9C"/>
    <w:rsid w:val="003A3D21"/>
    <w:rsid w:val="003A6594"/>
    <w:rsid w:val="003B0A20"/>
    <w:rsid w:val="003B48C0"/>
    <w:rsid w:val="003B4A3E"/>
    <w:rsid w:val="003B5D20"/>
    <w:rsid w:val="003C419C"/>
    <w:rsid w:val="003C5908"/>
    <w:rsid w:val="003C7DC9"/>
    <w:rsid w:val="003D2DE8"/>
    <w:rsid w:val="003D3C42"/>
    <w:rsid w:val="003E273C"/>
    <w:rsid w:val="003E4186"/>
    <w:rsid w:val="003E7F12"/>
    <w:rsid w:val="003F38D5"/>
    <w:rsid w:val="00403AB2"/>
    <w:rsid w:val="00412749"/>
    <w:rsid w:val="00413C65"/>
    <w:rsid w:val="004211A3"/>
    <w:rsid w:val="00425F66"/>
    <w:rsid w:val="00431DBE"/>
    <w:rsid w:val="00433B9F"/>
    <w:rsid w:val="00440B03"/>
    <w:rsid w:val="00452633"/>
    <w:rsid w:val="00452AC6"/>
    <w:rsid w:val="004535E8"/>
    <w:rsid w:val="004556E5"/>
    <w:rsid w:val="00456ED5"/>
    <w:rsid w:val="0045760A"/>
    <w:rsid w:val="004610D7"/>
    <w:rsid w:val="004613B9"/>
    <w:rsid w:val="0047081D"/>
    <w:rsid w:val="0047137B"/>
    <w:rsid w:val="004765F8"/>
    <w:rsid w:val="00476745"/>
    <w:rsid w:val="00476899"/>
    <w:rsid w:val="00484EBC"/>
    <w:rsid w:val="00491492"/>
    <w:rsid w:val="00492B35"/>
    <w:rsid w:val="00493336"/>
    <w:rsid w:val="00494623"/>
    <w:rsid w:val="00496883"/>
    <w:rsid w:val="004A36A8"/>
    <w:rsid w:val="004B4136"/>
    <w:rsid w:val="004B4F18"/>
    <w:rsid w:val="004B57DA"/>
    <w:rsid w:val="004B7182"/>
    <w:rsid w:val="004C523B"/>
    <w:rsid w:val="004D2165"/>
    <w:rsid w:val="004D2617"/>
    <w:rsid w:val="004D2A3E"/>
    <w:rsid w:val="004D491B"/>
    <w:rsid w:val="004D6D34"/>
    <w:rsid w:val="004E3790"/>
    <w:rsid w:val="004E6857"/>
    <w:rsid w:val="004F1479"/>
    <w:rsid w:val="00501334"/>
    <w:rsid w:val="00501F2E"/>
    <w:rsid w:val="00516CC8"/>
    <w:rsid w:val="00521996"/>
    <w:rsid w:val="00522280"/>
    <w:rsid w:val="005316BD"/>
    <w:rsid w:val="005321A8"/>
    <w:rsid w:val="00533B92"/>
    <w:rsid w:val="00534F6E"/>
    <w:rsid w:val="00535EEC"/>
    <w:rsid w:val="005426D8"/>
    <w:rsid w:val="005456E9"/>
    <w:rsid w:val="005462F7"/>
    <w:rsid w:val="00552113"/>
    <w:rsid w:val="005521A5"/>
    <w:rsid w:val="00555B34"/>
    <w:rsid w:val="00555C6F"/>
    <w:rsid w:val="00565168"/>
    <w:rsid w:val="005656FE"/>
    <w:rsid w:val="005678E8"/>
    <w:rsid w:val="00581598"/>
    <w:rsid w:val="00585A83"/>
    <w:rsid w:val="00591BC0"/>
    <w:rsid w:val="00593C7A"/>
    <w:rsid w:val="00594083"/>
    <w:rsid w:val="00594BBB"/>
    <w:rsid w:val="00597F26"/>
    <w:rsid w:val="005A473C"/>
    <w:rsid w:val="005A6E5C"/>
    <w:rsid w:val="005B090F"/>
    <w:rsid w:val="005B1D70"/>
    <w:rsid w:val="005B3699"/>
    <w:rsid w:val="005B3711"/>
    <w:rsid w:val="005C064C"/>
    <w:rsid w:val="005C3A40"/>
    <w:rsid w:val="005D72B7"/>
    <w:rsid w:val="005D796C"/>
    <w:rsid w:val="005E4015"/>
    <w:rsid w:val="005E748F"/>
    <w:rsid w:val="005F00ED"/>
    <w:rsid w:val="005F010C"/>
    <w:rsid w:val="005F0A32"/>
    <w:rsid w:val="005F4F7A"/>
    <w:rsid w:val="005F6D53"/>
    <w:rsid w:val="00603670"/>
    <w:rsid w:val="006037D5"/>
    <w:rsid w:val="00616532"/>
    <w:rsid w:val="00616AE3"/>
    <w:rsid w:val="00616FCE"/>
    <w:rsid w:val="00620F2C"/>
    <w:rsid w:val="00627F1C"/>
    <w:rsid w:val="0063218B"/>
    <w:rsid w:val="00635185"/>
    <w:rsid w:val="00636814"/>
    <w:rsid w:val="0064715C"/>
    <w:rsid w:val="006558FE"/>
    <w:rsid w:val="0066018A"/>
    <w:rsid w:val="00661499"/>
    <w:rsid w:val="00673379"/>
    <w:rsid w:val="006753B4"/>
    <w:rsid w:val="00677610"/>
    <w:rsid w:val="006779F7"/>
    <w:rsid w:val="006800BF"/>
    <w:rsid w:val="00680244"/>
    <w:rsid w:val="006817FD"/>
    <w:rsid w:val="006923B3"/>
    <w:rsid w:val="006A4C9D"/>
    <w:rsid w:val="006A61C8"/>
    <w:rsid w:val="006A6288"/>
    <w:rsid w:val="006A703E"/>
    <w:rsid w:val="006B07B5"/>
    <w:rsid w:val="006B1BFB"/>
    <w:rsid w:val="006B764E"/>
    <w:rsid w:val="006D1E9D"/>
    <w:rsid w:val="006D213E"/>
    <w:rsid w:val="006D5FC6"/>
    <w:rsid w:val="006D7DC9"/>
    <w:rsid w:val="006D7E04"/>
    <w:rsid w:val="006E738A"/>
    <w:rsid w:val="006F2BCF"/>
    <w:rsid w:val="00700C51"/>
    <w:rsid w:val="00704006"/>
    <w:rsid w:val="00704031"/>
    <w:rsid w:val="007056A1"/>
    <w:rsid w:val="007059E9"/>
    <w:rsid w:val="0071097B"/>
    <w:rsid w:val="007128C2"/>
    <w:rsid w:val="00712EA4"/>
    <w:rsid w:val="00713BF5"/>
    <w:rsid w:val="00715D44"/>
    <w:rsid w:val="00717FA5"/>
    <w:rsid w:val="007214B0"/>
    <w:rsid w:val="007223A1"/>
    <w:rsid w:val="00724E13"/>
    <w:rsid w:val="00726EDF"/>
    <w:rsid w:val="00731504"/>
    <w:rsid w:val="007342B9"/>
    <w:rsid w:val="00741354"/>
    <w:rsid w:val="007440B0"/>
    <w:rsid w:val="007470DA"/>
    <w:rsid w:val="00754E1F"/>
    <w:rsid w:val="00761C9A"/>
    <w:rsid w:val="00762179"/>
    <w:rsid w:val="00764650"/>
    <w:rsid w:val="00766BD6"/>
    <w:rsid w:val="00767B4E"/>
    <w:rsid w:val="00772ED2"/>
    <w:rsid w:val="007743EF"/>
    <w:rsid w:val="00781170"/>
    <w:rsid w:val="00781957"/>
    <w:rsid w:val="00783B9B"/>
    <w:rsid w:val="0079465B"/>
    <w:rsid w:val="007A5550"/>
    <w:rsid w:val="007B16F9"/>
    <w:rsid w:val="007B645B"/>
    <w:rsid w:val="007B6FEA"/>
    <w:rsid w:val="007C5792"/>
    <w:rsid w:val="007C57AD"/>
    <w:rsid w:val="007C57F5"/>
    <w:rsid w:val="007D06C7"/>
    <w:rsid w:val="007D2F23"/>
    <w:rsid w:val="007D4FCF"/>
    <w:rsid w:val="007D54C7"/>
    <w:rsid w:val="007E26FA"/>
    <w:rsid w:val="007E3EDE"/>
    <w:rsid w:val="007F26F4"/>
    <w:rsid w:val="007F6B25"/>
    <w:rsid w:val="007F7D95"/>
    <w:rsid w:val="0080065E"/>
    <w:rsid w:val="008034FC"/>
    <w:rsid w:val="00803518"/>
    <w:rsid w:val="00804AA0"/>
    <w:rsid w:val="00807671"/>
    <w:rsid w:val="00811E08"/>
    <w:rsid w:val="00812470"/>
    <w:rsid w:val="008124C1"/>
    <w:rsid w:val="0082229E"/>
    <w:rsid w:val="00825FF0"/>
    <w:rsid w:val="00826B4F"/>
    <w:rsid w:val="00830919"/>
    <w:rsid w:val="00833B2F"/>
    <w:rsid w:val="00847407"/>
    <w:rsid w:val="008537C7"/>
    <w:rsid w:val="0085406A"/>
    <w:rsid w:val="008556E4"/>
    <w:rsid w:val="00856F2F"/>
    <w:rsid w:val="00874F9D"/>
    <w:rsid w:val="00875023"/>
    <w:rsid w:val="00881257"/>
    <w:rsid w:val="008817C4"/>
    <w:rsid w:val="00882269"/>
    <w:rsid w:val="00887228"/>
    <w:rsid w:val="00896CD1"/>
    <w:rsid w:val="008A5110"/>
    <w:rsid w:val="008A59A3"/>
    <w:rsid w:val="008A7093"/>
    <w:rsid w:val="008A75A4"/>
    <w:rsid w:val="008B615C"/>
    <w:rsid w:val="008B7BAC"/>
    <w:rsid w:val="008B7C71"/>
    <w:rsid w:val="008C2AB1"/>
    <w:rsid w:val="008C3917"/>
    <w:rsid w:val="008C7245"/>
    <w:rsid w:val="008D0A5A"/>
    <w:rsid w:val="008E3CD8"/>
    <w:rsid w:val="008E49E5"/>
    <w:rsid w:val="008E6EDC"/>
    <w:rsid w:val="008F0053"/>
    <w:rsid w:val="008F0594"/>
    <w:rsid w:val="008F3BD8"/>
    <w:rsid w:val="008F3E0F"/>
    <w:rsid w:val="008F3F79"/>
    <w:rsid w:val="008F480D"/>
    <w:rsid w:val="00901401"/>
    <w:rsid w:val="00904D13"/>
    <w:rsid w:val="009112D2"/>
    <w:rsid w:val="00920775"/>
    <w:rsid w:val="009227C3"/>
    <w:rsid w:val="0092421F"/>
    <w:rsid w:val="009304A1"/>
    <w:rsid w:val="00931494"/>
    <w:rsid w:val="00932E40"/>
    <w:rsid w:val="00936570"/>
    <w:rsid w:val="009378E8"/>
    <w:rsid w:val="00937F4D"/>
    <w:rsid w:val="0094531F"/>
    <w:rsid w:val="00945388"/>
    <w:rsid w:val="00945FC8"/>
    <w:rsid w:val="0094675A"/>
    <w:rsid w:val="00947F7D"/>
    <w:rsid w:val="009500CB"/>
    <w:rsid w:val="00950D89"/>
    <w:rsid w:val="00966193"/>
    <w:rsid w:val="009666D4"/>
    <w:rsid w:val="00966E16"/>
    <w:rsid w:val="00977403"/>
    <w:rsid w:val="00981FCF"/>
    <w:rsid w:val="00986D1B"/>
    <w:rsid w:val="009877F1"/>
    <w:rsid w:val="00990253"/>
    <w:rsid w:val="00991F41"/>
    <w:rsid w:val="009A21C0"/>
    <w:rsid w:val="009A3F9D"/>
    <w:rsid w:val="009A4BF3"/>
    <w:rsid w:val="009B3FBA"/>
    <w:rsid w:val="009B4D41"/>
    <w:rsid w:val="009B509D"/>
    <w:rsid w:val="009B703D"/>
    <w:rsid w:val="009C1303"/>
    <w:rsid w:val="009C1D0E"/>
    <w:rsid w:val="009C2D78"/>
    <w:rsid w:val="009D0859"/>
    <w:rsid w:val="009D4FC9"/>
    <w:rsid w:val="009E2920"/>
    <w:rsid w:val="009E5075"/>
    <w:rsid w:val="009E5F7B"/>
    <w:rsid w:val="009F22AA"/>
    <w:rsid w:val="00A042E3"/>
    <w:rsid w:val="00A0472A"/>
    <w:rsid w:val="00A101C4"/>
    <w:rsid w:val="00A11D18"/>
    <w:rsid w:val="00A123F8"/>
    <w:rsid w:val="00A13934"/>
    <w:rsid w:val="00A16824"/>
    <w:rsid w:val="00A16C1A"/>
    <w:rsid w:val="00A17264"/>
    <w:rsid w:val="00A202CE"/>
    <w:rsid w:val="00A258AD"/>
    <w:rsid w:val="00A30C64"/>
    <w:rsid w:val="00A35A63"/>
    <w:rsid w:val="00A4057D"/>
    <w:rsid w:val="00A444BF"/>
    <w:rsid w:val="00A45A6D"/>
    <w:rsid w:val="00A8143C"/>
    <w:rsid w:val="00A82740"/>
    <w:rsid w:val="00A86591"/>
    <w:rsid w:val="00A86FB9"/>
    <w:rsid w:val="00AA2719"/>
    <w:rsid w:val="00AA4A01"/>
    <w:rsid w:val="00AA6FF2"/>
    <w:rsid w:val="00AB35F4"/>
    <w:rsid w:val="00AB6105"/>
    <w:rsid w:val="00AB690D"/>
    <w:rsid w:val="00AB6A8B"/>
    <w:rsid w:val="00AC2AF9"/>
    <w:rsid w:val="00AD07E2"/>
    <w:rsid w:val="00AD08E8"/>
    <w:rsid w:val="00AD1A14"/>
    <w:rsid w:val="00AD26FD"/>
    <w:rsid w:val="00AD3C05"/>
    <w:rsid w:val="00AD6219"/>
    <w:rsid w:val="00AD65A2"/>
    <w:rsid w:val="00AE270A"/>
    <w:rsid w:val="00AE2F48"/>
    <w:rsid w:val="00AE49ED"/>
    <w:rsid w:val="00AE7CC5"/>
    <w:rsid w:val="00AF1D6C"/>
    <w:rsid w:val="00AF4372"/>
    <w:rsid w:val="00B0099A"/>
    <w:rsid w:val="00B06AE0"/>
    <w:rsid w:val="00B16927"/>
    <w:rsid w:val="00B3479A"/>
    <w:rsid w:val="00B4385C"/>
    <w:rsid w:val="00B4687C"/>
    <w:rsid w:val="00B51C54"/>
    <w:rsid w:val="00B5406D"/>
    <w:rsid w:val="00B617FE"/>
    <w:rsid w:val="00B8320C"/>
    <w:rsid w:val="00B85FC9"/>
    <w:rsid w:val="00B93774"/>
    <w:rsid w:val="00B9732A"/>
    <w:rsid w:val="00BA1245"/>
    <w:rsid w:val="00BA2954"/>
    <w:rsid w:val="00BA578C"/>
    <w:rsid w:val="00BB2864"/>
    <w:rsid w:val="00BB435C"/>
    <w:rsid w:val="00BB45E3"/>
    <w:rsid w:val="00BB566D"/>
    <w:rsid w:val="00BB5881"/>
    <w:rsid w:val="00BB67EB"/>
    <w:rsid w:val="00BC2466"/>
    <w:rsid w:val="00BC4505"/>
    <w:rsid w:val="00BC697C"/>
    <w:rsid w:val="00BD3301"/>
    <w:rsid w:val="00BD4CD9"/>
    <w:rsid w:val="00BD56D5"/>
    <w:rsid w:val="00BF04FE"/>
    <w:rsid w:val="00BF2CDB"/>
    <w:rsid w:val="00BF568B"/>
    <w:rsid w:val="00C00098"/>
    <w:rsid w:val="00C02598"/>
    <w:rsid w:val="00C0283A"/>
    <w:rsid w:val="00C05DEA"/>
    <w:rsid w:val="00C2026A"/>
    <w:rsid w:val="00C20444"/>
    <w:rsid w:val="00C21B82"/>
    <w:rsid w:val="00C31252"/>
    <w:rsid w:val="00C35B76"/>
    <w:rsid w:val="00C368FE"/>
    <w:rsid w:val="00C40805"/>
    <w:rsid w:val="00C476C2"/>
    <w:rsid w:val="00C50DD0"/>
    <w:rsid w:val="00C5370A"/>
    <w:rsid w:val="00C53E5B"/>
    <w:rsid w:val="00C541C5"/>
    <w:rsid w:val="00C56A1C"/>
    <w:rsid w:val="00C62C70"/>
    <w:rsid w:val="00C64670"/>
    <w:rsid w:val="00C65789"/>
    <w:rsid w:val="00C6648C"/>
    <w:rsid w:val="00C66638"/>
    <w:rsid w:val="00C7060E"/>
    <w:rsid w:val="00C70CFB"/>
    <w:rsid w:val="00C76722"/>
    <w:rsid w:val="00C776A4"/>
    <w:rsid w:val="00C83E6E"/>
    <w:rsid w:val="00C90DA1"/>
    <w:rsid w:val="00C915E7"/>
    <w:rsid w:val="00C92525"/>
    <w:rsid w:val="00C958DC"/>
    <w:rsid w:val="00CA090A"/>
    <w:rsid w:val="00CA0CCB"/>
    <w:rsid w:val="00CA0FD7"/>
    <w:rsid w:val="00CB5B5C"/>
    <w:rsid w:val="00CC17D4"/>
    <w:rsid w:val="00CD143C"/>
    <w:rsid w:val="00CD57F2"/>
    <w:rsid w:val="00CD68A8"/>
    <w:rsid w:val="00CE5A60"/>
    <w:rsid w:val="00CE628D"/>
    <w:rsid w:val="00CE71FC"/>
    <w:rsid w:val="00CF2666"/>
    <w:rsid w:val="00CF59AA"/>
    <w:rsid w:val="00D002F2"/>
    <w:rsid w:val="00D00A26"/>
    <w:rsid w:val="00D015A2"/>
    <w:rsid w:val="00D10E67"/>
    <w:rsid w:val="00D2020D"/>
    <w:rsid w:val="00D221F4"/>
    <w:rsid w:val="00D24487"/>
    <w:rsid w:val="00D3190E"/>
    <w:rsid w:val="00D32910"/>
    <w:rsid w:val="00D334D5"/>
    <w:rsid w:val="00D41875"/>
    <w:rsid w:val="00D4308A"/>
    <w:rsid w:val="00D4630A"/>
    <w:rsid w:val="00D467C0"/>
    <w:rsid w:val="00D51CA0"/>
    <w:rsid w:val="00D533FC"/>
    <w:rsid w:val="00D55206"/>
    <w:rsid w:val="00D55DA2"/>
    <w:rsid w:val="00D60FE5"/>
    <w:rsid w:val="00D61271"/>
    <w:rsid w:val="00D638E3"/>
    <w:rsid w:val="00D7179D"/>
    <w:rsid w:val="00D71805"/>
    <w:rsid w:val="00D73DC3"/>
    <w:rsid w:val="00D8277B"/>
    <w:rsid w:val="00D82EF0"/>
    <w:rsid w:val="00D830E8"/>
    <w:rsid w:val="00D8536A"/>
    <w:rsid w:val="00D85DD8"/>
    <w:rsid w:val="00D9501D"/>
    <w:rsid w:val="00D953AB"/>
    <w:rsid w:val="00D95FC8"/>
    <w:rsid w:val="00D96CBE"/>
    <w:rsid w:val="00DA53B7"/>
    <w:rsid w:val="00DA5447"/>
    <w:rsid w:val="00DC5710"/>
    <w:rsid w:val="00DD1F0C"/>
    <w:rsid w:val="00DD2C2A"/>
    <w:rsid w:val="00DD3557"/>
    <w:rsid w:val="00DD4221"/>
    <w:rsid w:val="00DE1B1D"/>
    <w:rsid w:val="00DF2021"/>
    <w:rsid w:val="00DF6A68"/>
    <w:rsid w:val="00E01E1E"/>
    <w:rsid w:val="00E01F9F"/>
    <w:rsid w:val="00E05E76"/>
    <w:rsid w:val="00E06F98"/>
    <w:rsid w:val="00E07AB9"/>
    <w:rsid w:val="00E127FA"/>
    <w:rsid w:val="00E21482"/>
    <w:rsid w:val="00E255DD"/>
    <w:rsid w:val="00E300EB"/>
    <w:rsid w:val="00E33E2A"/>
    <w:rsid w:val="00E3421A"/>
    <w:rsid w:val="00E34EB3"/>
    <w:rsid w:val="00E4552F"/>
    <w:rsid w:val="00E456ED"/>
    <w:rsid w:val="00E52B0C"/>
    <w:rsid w:val="00E5612D"/>
    <w:rsid w:val="00E672D3"/>
    <w:rsid w:val="00E70313"/>
    <w:rsid w:val="00E81F84"/>
    <w:rsid w:val="00E84F37"/>
    <w:rsid w:val="00E9295A"/>
    <w:rsid w:val="00E96562"/>
    <w:rsid w:val="00E96CF6"/>
    <w:rsid w:val="00EA08B8"/>
    <w:rsid w:val="00EA1D68"/>
    <w:rsid w:val="00EA3D4B"/>
    <w:rsid w:val="00EA6C46"/>
    <w:rsid w:val="00EB31FE"/>
    <w:rsid w:val="00EB3E5D"/>
    <w:rsid w:val="00EC5CF8"/>
    <w:rsid w:val="00EC65BF"/>
    <w:rsid w:val="00EC6A4D"/>
    <w:rsid w:val="00EC6B71"/>
    <w:rsid w:val="00ED0F4C"/>
    <w:rsid w:val="00ED5181"/>
    <w:rsid w:val="00EE203B"/>
    <w:rsid w:val="00EE22B8"/>
    <w:rsid w:val="00EE532B"/>
    <w:rsid w:val="00EE6332"/>
    <w:rsid w:val="00EE7439"/>
    <w:rsid w:val="00EF1B95"/>
    <w:rsid w:val="00EF3265"/>
    <w:rsid w:val="00EF5F21"/>
    <w:rsid w:val="00F01C37"/>
    <w:rsid w:val="00F02AD3"/>
    <w:rsid w:val="00F124EF"/>
    <w:rsid w:val="00F13EB5"/>
    <w:rsid w:val="00F14A8B"/>
    <w:rsid w:val="00F15985"/>
    <w:rsid w:val="00F1651A"/>
    <w:rsid w:val="00F16A55"/>
    <w:rsid w:val="00F21DD8"/>
    <w:rsid w:val="00F2484C"/>
    <w:rsid w:val="00F25AF1"/>
    <w:rsid w:val="00F264F6"/>
    <w:rsid w:val="00F31DBA"/>
    <w:rsid w:val="00F31E19"/>
    <w:rsid w:val="00F41D13"/>
    <w:rsid w:val="00F4747C"/>
    <w:rsid w:val="00F4761E"/>
    <w:rsid w:val="00F5165D"/>
    <w:rsid w:val="00F523A2"/>
    <w:rsid w:val="00F60144"/>
    <w:rsid w:val="00F61DA9"/>
    <w:rsid w:val="00F62E3C"/>
    <w:rsid w:val="00F67ABD"/>
    <w:rsid w:val="00F705B7"/>
    <w:rsid w:val="00F71BEE"/>
    <w:rsid w:val="00F74919"/>
    <w:rsid w:val="00F83BA9"/>
    <w:rsid w:val="00FA52F7"/>
    <w:rsid w:val="00FB7C68"/>
    <w:rsid w:val="00FC353C"/>
    <w:rsid w:val="00FD0BFD"/>
    <w:rsid w:val="00FD12C6"/>
    <w:rsid w:val="00FD56B9"/>
    <w:rsid w:val="00FE1170"/>
    <w:rsid w:val="00FE25FB"/>
    <w:rsid w:val="00FE29D4"/>
    <w:rsid w:val="00FE3A2F"/>
    <w:rsid w:val="00FE70DB"/>
    <w:rsid w:val="00FF04E2"/>
    <w:rsid w:val="00FF424F"/>
    <w:rsid w:val="01EF0FF5"/>
    <w:rsid w:val="02AB1B36"/>
    <w:rsid w:val="033F6EB7"/>
    <w:rsid w:val="03DD2175"/>
    <w:rsid w:val="04A020B8"/>
    <w:rsid w:val="05886611"/>
    <w:rsid w:val="05C74AC6"/>
    <w:rsid w:val="062E63CA"/>
    <w:rsid w:val="06574096"/>
    <w:rsid w:val="08411DA3"/>
    <w:rsid w:val="09B172F2"/>
    <w:rsid w:val="0A8844B9"/>
    <w:rsid w:val="0ABC1F51"/>
    <w:rsid w:val="0B8926FD"/>
    <w:rsid w:val="0BD31845"/>
    <w:rsid w:val="0C57716B"/>
    <w:rsid w:val="0E834BA2"/>
    <w:rsid w:val="0EF31ADA"/>
    <w:rsid w:val="0F732A17"/>
    <w:rsid w:val="0F796781"/>
    <w:rsid w:val="10CE11C2"/>
    <w:rsid w:val="10F6168D"/>
    <w:rsid w:val="11F25759"/>
    <w:rsid w:val="127558BB"/>
    <w:rsid w:val="13B9114E"/>
    <w:rsid w:val="15403AF5"/>
    <w:rsid w:val="192B2E0D"/>
    <w:rsid w:val="193250E1"/>
    <w:rsid w:val="19445842"/>
    <w:rsid w:val="19872D42"/>
    <w:rsid w:val="19C65CB0"/>
    <w:rsid w:val="1A5B1C7D"/>
    <w:rsid w:val="1A953292"/>
    <w:rsid w:val="1AA3012F"/>
    <w:rsid w:val="1B6E5836"/>
    <w:rsid w:val="1C95029D"/>
    <w:rsid w:val="1CDF2AF5"/>
    <w:rsid w:val="1CFE2EDE"/>
    <w:rsid w:val="1D5364EE"/>
    <w:rsid w:val="1EFE68A6"/>
    <w:rsid w:val="211778F3"/>
    <w:rsid w:val="224D4C29"/>
    <w:rsid w:val="23F23BF1"/>
    <w:rsid w:val="24E822F5"/>
    <w:rsid w:val="25116B0E"/>
    <w:rsid w:val="266647A9"/>
    <w:rsid w:val="26957599"/>
    <w:rsid w:val="26A469C8"/>
    <w:rsid w:val="271E4788"/>
    <w:rsid w:val="2837268E"/>
    <w:rsid w:val="285966AC"/>
    <w:rsid w:val="294B4407"/>
    <w:rsid w:val="2A885DBF"/>
    <w:rsid w:val="2B45410A"/>
    <w:rsid w:val="2D61674D"/>
    <w:rsid w:val="2DCF11B3"/>
    <w:rsid w:val="2E90068D"/>
    <w:rsid w:val="2EDC352E"/>
    <w:rsid w:val="302D50EF"/>
    <w:rsid w:val="30390D84"/>
    <w:rsid w:val="30561BA3"/>
    <w:rsid w:val="30D707F7"/>
    <w:rsid w:val="311A5814"/>
    <w:rsid w:val="33DC0CBB"/>
    <w:rsid w:val="34314EC4"/>
    <w:rsid w:val="34497053"/>
    <w:rsid w:val="36681A70"/>
    <w:rsid w:val="37BA5346"/>
    <w:rsid w:val="37CD359F"/>
    <w:rsid w:val="38634537"/>
    <w:rsid w:val="38C34BA0"/>
    <w:rsid w:val="392104B3"/>
    <w:rsid w:val="393530A5"/>
    <w:rsid w:val="3A852125"/>
    <w:rsid w:val="3B0434A5"/>
    <w:rsid w:val="3B4101FC"/>
    <w:rsid w:val="3C247CE6"/>
    <w:rsid w:val="3C927AA1"/>
    <w:rsid w:val="3E3A2089"/>
    <w:rsid w:val="3E602BE4"/>
    <w:rsid w:val="3EBE13D2"/>
    <w:rsid w:val="3F211FA6"/>
    <w:rsid w:val="3F9B4722"/>
    <w:rsid w:val="3FCA5EF8"/>
    <w:rsid w:val="413460A7"/>
    <w:rsid w:val="41410E54"/>
    <w:rsid w:val="4190289F"/>
    <w:rsid w:val="42E9070B"/>
    <w:rsid w:val="43374264"/>
    <w:rsid w:val="43A873A3"/>
    <w:rsid w:val="4454649A"/>
    <w:rsid w:val="445470A2"/>
    <w:rsid w:val="46135775"/>
    <w:rsid w:val="46302DC8"/>
    <w:rsid w:val="49780D9D"/>
    <w:rsid w:val="4AA24480"/>
    <w:rsid w:val="4B001ED9"/>
    <w:rsid w:val="4BA243DC"/>
    <w:rsid w:val="4BB5101A"/>
    <w:rsid w:val="4CEF73A8"/>
    <w:rsid w:val="4D0C476C"/>
    <w:rsid w:val="4D247123"/>
    <w:rsid w:val="4F5032BA"/>
    <w:rsid w:val="500D64F7"/>
    <w:rsid w:val="5180267B"/>
    <w:rsid w:val="53CD3401"/>
    <w:rsid w:val="547774EA"/>
    <w:rsid w:val="54F447AB"/>
    <w:rsid w:val="5565056E"/>
    <w:rsid w:val="56EA278B"/>
    <w:rsid w:val="56F40D8C"/>
    <w:rsid w:val="57614189"/>
    <w:rsid w:val="58A636D4"/>
    <w:rsid w:val="58E61B7F"/>
    <w:rsid w:val="5B1F44DA"/>
    <w:rsid w:val="5BB15E88"/>
    <w:rsid w:val="5C910967"/>
    <w:rsid w:val="5D636AEB"/>
    <w:rsid w:val="5E0A23ED"/>
    <w:rsid w:val="5EAC5CAB"/>
    <w:rsid w:val="5F9E31B1"/>
    <w:rsid w:val="60162B38"/>
    <w:rsid w:val="60C845F4"/>
    <w:rsid w:val="60E9296C"/>
    <w:rsid w:val="61303773"/>
    <w:rsid w:val="61644C4A"/>
    <w:rsid w:val="61A11A3C"/>
    <w:rsid w:val="62EE1B10"/>
    <w:rsid w:val="65C950B8"/>
    <w:rsid w:val="66DF49A5"/>
    <w:rsid w:val="6740581C"/>
    <w:rsid w:val="6751523C"/>
    <w:rsid w:val="687A3A4A"/>
    <w:rsid w:val="69D21DE1"/>
    <w:rsid w:val="6A4155F4"/>
    <w:rsid w:val="6A8618A6"/>
    <w:rsid w:val="6AA12569"/>
    <w:rsid w:val="6ADC5420"/>
    <w:rsid w:val="6C151CC1"/>
    <w:rsid w:val="6CF45A1F"/>
    <w:rsid w:val="6E424010"/>
    <w:rsid w:val="6E4B7FE9"/>
    <w:rsid w:val="6EB20639"/>
    <w:rsid w:val="6EEB7941"/>
    <w:rsid w:val="6F797392"/>
    <w:rsid w:val="6F832518"/>
    <w:rsid w:val="70FF364B"/>
    <w:rsid w:val="71090321"/>
    <w:rsid w:val="71302602"/>
    <w:rsid w:val="72D02862"/>
    <w:rsid w:val="72D23B22"/>
    <w:rsid w:val="75036E25"/>
    <w:rsid w:val="75807DB8"/>
    <w:rsid w:val="75D37E27"/>
    <w:rsid w:val="767762D8"/>
    <w:rsid w:val="76F70355"/>
    <w:rsid w:val="77700104"/>
    <w:rsid w:val="777E3CA9"/>
    <w:rsid w:val="7A03588E"/>
    <w:rsid w:val="7A4207B8"/>
    <w:rsid w:val="7A661B61"/>
    <w:rsid w:val="7AC32CDC"/>
    <w:rsid w:val="7AD122CB"/>
    <w:rsid w:val="7D687EC3"/>
    <w:rsid w:val="7E076A61"/>
    <w:rsid w:val="7EBD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4258D7A"/>
  <w15:docId w15:val="{41B0CFCD-A407-4F7C-AE16-CC0A7893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TOC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1">
    <w:name w:val="heading 2"/>
    <w:basedOn w:val="a"/>
    <w:next w:val="a"/>
    <w:link w:val="22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0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qFormat/>
    <w:pPr>
      <w:tabs>
        <w:tab w:val="left" w:pos="1260"/>
        <w:tab w:val="right" w:leader="dot" w:pos="8722"/>
      </w:tabs>
      <w:adjustRightInd w:val="0"/>
      <w:spacing w:line="480" w:lineRule="auto"/>
      <w:textAlignment w:val="baseline"/>
    </w:pPr>
    <w:rPr>
      <w:b/>
      <w:kern w:val="0"/>
      <w:sz w:val="24"/>
      <w:szCs w:val="20"/>
    </w:rPr>
  </w:style>
  <w:style w:type="paragraph" w:styleId="a3">
    <w:name w:val="annotation text"/>
    <w:basedOn w:val="a"/>
    <w:link w:val="a4"/>
    <w:unhideWhenUsed/>
    <w:qFormat/>
    <w:pPr>
      <w:jc w:val="left"/>
    </w:pPr>
  </w:style>
  <w:style w:type="paragraph" w:styleId="a5">
    <w:name w:val="Body Text"/>
    <w:basedOn w:val="a"/>
    <w:link w:val="a6"/>
    <w:qFormat/>
    <w:pPr>
      <w:spacing w:after="120"/>
    </w:pPr>
    <w:rPr>
      <w:rFonts w:ascii="Calibri" w:eastAsia="宋体" w:hAnsi="Calibri" w:cs="Times New Roman"/>
      <w:szCs w:val="24"/>
    </w:rPr>
  </w:style>
  <w:style w:type="paragraph" w:styleId="a7">
    <w:name w:val="Plain Text"/>
    <w:basedOn w:val="a"/>
    <w:link w:val="a8"/>
    <w:qFormat/>
    <w:rPr>
      <w:rFonts w:ascii="宋体" w:eastAsia="宋体" w:hAnsi="Courier New" w:cs="Times New Roman"/>
      <w:kern w:val="0"/>
      <w:sz w:val="20"/>
      <w:szCs w:val="21"/>
    </w:rPr>
  </w:style>
  <w:style w:type="paragraph" w:styleId="a9">
    <w:name w:val="Balloon Text"/>
    <w:basedOn w:val="a"/>
    <w:link w:val="aa"/>
    <w:unhideWhenUsed/>
    <w:qFormat/>
    <w:rPr>
      <w:sz w:val="18"/>
      <w:szCs w:val="18"/>
    </w:rPr>
  </w:style>
  <w:style w:type="paragraph" w:styleId="ab">
    <w:name w:val="footer"/>
    <w:basedOn w:val="a"/>
    <w:link w:val="ac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Title"/>
    <w:basedOn w:val="a"/>
    <w:next w:val="a"/>
    <w:link w:val="af1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f2">
    <w:name w:val="annotation subject"/>
    <w:basedOn w:val="a3"/>
    <w:next w:val="a3"/>
    <w:link w:val="af3"/>
    <w:unhideWhenUsed/>
    <w:qFormat/>
    <w:rPr>
      <w:b/>
      <w:bCs/>
    </w:rPr>
  </w:style>
  <w:style w:type="character" w:styleId="af4">
    <w:name w:val="Strong"/>
    <w:basedOn w:val="a0"/>
    <w:uiPriority w:val="22"/>
    <w:qFormat/>
    <w:rPr>
      <w:b/>
      <w:bCs/>
    </w:rPr>
  </w:style>
  <w:style w:type="character" w:styleId="af5">
    <w:name w:val="annotation reference"/>
    <w:basedOn w:val="a0"/>
    <w:unhideWhenUsed/>
    <w:qFormat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paragraph" w:styleId="af6">
    <w:name w:val="List Paragraph"/>
    <w:basedOn w:val="a"/>
    <w:link w:val="af7"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f3">
    <w:name w:val="批注主题 字符"/>
    <w:basedOn w:val="a4"/>
    <w:link w:val="af2"/>
    <w:uiPriority w:val="99"/>
    <w:semiHidden/>
    <w:qFormat/>
    <w:rPr>
      <w:b/>
      <w:bCs/>
    </w:rPr>
  </w:style>
  <w:style w:type="character" w:customStyle="1" w:styleId="af1">
    <w:name w:val="标题 字符"/>
    <w:basedOn w:val="a0"/>
    <w:link w:val="af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2">
    <w:name w:val="标题 2 字符"/>
    <w:basedOn w:val="a0"/>
    <w:link w:val="21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a8">
    <w:name w:val="纯文本 字符"/>
    <w:basedOn w:val="a0"/>
    <w:link w:val="a7"/>
    <w:qFormat/>
    <w:rPr>
      <w:rFonts w:ascii="宋体" w:eastAsia="宋体" w:hAnsi="Courier New" w:cs="Times New Roman"/>
      <w:kern w:val="0"/>
      <w:sz w:val="20"/>
      <w:szCs w:val="21"/>
    </w:rPr>
  </w:style>
  <w:style w:type="paragraph" w:customStyle="1" w:styleId="af8">
    <w:name w:val="图"/>
    <w:basedOn w:val="a"/>
    <w:qFormat/>
    <w:pPr>
      <w:keepNext/>
      <w:adjustRightInd w:val="0"/>
      <w:spacing w:before="60" w:after="60" w:line="300" w:lineRule="auto"/>
      <w:jc w:val="center"/>
      <w:textAlignment w:val="center"/>
    </w:pPr>
    <w:rPr>
      <w:rFonts w:ascii="Times New Roman" w:eastAsia="宋体" w:hAnsi="Times New Roman" w:cs="Times New Roman"/>
      <w:snapToGrid w:val="0"/>
      <w:spacing w:val="20"/>
      <w:kern w:val="0"/>
      <w:sz w:val="24"/>
      <w:szCs w:val="20"/>
    </w:rPr>
  </w:style>
  <w:style w:type="character" w:customStyle="1" w:styleId="af7">
    <w:name w:val="列表段落 字符"/>
    <w:link w:val="af6"/>
    <w:uiPriority w:val="99"/>
    <w:qFormat/>
  </w:style>
  <w:style w:type="paragraph" w:customStyle="1" w:styleId="4">
    <w:name w:val="样式4"/>
    <w:basedOn w:val="a"/>
    <w:qFormat/>
    <w:pPr>
      <w:numPr>
        <w:ilvl w:val="3"/>
        <w:numId w:val="1"/>
      </w:numPr>
      <w:tabs>
        <w:tab w:val="clear" w:pos="851"/>
        <w:tab w:val="left" w:pos="425"/>
        <w:tab w:val="left" w:pos="1984"/>
      </w:tabs>
    </w:pPr>
    <w:rPr>
      <w:rFonts w:ascii="Times New Roman" w:eastAsia="宋体" w:hAnsi="Times New Roman" w:cs="Times New Roman"/>
      <w:szCs w:val="24"/>
    </w:rPr>
  </w:style>
  <w:style w:type="paragraph" w:customStyle="1" w:styleId="10">
    <w:name w:val="列出段落1"/>
    <w:basedOn w:val="a"/>
    <w:link w:val="ListParagraphChar"/>
    <w:uiPriority w:val="99"/>
    <w:qFormat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ListParagraphChar">
    <w:name w:val="List Paragraph Char"/>
    <w:link w:val="10"/>
    <w:uiPriority w:val="99"/>
    <w:qFormat/>
    <w:locked/>
    <w:rPr>
      <w:rFonts w:ascii="Times New Roman" w:eastAsia="宋体" w:hAnsi="Times New Roman" w:cs="Times New Roman"/>
      <w:szCs w:val="21"/>
    </w:rPr>
  </w:style>
  <w:style w:type="paragraph" w:customStyle="1" w:styleId="Style121">
    <w:name w:val="_Style 121"/>
    <w:basedOn w:val="a"/>
    <w:next w:val="af6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start-font-1">
    <w:name w:val="start-font-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art-font-3">
    <w:name w:val="start-font-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qFormat/>
    <w:rPr>
      <w:rFonts w:ascii="Times New Roman" w:eastAsia="宋体" w:hAnsi="Times New Roman"/>
      <w:kern w:val="2"/>
      <w:sz w:val="21"/>
      <w:szCs w:val="24"/>
    </w:rPr>
  </w:style>
  <w:style w:type="paragraph" w:customStyle="1" w:styleId="1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a6">
    <w:name w:val="正文文本 字符"/>
    <w:basedOn w:val="a0"/>
    <w:link w:val="a5"/>
    <w:qFormat/>
    <w:rPr>
      <w:rFonts w:ascii="Calibri" w:hAnsi="Calibri"/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Char0">
    <w:name w:val="批注主题 Char"/>
    <w:qFormat/>
    <w:rPr>
      <w:rFonts w:ascii="Calibri" w:hAnsi="Calibri"/>
      <w:b/>
      <w:bCs/>
      <w:kern w:val="2"/>
      <w:sz w:val="21"/>
      <w:szCs w:val="24"/>
    </w:rPr>
  </w:style>
  <w:style w:type="character" w:customStyle="1" w:styleId="Char1">
    <w:name w:val="批注框文本 Char"/>
    <w:qFormat/>
    <w:rPr>
      <w:rFonts w:ascii="Calibri" w:hAnsi="Calibri"/>
      <w:kern w:val="2"/>
      <w:sz w:val="18"/>
      <w:szCs w:val="18"/>
    </w:rPr>
  </w:style>
  <w:style w:type="paragraph" w:customStyle="1" w:styleId="1">
    <w:name w:val="￥标题1"/>
    <w:next w:val="a"/>
    <w:qFormat/>
    <w:pPr>
      <w:numPr>
        <w:numId w:val="2"/>
      </w:numPr>
      <w:spacing w:line="360" w:lineRule="auto"/>
      <w:jc w:val="center"/>
      <w:outlineLvl w:val="0"/>
    </w:pPr>
    <w:rPr>
      <w:rFonts w:ascii="Calibri" w:eastAsia="华文新魏" w:hAnsi="Calibri"/>
      <w:b/>
      <w:kern w:val="2"/>
      <w:sz w:val="44"/>
      <w:szCs w:val="22"/>
    </w:rPr>
  </w:style>
  <w:style w:type="paragraph" w:customStyle="1" w:styleId="20">
    <w:name w:val="￥标题2"/>
    <w:next w:val="a"/>
    <w:link w:val="2Char"/>
    <w:qFormat/>
    <w:pPr>
      <w:numPr>
        <w:ilvl w:val="1"/>
        <w:numId w:val="2"/>
      </w:numPr>
      <w:spacing w:line="360" w:lineRule="auto"/>
      <w:outlineLvl w:val="1"/>
    </w:pPr>
    <w:rPr>
      <w:rFonts w:ascii="Calibri" w:eastAsia="华文新魏" w:hAnsi="Calibri"/>
      <w:b/>
      <w:kern w:val="2"/>
      <w:sz w:val="36"/>
      <w:szCs w:val="22"/>
    </w:rPr>
  </w:style>
  <w:style w:type="paragraph" w:customStyle="1" w:styleId="3">
    <w:name w:val="￥标题3"/>
    <w:next w:val="a"/>
    <w:link w:val="3Char"/>
    <w:qFormat/>
    <w:pPr>
      <w:numPr>
        <w:ilvl w:val="2"/>
        <w:numId w:val="2"/>
      </w:numPr>
      <w:spacing w:line="360" w:lineRule="auto"/>
      <w:outlineLvl w:val="2"/>
    </w:pPr>
    <w:rPr>
      <w:rFonts w:ascii="Calibri" w:eastAsia="华文新魏" w:hAnsi="Calibri"/>
      <w:b/>
      <w:kern w:val="2"/>
      <w:sz w:val="32"/>
      <w:szCs w:val="22"/>
    </w:rPr>
  </w:style>
  <w:style w:type="character" w:customStyle="1" w:styleId="2Char">
    <w:name w:val="￥标题2 Char"/>
    <w:link w:val="20"/>
    <w:qFormat/>
    <w:rPr>
      <w:rFonts w:ascii="Calibri" w:eastAsia="华文新魏" w:hAnsi="Calibri"/>
      <w:b/>
      <w:kern w:val="2"/>
      <w:sz w:val="36"/>
      <w:szCs w:val="22"/>
    </w:rPr>
  </w:style>
  <w:style w:type="paragraph" w:customStyle="1" w:styleId="40">
    <w:name w:val="￥标题4"/>
    <w:next w:val="a"/>
    <w:qFormat/>
    <w:pPr>
      <w:numPr>
        <w:ilvl w:val="3"/>
        <w:numId w:val="2"/>
      </w:numPr>
      <w:spacing w:line="360" w:lineRule="auto"/>
      <w:outlineLvl w:val="3"/>
    </w:pPr>
    <w:rPr>
      <w:rFonts w:ascii="Calibri" w:eastAsia="华文新魏" w:hAnsi="Calibri"/>
      <w:b/>
      <w:kern w:val="2"/>
      <w:sz w:val="28"/>
      <w:szCs w:val="22"/>
    </w:rPr>
  </w:style>
  <w:style w:type="paragraph" w:customStyle="1" w:styleId="5">
    <w:name w:val="￥标题5"/>
    <w:next w:val="a"/>
    <w:qFormat/>
    <w:pPr>
      <w:numPr>
        <w:ilvl w:val="4"/>
        <w:numId w:val="2"/>
      </w:numPr>
      <w:spacing w:line="360" w:lineRule="auto"/>
      <w:outlineLvl w:val="4"/>
    </w:pPr>
    <w:rPr>
      <w:rFonts w:ascii="Calibri" w:hAnsi="Calibri"/>
      <w:b/>
      <w:sz w:val="24"/>
      <w:szCs w:val="22"/>
      <w:lang w:val="zh-CN"/>
    </w:rPr>
  </w:style>
  <w:style w:type="character" w:customStyle="1" w:styleId="3Char">
    <w:name w:val="￥标题3 Char"/>
    <w:link w:val="3"/>
    <w:qFormat/>
    <w:rPr>
      <w:rFonts w:ascii="Calibri" w:eastAsia="华文新魏" w:hAnsi="Calibri"/>
      <w:b/>
      <w:kern w:val="2"/>
      <w:sz w:val="32"/>
      <w:szCs w:val="22"/>
    </w:rPr>
  </w:style>
  <w:style w:type="paragraph" w:customStyle="1" w:styleId="af9">
    <w:name w:val="￥正文"/>
    <w:basedOn w:val="a"/>
    <w:link w:val="Char2"/>
    <w:qFormat/>
    <w:pPr>
      <w:spacing w:line="360" w:lineRule="auto"/>
      <w:ind w:firstLineChars="200" w:firstLine="200"/>
    </w:pPr>
    <w:rPr>
      <w:rFonts w:ascii="Calibri" w:eastAsia="宋体" w:hAnsi="Calibri" w:cs="Times New Roman"/>
      <w:kern w:val="0"/>
      <w:sz w:val="24"/>
      <w:szCs w:val="20"/>
    </w:rPr>
  </w:style>
  <w:style w:type="character" w:customStyle="1" w:styleId="Char2">
    <w:name w:val="￥正文 Char"/>
    <w:link w:val="af9"/>
    <w:qFormat/>
    <w:rPr>
      <w:rFonts w:ascii="Calibri" w:hAnsi="Calibri"/>
      <w:sz w:val="24"/>
    </w:rPr>
  </w:style>
  <w:style w:type="paragraph" w:customStyle="1" w:styleId="23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1">
    <w:name w:val="修订3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列出段落2"/>
    <w:basedOn w:val="a"/>
    <w:qFormat/>
    <w:pPr>
      <w:numPr>
        <w:numId w:val="3"/>
      </w:numPr>
      <w:autoSpaceDE w:val="0"/>
      <w:spacing w:line="360" w:lineRule="auto"/>
    </w:pPr>
    <w:rPr>
      <w:rFonts w:ascii="宋体" w:eastAsia="宋体" w:hAnsi="宋体" w:cs="Times New Roman"/>
      <w:szCs w:val="21"/>
    </w:rPr>
  </w:style>
  <w:style w:type="paragraph" w:customStyle="1" w:styleId="41">
    <w:name w:val="修订4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50">
    <w:name w:val="修订5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6">
    <w:name w:val="修订6"/>
    <w:hidden/>
    <w:uiPriority w:val="99"/>
    <w:unhideWhenUsed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a">
    <w:name w:val="Revision"/>
    <w:hidden/>
    <w:uiPriority w:val="99"/>
    <w:unhideWhenUsed/>
    <w:rsid w:val="0047137B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44F6FD9-99A6-4E13-B02F-C02C8D3268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465</Words>
  <Characters>2653</Characters>
  <Application>Microsoft Office Word</Application>
  <DocSecurity>0</DocSecurity>
  <Lines>22</Lines>
  <Paragraphs>6</Paragraphs>
  <ScaleCrop>false</ScaleCrop>
  <Company>Sky123.Org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云采链</cp:lastModifiedBy>
  <cp:revision>15</cp:revision>
  <cp:lastPrinted>2024-05-29T01:03:00Z</cp:lastPrinted>
  <dcterms:created xsi:type="dcterms:W3CDTF">2024-05-08T06:11:00Z</dcterms:created>
  <dcterms:modified xsi:type="dcterms:W3CDTF">2024-06-04T08:44:00Z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A5FC8E0705304B629ACE710CE70EDB76_13</vt:lpwstr>
  </property>
</Properties>
</file>