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ACA10" w14:textId="77777777" w:rsidR="00D3478C" w:rsidRDefault="00000000">
      <w:pPr>
        <w:tabs>
          <w:tab w:val="left" w:pos="3570"/>
        </w:tabs>
        <w:spacing w:line="560" w:lineRule="exact"/>
        <w:jc w:val="center"/>
        <w:outlineLvl w:val="0"/>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肇庆</w:t>
      </w:r>
      <w:proofErr w:type="gramStart"/>
      <w:r>
        <w:rPr>
          <w:rFonts w:ascii="方正小标宋简体" w:eastAsia="方正小标宋简体" w:hAnsi="方正小标宋简体" w:cs="方正小标宋简体" w:hint="eastAsia"/>
          <w:sz w:val="40"/>
          <w:szCs w:val="40"/>
        </w:rPr>
        <w:t>监狱驻监</w:t>
      </w:r>
      <w:proofErr w:type="gramEnd"/>
      <w:r>
        <w:rPr>
          <w:rFonts w:ascii="方正小标宋简体" w:eastAsia="方正小标宋简体" w:hAnsi="方正小标宋简体" w:cs="方正小标宋简体" w:hint="eastAsia"/>
          <w:sz w:val="40"/>
          <w:szCs w:val="40"/>
        </w:rPr>
        <w:t>武警中队岗哨手持探照灯采购项目合同</w:t>
      </w:r>
    </w:p>
    <w:p w14:paraId="16E69691" w14:textId="77777777" w:rsidR="00D3478C" w:rsidRDefault="00000000">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甲方</w:t>
      </w:r>
      <w:r>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肇庆监狱</w:t>
      </w:r>
    </w:p>
    <w:p w14:paraId="272AE87B" w14:textId="77777777" w:rsidR="00D3478C" w:rsidRDefault="00000000">
      <w:pP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乙方：</w:t>
      </w:r>
    </w:p>
    <w:p w14:paraId="34258C2E" w14:textId="77777777" w:rsidR="00D3478C" w:rsidRDefault="00000000">
      <w:pPr>
        <w:spacing w:line="360" w:lineRule="auto"/>
        <w:rPr>
          <w:rFonts w:ascii="宋体" w:eastAsia="宋体" w:hAnsi="宋体" w:cs="仿宋_GB2312"/>
          <w:sz w:val="24"/>
          <w:szCs w:val="24"/>
        </w:rPr>
      </w:pPr>
      <w:r>
        <w:rPr>
          <w:rFonts w:ascii="宋体" w:eastAsia="宋体" w:hAnsi="宋体" w:cs="仿宋_GB2312" w:hint="eastAsia"/>
          <w:sz w:val="24"/>
          <w:szCs w:val="24"/>
        </w:rPr>
        <w:t>依据国家有关法律、法规，经甲、乙双方友好协商，在平等互利自愿的基础上，双方就本安装事项协议一致，订立合同。</w:t>
      </w:r>
    </w:p>
    <w:p w14:paraId="1F7F7DDB" w14:textId="77777777" w:rsidR="00D3478C" w:rsidRDefault="00000000">
      <w:pPr>
        <w:numPr>
          <w:ilvl w:val="0"/>
          <w:numId w:val="1"/>
        </w:numPr>
        <w:spacing w:line="360" w:lineRule="auto"/>
        <w:ind w:rightChars="-108" w:right="-227"/>
        <w:rPr>
          <w:rFonts w:ascii="宋体" w:eastAsia="宋体" w:hAnsi="宋体" w:cs="Times New Roman"/>
          <w:sz w:val="24"/>
          <w:szCs w:val="24"/>
        </w:rPr>
      </w:pPr>
      <w:r>
        <w:rPr>
          <w:rFonts w:ascii="宋体" w:eastAsia="宋体" w:hAnsi="宋体" w:cs="Times New Roman" w:hint="eastAsia"/>
          <w:sz w:val="24"/>
          <w:szCs w:val="24"/>
        </w:rPr>
        <w:t>项目情况</w:t>
      </w:r>
    </w:p>
    <w:p w14:paraId="790BF66C" w14:textId="77777777" w:rsidR="00D3478C" w:rsidRDefault="00000000">
      <w:pPr>
        <w:spacing w:line="360" w:lineRule="auto"/>
        <w:ind w:rightChars="-108" w:right="-227" w:firstLineChars="200" w:firstLine="480"/>
        <w:rPr>
          <w:rFonts w:ascii="宋体" w:eastAsia="宋体" w:hAnsi="宋体" w:cs="Times New Roman"/>
          <w:sz w:val="24"/>
          <w:szCs w:val="24"/>
        </w:rPr>
      </w:pPr>
      <w:r>
        <w:rPr>
          <w:rFonts w:ascii="宋体" w:eastAsia="宋体" w:hAnsi="宋体" w:cs="仿宋_GB2312" w:hint="eastAsia"/>
          <w:sz w:val="24"/>
          <w:szCs w:val="24"/>
        </w:rPr>
        <w:t>为强化执勤照明系统，确保执勤工作安全，拟采购岗哨手持探照灯一批。</w:t>
      </w:r>
    </w:p>
    <w:p w14:paraId="5AF99275" w14:textId="77777777" w:rsidR="00D3478C" w:rsidRDefault="00000000">
      <w:pPr>
        <w:numPr>
          <w:ilvl w:val="0"/>
          <w:numId w:val="2"/>
        </w:numPr>
        <w:spacing w:line="360" w:lineRule="auto"/>
        <w:ind w:rightChars="-108" w:right="-227"/>
        <w:rPr>
          <w:rFonts w:ascii="仿宋_GB2312" w:eastAsia="仿宋_GB2312" w:hAnsi="Times New Roman" w:cs="Times New Roman"/>
          <w:sz w:val="28"/>
          <w:szCs w:val="28"/>
        </w:rPr>
      </w:pPr>
      <w:r>
        <w:rPr>
          <w:rFonts w:ascii="宋体" w:eastAsia="宋体" w:hAnsi="宋体" w:cs="Times New Roman" w:hint="eastAsia"/>
          <w:sz w:val="24"/>
          <w:szCs w:val="24"/>
        </w:rPr>
        <w:t>采购清单</w:t>
      </w:r>
    </w:p>
    <w:tbl>
      <w:tblPr>
        <w:tblStyle w:val="2"/>
        <w:tblW w:w="9532" w:type="dxa"/>
        <w:jc w:val="center"/>
        <w:tblLayout w:type="fixed"/>
        <w:tblLook w:val="04A0" w:firstRow="1" w:lastRow="0" w:firstColumn="1" w:lastColumn="0" w:noHBand="0" w:noVBand="1"/>
      </w:tblPr>
      <w:tblGrid>
        <w:gridCol w:w="805"/>
        <w:gridCol w:w="1245"/>
        <w:gridCol w:w="2534"/>
        <w:gridCol w:w="810"/>
        <w:gridCol w:w="810"/>
        <w:gridCol w:w="1397"/>
        <w:gridCol w:w="970"/>
        <w:gridCol w:w="961"/>
      </w:tblGrid>
      <w:tr w:rsidR="00D3478C" w14:paraId="6295EDE7" w14:textId="77777777">
        <w:trPr>
          <w:trHeight w:val="153"/>
          <w:jc w:val="center"/>
        </w:trPr>
        <w:tc>
          <w:tcPr>
            <w:tcW w:w="805" w:type="dxa"/>
            <w:vAlign w:val="center"/>
          </w:tcPr>
          <w:p w14:paraId="33746AD8" w14:textId="77777777" w:rsidR="00D3478C" w:rsidRDefault="00000000">
            <w:pPr>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1245" w:type="dxa"/>
            <w:vAlign w:val="center"/>
          </w:tcPr>
          <w:p w14:paraId="1433C03B" w14:textId="77777777" w:rsidR="00D3478C" w:rsidRDefault="00000000">
            <w:pPr>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2534" w:type="dxa"/>
            <w:vAlign w:val="center"/>
          </w:tcPr>
          <w:p w14:paraId="20625028" w14:textId="77777777" w:rsidR="00D3478C" w:rsidRDefault="00000000">
            <w:pPr>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品牌型号</w:t>
            </w:r>
          </w:p>
        </w:tc>
        <w:tc>
          <w:tcPr>
            <w:tcW w:w="810" w:type="dxa"/>
            <w:vAlign w:val="center"/>
          </w:tcPr>
          <w:p w14:paraId="76A9D543" w14:textId="77777777" w:rsidR="00D3478C" w:rsidRDefault="00000000">
            <w:pPr>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810" w:type="dxa"/>
            <w:vAlign w:val="center"/>
          </w:tcPr>
          <w:p w14:paraId="6C675729" w14:textId="77777777" w:rsidR="00D3478C" w:rsidRDefault="00000000">
            <w:pPr>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单位</w:t>
            </w:r>
          </w:p>
        </w:tc>
        <w:tc>
          <w:tcPr>
            <w:tcW w:w="1397" w:type="dxa"/>
            <w:vAlign w:val="center"/>
          </w:tcPr>
          <w:p w14:paraId="5387A86B" w14:textId="77777777" w:rsidR="00D3478C" w:rsidRDefault="00000000">
            <w:pPr>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结算单价（元）</w:t>
            </w:r>
          </w:p>
        </w:tc>
        <w:tc>
          <w:tcPr>
            <w:tcW w:w="970" w:type="dxa"/>
          </w:tcPr>
          <w:p w14:paraId="1654F9B3" w14:textId="77777777" w:rsidR="00D3478C" w:rsidRDefault="00000000">
            <w:pPr>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合计（元）</w:t>
            </w:r>
          </w:p>
        </w:tc>
        <w:tc>
          <w:tcPr>
            <w:tcW w:w="961" w:type="dxa"/>
            <w:vAlign w:val="center"/>
          </w:tcPr>
          <w:p w14:paraId="54FBFFEC" w14:textId="77777777" w:rsidR="00D3478C" w:rsidRDefault="00000000">
            <w:pPr>
              <w:spacing w:line="360" w:lineRule="auto"/>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D3478C" w14:paraId="138B8F55" w14:textId="77777777">
        <w:trPr>
          <w:trHeight w:val="551"/>
          <w:jc w:val="center"/>
        </w:trPr>
        <w:tc>
          <w:tcPr>
            <w:tcW w:w="805" w:type="dxa"/>
            <w:vAlign w:val="center"/>
          </w:tcPr>
          <w:p w14:paraId="2CD4A9B6" w14:textId="77777777" w:rsidR="00D3478C" w:rsidRDefault="00000000">
            <w:pPr>
              <w:spacing w:line="360" w:lineRule="auto"/>
              <w:jc w:val="center"/>
              <w:rPr>
                <w:rFonts w:ascii="宋体" w:eastAsia="宋体" w:hAnsi="宋体" w:cs="仿宋_GB2312"/>
                <w:kern w:val="0"/>
                <w:sz w:val="24"/>
                <w:szCs w:val="24"/>
              </w:rPr>
            </w:pPr>
            <w:r>
              <w:rPr>
                <w:rFonts w:ascii="宋体" w:eastAsia="宋体" w:hAnsi="宋体" w:cs="仿宋_GB2312" w:hint="eastAsia"/>
                <w:kern w:val="0"/>
                <w:sz w:val="24"/>
                <w:szCs w:val="24"/>
              </w:rPr>
              <w:t>1</w:t>
            </w:r>
          </w:p>
        </w:tc>
        <w:tc>
          <w:tcPr>
            <w:tcW w:w="1245" w:type="dxa"/>
            <w:vAlign w:val="center"/>
          </w:tcPr>
          <w:p w14:paraId="757F6914" w14:textId="77777777" w:rsidR="00D3478C" w:rsidRDefault="00000000">
            <w:pPr>
              <w:widowControl/>
              <w:spacing w:line="360" w:lineRule="auto"/>
              <w:jc w:val="center"/>
              <w:textAlignment w:val="center"/>
              <w:rPr>
                <w:rFonts w:ascii="宋体" w:eastAsia="宋体" w:hAnsi="宋体" w:cs="仿宋_GB2312"/>
                <w:kern w:val="0"/>
                <w:sz w:val="24"/>
                <w:szCs w:val="24"/>
              </w:rPr>
            </w:pPr>
            <w:r>
              <w:rPr>
                <w:rFonts w:ascii="宋体" w:eastAsia="宋体" w:hAnsi="宋体" w:cs="仿宋_GB2312" w:hint="eastAsia"/>
                <w:kern w:val="0"/>
                <w:sz w:val="24"/>
                <w:szCs w:val="24"/>
              </w:rPr>
              <w:t>手持探照灯</w:t>
            </w:r>
          </w:p>
        </w:tc>
        <w:tc>
          <w:tcPr>
            <w:tcW w:w="2534" w:type="dxa"/>
            <w:vAlign w:val="center"/>
          </w:tcPr>
          <w:p w14:paraId="33EF2CC9" w14:textId="77777777" w:rsidR="00D3478C" w:rsidRDefault="00000000">
            <w:pPr>
              <w:spacing w:line="360" w:lineRule="auto"/>
              <w:jc w:val="center"/>
              <w:rPr>
                <w:rFonts w:ascii="宋体" w:eastAsia="宋体" w:hAnsi="宋体" w:cs="仿宋_GB2312"/>
                <w:kern w:val="0"/>
                <w:sz w:val="24"/>
                <w:szCs w:val="24"/>
              </w:rPr>
            </w:pPr>
            <w:r>
              <w:rPr>
                <w:rFonts w:ascii="宋体" w:eastAsia="宋体" w:hAnsi="宋体" w:cs="仿宋_GB2312" w:hint="eastAsia"/>
                <w:kern w:val="0"/>
                <w:sz w:val="24"/>
                <w:szCs w:val="24"/>
              </w:rPr>
              <w:t>艾美能特SR32</w:t>
            </w:r>
          </w:p>
        </w:tc>
        <w:tc>
          <w:tcPr>
            <w:tcW w:w="810" w:type="dxa"/>
            <w:vAlign w:val="center"/>
          </w:tcPr>
          <w:p w14:paraId="7995F30F" w14:textId="77777777" w:rsidR="00D3478C" w:rsidRDefault="00000000">
            <w:pPr>
              <w:spacing w:line="360" w:lineRule="auto"/>
              <w:jc w:val="center"/>
              <w:rPr>
                <w:rFonts w:ascii="宋体" w:eastAsia="宋体" w:hAnsi="宋体" w:cs="仿宋_GB2312"/>
                <w:kern w:val="0"/>
                <w:sz w:val="24"/>
                <w:szCs w:val="24"/>
              </w:rPr>
            </w:pPr>
            <w:r>
              <w:rPr>
                <w:rFonts w:ascii="宋体" w:eastAsia="宋体" w:hAnsi="宋体" w:cs="仿宋_GB2312" w:hint="eastAsia"/>
                <w:kern w:val="0"/>
                <w:sz w:val="24"/>
                <w:szCs w:val="24"/>
              </w:rPr>
              <w:t>10</w:t>
            </w:r>
          </w:p>
        </w:tc>
        <w:tc>
          <w:tcPr>
            <w:tcW w:w="810" w:type="dxa"/>
            <w:vAlign w:val="center"/>
          </w:tcPr>
          <w:p w14:paraId="089A70B4" w14:textId="77777777" w:rsidR="00D3478C" w:rsidRDefault="00000000">
            <w:pPr>
              <w:spacing w:line="360" w:lineRule="auto"/>
              <w:jc w:val="center"/>
              <w:rPr>
                <w:rFonts w:ascii="宋体" w:eastAsia="宋体" w:hAnsi="宋体" w:cs="仿宋_GB2312"/>
                <w:kern w:val="0"/>
                <w:sz w:val="24"/>
                <w:szCs w:val="24"/>
              </w:rPr>
            </w:pPr>
            <w:proofErr w:type="gramStart"/>
            <w:r>
              <w:rPr>
                <w:rFonts w:ascii="宋体" w:eastAsia="宋体" w:hAnsi="宋体" w:cs="仿宋_GB2312" w:hint="eastAsia"/>
                <w:kern w:val="0"/>
                <w:sz w:val="24"/>
                <w:szCs w:val="24"/>
              </w:rPr>
              <w:t>个</w:t>
            </w:r>
            <w:proofErr w:type="gramEnd"/>
          </w:p>
        </w:tc>
        <w:tc>
          <w:tcPr>
            <w:tcW w:w="1397" w:type="dxa"/>
            <w:vAlign w:val="center"/>
          </w:tcPr>
          <w:p w14:paraId="27E24C62" w14:textId="77777777" w:rsidR="00D3478C" w:rsidRDefault="00D3478C">
            <w:pPr>
              <w:spacing w:line="360" w:lineRule="auto"/>
              <w:jc w:val="center"/>
              <w:rPr>
                <w:rFonts w:ascii="宋体" w:eastAsia="宋体" w:hAnsi="宋体" w:cs="仿宋_GB2312"/>
                <w:kern w:val="0"/>
                <w:sz w:val="24"/>
                <w:szCs w:val="24"/>
              </w:rPr>
            </w:pPr>
          </w:p>
        </w:tc>
        <w:tc>
          <w:tcPr>
            <w:tcW w:w="970" w:type="dxa"/>
          </w:tcPr>
          <w:p w14:paraId="2F991EC6" w14:textId="77777777" w:rsidR="00D3478C" w:rsidRDefault="00D3478C">
            <w:pPr>
              <w:spacing w:line="360" w:lineRule="auto"/>
              <w:jc w:val="center"/>
              <w:rPr>
                <w:rFonts w:ascii="宋体" w:eastAsia="宋体" w:hAnsi="宋体" w:cs="仿宋_GB2312"/>
                <w:kern w:val="0"/>
                <w:sz w:val="24"/>
                <w:szCs w:val="24"/>
              </w:rPr>
            </w:pPr>
          </w:p>
        </w:tc>
        <w:tc>
          <w:tcPr>
            <w:tcW w:w="961" w:type="dxa"/>
            <w:vAlign w:val="center"/>
          </w:tcPr>
          <w:p w14:paraId="203E5D3C" w14:textId="77777777" w:rsidR="00D3478C" w:rsidRDefault="00D3478C">
            <w:pPr>
              <w:spacing w:line="360" w:lineRule="auto"/>
              <w:jc w:val="center"/>
              <w:rPr>
                <w:rFonts w:ascii="宋体" w:eastAsia="宋体" w:hAnsi="宋体" w:cs="仿宋_GB2312"/>
                <w:kern w:val="0"/>
                <w:sz w:val="24"/>
                <w:szCs w:val="24"/>
              </w:rPr>
            </w:pPr>
          </w:p>
        </w:tc>
      </w:tr>
    </w:tbl>
    <w:p w14:paraId="6C065CC2" w14:textId="77777777" w:rsidR="00D3478C" w:rsidRDefault="00000000">
      <w:pPr>
        <w:numPr>
          <w:ilvl w:val="0"/>
          <w:numId w:val="2"/>
        </w:num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商务要求</w:t>
      </w:r>
    </w:p>
    <w:p w14:paraId="4B21771C" w14:textId="77777777" w:rsidR="00D3478C" w:rsidRDefault="00000000">
      <w:pPr>
        <w:numPr>
          <w:ilvl w:val="0"/>
          <w:numId w:val="3"/>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本次采购的产品必须按照要求品牌进行报价及供货，不接受更换品牌及型号。</w:t>
      </w:r>
    </w:p>
    <w:p w14:paraId="5DE35818" w14:textId="77777777" w:rsidR="00D3478C" w:rsidRDefault="00000000">
      <w:pPr>
        <w:pStyle w:val="a3"/>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以上需求为单位急需品，签订合同一周内送达</w:t>
      </w:r>
    </w:p>
    <w:p w14:paraId="75B77246" w14:textId="77777777" w:rsidR="00D3478C" w:rsidRDefault="00000000">
      <w:pPr>
        <w:pStyle w:val="af"/>
        <w:numPr>
          <w:ilvl w:val="0"/>
          <w:numId w:val="3"/>
        </w:numPr>
        <w:spacing w:line="360" w:lineRule="auto"/>
        <w:ind w:firstLineChars="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交付的时间和地点</w:t>
      </w:r>
    </w:p>
    <w:p w14:paraId="19A7D44E" w14:textId="7946E611" w:rsidR="00D3478C" w:rsidRDefault="00000000">
      <w:pPr>
        <w:pStyle w:val="af"/>
        <w:numPr>
          <w:ilvl w:val="0"/>
          <w:numId w:val="4"/>
        </w:numPr>
        <w:spacing w:line="360" w:lineRule="auto"/>
        <w:ind w:firstLineChars="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交付的时间：</w:t>
      </w:r>
      <w:r w:rsidR="007E22F7">
        <w:rPr>
          <w:rFonts w:asciiTheme="majorEastAsia" w:eastAsiaTheme="majorEastAsia" w:hAnsiTheme="majorEastAsia" w:cs="宋体" w:hint="eastAsia"/>
          <w:color w:val="000000" w:themeColor="text1"/>
          <w:sz w:val="24"/>
          <w:szCs w:val="24"/>
        </w:rPr>
        <w:t>签订合同一周内送达</w:t>
      </w:r>
    </w:p>
    <w:p w14:paraId="214EE758" w14:textId="77777777" w:rsidR="00D3478C" w:rsidRDefault="00000000">
      <w:pPr>
        <w:pStyle w:val="af"/>
        <w:numPr>
          <w:ilvl w:val="0"/>
          <w:numId w:val="4"/>
        </w:numPr>
        <w:spacing w:line="360" w:lineRule="auto"/>
        <w:ind w:firstLineChars="0"/>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交付的地点：广东省肇庆市四会市城中</w:t>
      </w:r>
      <w:proofErr w:type="gramStart"/>
      <w:r>
        <w:rPr>
          <w:rFonts w:asciiTheme="majorEastAsia" w:eastAsiaTheme="majorEastAsia" w:hAnsiTheme="majorEastAsia" w:cs="宋体" w:hint="eastAsia"/>
          <w:color w:val="000000" w:themeColor="text1"/>
          <w:sz w:val="24"/>
          <w:szCs w:val="24"/>
        </w:rPr>
        <w:t>街道汶塘路</w:t>
      </w:r>
      <w:proofErr w:type="gramEnd"/>
      <w:r>
        <w:rPr>
          <w:rFonts w:asciiTheme="majorEastAsia" w:eastAsiaTheme="majorEastAsia" w:hAnsiTheme="majorEastAsia" w:cs="宋体" w:hint="eastAsia"/>
          <w:color w:val="000000" w:themeColor="text1"/>
          <w:sz w:val="24"/>
          <w:szCs w:val="24"/>
        </w:rPr>
        <w:t>三号</w:t>
      </w:r>
    </w:p>
    <w:p w14:paraId="6B0DDAF5" w14:textId="77777777" w:rsidR="00D3478C" w:rsidRDefault="00000000">
      <w:pPr>
        <w:numPr>
          <w:ilvl w:val="0"/>
          <w:numId w:val="3"/>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合同货物验收</w:t>
      </w:r>
    </w:p>
    <w:p w14:paraId="0D95C77E" w14:textId="77777777" w:rsidR="00D3478C" w:rsidRDefault="00000000">
      <w:pPr>
        <w:numPr>
          <w:ilvl w:val="0"/>
          <w:numId w:val="5"/>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全部合同货物到达交货地点且甲方收到验收申请后</w:t>
      </w:r>
      <w:r>
        <w:rPr>
          <w:rFonts w:asciiTheme="majorEastAsia" w:eastAsiaTheme="majorEastAsia" w:hAnsiTheme="majorEastAsia" w:cs="宋体" w:hint="eastAsia"/>
          <w:color w:val="000000" w:themeColor="text1"/>
          <w:sz w:val="24"/>
          <w:szCs w:val="24"/>
          <w:u w:val="single"/>
        </w:rPr>
        <w:t>24小时</w:t>
      </w:r>
      <w:r>
        <w:rPr>
          <w:rFonts w:asciiTheme="majorEastAsia" w:eastAsiaTheme="majorEastAsia" w:hAnsiTheme="majorEastAsia" w:cs="宋体" w:hint="eastAsia"/>
          <w:color w:val="000000" w:themeColor="text1"/>
          <w:sz w:val="24"/>
          <w:szCs w:val="24"/>
        </w:rPr>
        <w:t>内进行验收。</w:t>
      </w:r>
    </w:p>
    <w:p w14:paraId="4612E233" w14:textId="77777777" w:rsidR="00D3478C" w:rsidRDefault="00000000">
      <w:pPr>
        <w:numPr>
          <w:ilvl w:val="0"/>
          <w:numId w:val="5"/>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货物验收在甲方和乙方双方共同参与下按国家有关的规定、规范进行；</w:t>
      </w:r>
    </w:p>
    <w:p w14:paraId="5D7C858F" w14:textId="77777777" w:rsidR="00D3478C" w:rsidRDefault="00000000">
      <w:pPr>
        <w:numPr>
          <w:ilvl w:val="0"/>
          <w:numId w:val="5"/>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验收时如发现所交付的货物有短装、次品、损坏或其它不符合本项目合同规定之情形者，甲方应</w:t>
      </w:r>
      <w:proofErr w:type="gramStart"/>
      <w:r>
        <w:rPr>
          <w:rFonts w:asciiTheme="majorEastAsia" w:eastAsiaTheme="majorEastAsia" w:hAnsiTheme="majorEastAsia" w:cs="宋体" w:hint="eastAsia"/>
          <w:color w:val="000000" w:themeColor="text1"/>
          <w:sz w:val="24"/>
          <w:szCs w:val="24"/>
        </w:rPr>
        <w:t>作出</w:t>
      </w:r>
      <w:proofErr w:type="gramEnd"/>
      <w:r>
        <w:rPr>
          <w:rFonts w:asciiTheme="majorEastAsia" w:eastAsiaTheme="majorEastAsia" w:hAnsiTheme="majorEastAsia" w:cs="宋体" w:hint="eastAsia"/>
          <w:color w:val="000000" w:themeColor="text1"/>
          <w:sz w:val="24"/>
          <w:szCs w:val="24"/>
        </w:rPr>
        <w:t>详尽的现场记录，或由甲方、乙方双方签署备忘录。此现场记录或备忘录可用作补充、缺失和更换损坏部件的有效证据。因此产生的有关费用由乙方承担；</w:t>
      </w:r>
    </w:p>
    <w:p w14:paraId="0D1CA049" w14:textId="77777777" w:rsidR="00D3478C" w:rsidRDefault="00000000">
      <w:pPr>
        <w:numPr>
          <w:ilvl w:val="0"/>
          <w:numId w:val="5"/>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如果合同货物运输和安装过程中因事故造成货物短缺、损坏，乙方应及时安</w:t>
      </w:r>
      <w:r>
        <w:rPr>
          <w:rFonts w:asciiTheme="majorEastAsia" w:eastAsiaTheme="majorEastAsia" w:hAnsiTheme="majorEastAsia" w:cs="宋体" w:hint="eastAsia"/>
          <w:color w:val="000000" w:themeColor="text1"/>
          <w:sz w:val="24"/>
          <w:szCs w:val="24"/>
        </w:rPr>
        <w:lastRenderedPageBreak/>
        <w:t>排补货、换货， 以保证合同货物安装的成功完成。换货的相关费用由乙方承担；</w:t>
      </w:r>
    </w:p>
    <w:p w14:paraId="1E3DC220" w14:textId="77777777" w:rsidR="00D3478C" w:rsidRDefault="00000000">
      <w:pPr>
        <w:numPr>
          <w:ilvl w:val="0"/>
          <w:numId w:val="5"/>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乙方保证合同项下提供的货物不侵犯任何第三方的专利、商标或版权。否则，乙方须承担对第三方的专利或版权的侵权责任并承担因此而发生的所有费用。</w:t>
      </w:r>
    </w:p>
    <w:p w14:paraId="424D028B" w14:textId="77777777" w:rsidR="00D3478C" w:rsidRDefault="00000000">
      <w:pPr>
        <w:numPr>
          <w:ilvl w:val="0"/>
          <w:numId w:val="3"/>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交付验收标准依次序对照适用标准</w:t>
      </w:r>
    </w:p>
    <w:p w14:paraId="1F675BD3" w14:textId="77777777" w:rsidR="00D3478C" w:rsidRDefault="00000000">
      <w:pPr>
        <w:numPr>
          <w:ilvl w:val="0"/>
          <w:numId w:val="6"/>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符合中华人民共和国国家安全质量标准、环保标准或行业标准；</w:t>
      </w:r>
    </w:p>
    <w:p w14:paraId="5B3A7283" w14:textId="77777777" w:rsidR="00D3478C" w:rsidRDefault="00000000">
      <w:pPr>
        <w:numPr>
          <w:ilvl w:val="0"/>
          <w:numId w:val="6"/>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符合竞价文件和响应承诺中甲方认可的合理最佳配置、参数及各项要求；</w:t>
      </w:r>
    </w:p>
    <w:p w14:paraId="6C47E2A7" w14:textId="77777777" w:rsidR="00D3478C" w:rsidRDefault="00000000">
      <w:pPr>
        <w:numPr>
          <w:ilvl w:val="0"/>
          <w:numId w:val="3"/>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货物要求</w:t>
      </w:r>
    </w:p>
    <w:p w14:paraId="1CCF236C" w14:textId="77777777" w:rsidR="00D3478C" w:rsidRDefault="00000000">
      <w:pPr>
        <w:numPr>
          <w:ilvl w:val="0"/>
          <w:numId w:val="7"/>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货物为原制造商制造的全新产品，无侵权行为、表面无划损、无任何缺陷隐患，在中国境内可依常规安全合法使用。</w:t>
      </w:r>
    </w:p>
    <w:p w14:paraId="518E985C" w14:textId="77777777" w:rsidR="00D3478C" w:rsidRDefault="00000000">
      <w:pPr>
        <w:numPr>
          <w:ilvl w:val="0"/>
          <w:numId w:val="7"/>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货物为原厂商未启封全新包装，具出厂合格证，序列号、包装箱号与出厂批号一致，并可追索查阅。</w:t>
      </w:r>
    </w:p>
    <w:p w14:paraId="6677EF1D" w14:textId="77777777" w:rsidR="00D3478C" w:rsidRDefault="00000000">
      <w:pPr>
        <w:numPr>
          <w:ilvl w:val="0"/>
          <w:numId w:val="7"/>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有关键主机货物的用户手册、保修手册、有关单证资料及配备件、随机工具等，使用操作及安全须知等重要资料应附有中文说明。</w:t>
      </w:r>
    </w:p>
    <w:p w14:paraId="221D28BE" w14:textId="77777777" w:rsidR="00D3478C" w:rsidRDefault="00000000">
      <w:pPr>
        <w:numPr>
          <w:ilvl w:val="0"/>
          <w:numId w:val="3"/>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包装和运输</w:t>
      </w:r>
    </w:p>
    <w:p w14:paraId="53B0C881" w14:textId="77777777" w:rsidR="00D3478C" w:rsidRDefault="00000000">
      <w:pPr>
        <w:numPr>
          <w:ilvl w:val="0"/>
          <w:numId w:val="8"/>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乙方应提供运至交付地点所需要的包装，包装应符合经济、牢固、美观的要求，采取防潮、防晒、防锈、防振及防止其它损坏的必要措施，以防止货物在运转中损坏或变质。</w:t>
      </w:r>
    </w:p>
    <w:p w14:paraId="4008E1A4" w14:textId="77777777" w:rsidR="00D3478C" w:rsidRDefault="00000000">
      <w:pPr>
        <w:numPr>
          <w:ilvl w:val="0"/>
          <w:numId w:val="8"/>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包装必须要符合相关法律、法规的要求，包括与环境、职业健康和安全有关的法律、法规标准。</w:t>
      </w:r>
    </w:p>
    <w:p w14:paraId="2FC5362F" w14:textId="77777777" w:rsidR="00D3478C" w:rsidRDefault="00000000">
      <w:pPr>
        <w:numPr>
          <w:ilvl w:val="0"/>
          <w:numId w:val="8"/>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运输包装应根据产品的特点及国家相关标准标注有相应的运输标志。</w:t>
      </w:r>
    </w:p>
    <w:p w14:paraId="3BBC683D" w14:textId="77777777" w:rsidR="00D3478C" w:rsidRDefault="00000000">
      <w:pPr>
        <w:numPr>
          <w:ilvl w:val="0"/>
          <w:numId w:val="8"/>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乙方负责将货物运输并卸载到甲方指定地点。</w:t>
      </w:r>
    </w:p>
    <w:p w14:paraId="45F7CAB8" w14:textId="77777777" w:rsidR="00D3478C" w:rsidRDefault="00000000">
      <w:pPr>
        <w:numPr>
          <w:ilvl w:val="0"/>
          <w:numId w:val="3"/>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售后服务</w:t>
      </w:r>
    </w:p>
    <w:p w14:paraId="4E28D786" w14:textId="77777777" w:rsidR="00D3478C" w:rsidRDefault="00000000">
      <w:pPr>
        <w:numPr>
          <w:ilvl w:val="0"/>
          <w:numId w:val="9"/>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保修期</w:t>
      </w:r>
    </w:p>
    <w:p w14:paraId="0FE111FD" w14:textId="77777777" w:rsidR="00D3478C" w:rsidRDefault="00000000">
      <w:pPr>
        <w:numPr>
          <w:ilvl w:val="0"/>
          <w:numId w:val="10"/>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质量保修范围：由于材料、工艺等问题而导致的产品功能失效、性能下降等缺陷(属于自然力或战争等不可抗拒力、人为因素等造成的除外)。</w:t>
      </w:r>
    </w:p>
    <w:p w14:paraId="487BD660" w14:textId="77777777" w:rsidR="00D3478C" w:rsidRDefault="00000000">
      <w:pPr>
        <w:numPr>
          <w:ilvl w:val="0"/>
          <w:numId w:val="10"/>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保修期为</w:t>
      </w:r>
      <w:r>
        <w:rPr>
          <w:rFonts w:asciiTheme="majorEastAsia" w:eastAsiaTheme="majorEastAsia" w:hAnsiTheme="majorEastAsia" w:cs="宋体" w:hint="eastAsia"/>
          <w:color w:val="000000" w:themeColor="text1"/>
          <w:sz w:val="24"/>
          <w:szCs w:val="24"/>
          <w:u w:val="single"/>
        </w:rPr>
        <w:t xml:space="preserve"> 2 </w:t>
      </w:r>
      <w:r>
        <w:rPr>
          <w:rFonts w:asciiTheme="majorEastAsia" w:eastAsiaTheme="majorEastAsia" w:hAnsiTheme="majorEastAsia" w:cs="宋体" w:hint="eastAsia"/>
          <w:color w:val="000000" w:themeColor="text1"/>
          <w:sz w:val="24"/>
          <w:szCs w:val="24"/>
        </w:rPr>
        <w:t>年，保修期自货物最终验收合格之日起算，保修期内乙方对所供货物实行包修、包换、包退、</w:t>
      </w:r>
      <w:proofErr w:type="gramStart"/>
      <w:r>
        <w:rPr>
          <w:rFonts w:asciiTheme="majorEastAsia" w:eastAsiaTheme="majorEastAsia" w:hAnsiTheme="majorEastAsia" w:cs="宋体" w:hint="eastAsia"/>
          <w:color w:val="000000" w:themeColor="text1"/>
          <w:sz w:val="24"/>
          <w:szCs w:val="24"/>
        </w:rPr>
        <w:t>包维护</w:t>
      </w:r>
      <w:proofErr w:type="gramEnd"/>
      <w:r>
        <w:rPr>
          <w:rFonts w:asciiTheme="majorEastAsia" w:eastAsiaTheme="majorEastAsia" w:hAnsiTheme="majorEastAsia" w:cs="宋体" w:hint="eastAsia"/>
          <w:color w:val="000000" w:themeColor="text1"/>
          <w:sz w:val="24"/>
          <w:szCs w:val="24"/>
        </w:rPr>
        <w:t>保养，期满后可同时提供终身(有偿/免费)维修保养服务。</w:t>
      </w:r>
    </w:p>
    <w:p w14:paraId="51DBF4F2" w14:textId="77777777" w:rsidR="00D3478C" w:rsidRDefault="00000000">
      <w:pPr>
        <w:numPr>
          <w:ilvl w:val="0"/>
          <w:numId w:val="10"/>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lastRenderedPageBreak/>
        <w:t>在免费质保期内，出现产品质量问题，甲方提出后，乙方应在</w:t>
      </w:r>
      <w:r>
        <w:rPr>
          <w:rFonts w:asciiTheme="majorEastAsia" w:eastAsiaTheme="majorEastAsia" w:hAnsiTheme="majorEastAsia" w:cs="宋体" w:hint="eastAsia"/>
          <w:color w:val="000000" w:themeColor="text1"/>
          <w:sz w:val="24"/>
          <w:szCs w:val="24"/>
          <w:u w:val="single"/>
        </w:rPr>
        <w:t xml:space="preserve"> 48 </w:t>
      </w:r>
      <w:r>
        <w:rPr>
          <w:rFonts w:asciiTheme="majorEastAsia" w:eastAsiaTheme="majorEastAsia" w:hAnsiTheme="majorEastAsia" w:cs="宋体" w:hint="eastAsia"/>
          <w:color w:val="000000" w:themeColor="text1"/>
          <w:sz w:val="24"/>
          <w:szCs w:val="24"/>
        </w:rPr>
        <w:t>小时内响应，</w:t>
      </w:r>
      <w:r>
        <w:rPr>
          <w:rFonts w:asciiTheme="majorEastAsia" w:eastAsiaTheme="majorEastAsia" w:hAnsiTheme="majorEastAsia" w:cs="宋体" w:hint="eastAsia"/>
          <w:color w:val="000000" w:themeColor="text1"/>
          <w:sz w:val="24"/>
          <w:szCs w:val="24"/>
          <w:u w:val="single"/>
        </w:rPr>
        <w:t xml:space="preserve"> 72 </w:t>
      </w:r>
      <w:r>
        <w:rPr>
          <w:rFonts w:asciiTheme="majorEastAsia" w:eastAsiaTheme="majorEastAsia" w:hAnsiTheme="majorEastAsia" w:cs="宋体" w:hint="eastAsia"/>
          <w:color w:val="000000" w:themeColor="text1"/>
          <w:sz w:val="24"/>
          <w:szCs w:val="24"/>
        </w:rPr>
        <w:t>小时内到达现场提供相关的维修、更换等服务产品全国联保。</w:t>
      </w:r>
    </w:p>
    <w:p w14:paraId="7E50BA1B" w14:textId="77777777" w:rsidR="00D3478C" w:rsidRDefault="00000000">
      <w:pPr>
        <w:numPr>
          <w:ilvl w:val="0"/>
          <w:numId w:val="9"/>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安装与调试</w:t>
      </w:r>
    </w:p>
    <w:p w14:paraId="7A00A7F9" w14:textId="77777777" w:rsidR="00D3478C" w:rsidRDefault="00000000">
      <w:pPr>
        <w:numPr>
          <w:ilvl w:val="0"/>
          <w:numId w:val="11"/>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乙方必须依照竞价文件的要求和响应文件的承诺，将货物安装并调试至正常运行的最佳状态。</w:t>
      </w:r>
    </w:p>
    <w:p w14:paraId="0638F991" w14:textId="77777777" w:rsidR="00D3478C" w:rsidRDefault="00000000">
      <w:pPr>
        <w:numPr>
          <w:ilvl w:val="0"/>
          <w:numId w:val="11"/>
        </w:num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合同货物安装</w:t>
      </w:r>
    </w:p>
    <w:p w14:paraId="52CAD7C3" w14:textId="77777777" w:rsidR="00D3478C" w:rsidRDefault="00000000">
      <w:p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① 乙方负责合同货物的安装，一切费用由乙方负责。</w:t>
      </w:r>
    </w:p>
    <w:p w14:paraId="4AC4347F" w14:textId="77777777" w:rsidR="00D3478C" w:rsidRDefault="00000000">
      <w:pPr>
        <w:spacing w:line="360" w:lineRule="auto"/>
        <w:rPr>
          <w:rFonts w:asciiTheme="majorEastAsia" w:eastAsiaTheme="majorEastAsia" w:hAnsiTheme="majorEastAsia" w:cs="宋体"/>
          <w:color w:val="000000" w:themeColor="text1"/>
          <w:sz w:val="24"/>
          <w:szCs w:val="24"/>
        </w:rPr>
      </w:pPr>
      <w:r>
        <w:rPr>
          <w:rFonts w:asciiTheme="majorEastAsia" w:eastAsiaTheme="majorEastAsia" w:hAnsiTheme="majorEastAsia" w:cs="宋体" w:hint="eastAsia"/>
          <w:color w:val="000000" w:themeColor="text1"/>
          <w:sz w:val="24"/>
          <w:szCs w:val="24"/>
        </w:rPr>
        <w:t>② 乙方安装时须对各安装场地内的其他货物、设施有良好保护措施。</w:t>
      </w:r>
    </w:p>
    <w:p w14:paraId="641ED21D" w14:textId="77777777" w:rsidR="00D3478C" w:rsidRDefault="00000000">
      <w:pPr>
        <w:pStyle w:val="af"/>
        <w:numPr>
          <w:ilvl w:val="0"/>
          <w:numId w:val="2"/>
        </w:numPr>
        <w:spacing w:line="360" w:lineRule="auto"/>
        <w:ind w:firstLineChars="0" w:firstLine="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结算及付款方式</w:t>
      </w:r>
    </w:p>
    <w:p w14:paraId="0D6F848B" w14:textId="77777777" w:rsidR="00D3478C" w:rsidRDefault="00000000">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商品验收无质量问题且乙方在10个工作日内向甲方开具有效发票，甲方在30个工作日内一次性付款。</w:t>
      </w:r>
    </w:p>
    <w:p w14:paraId="0A3C9274" w14:textId="77777777" w:rsidR="00D3478C" w:rsidRPr="005D3F86" w:rsidRDefault="00000000">
      <w:pPr>
        <w:pStyle w:val="af"/>
        <w:numPr>
          <w:ilvl w:val="0"/>
          <w:numId w:val="2"/>
        </w:numPr>
        <w:spacing w:line="360" w:lineRule="auto"/>
        <w:ind w:firstLineChars="0" w:firstLine="0"/>
        <w:rPr>
          <w:rFonts w:asciiTheme="majorEastAsia" w:eastAsiaTheme="majorEastAsia" w:hAnsiTheme="majorEastAsia" w:cs="Times New Roman"/>
          <w:sz w:val="24"/>
          <w:szCs w:val="24"/>
        </w:rPr>
      </w:pPr>
      <w:r w:rsidRPr="005D3F86">
        <w:rPr>
          <w:rFonts w:asciiTheme="majorEastAsia" w:eastAsiaTheme="majorEastAsia" w:hAnsiTheme="majorEastAsia" w:cs="Times New Roman" w:hint="eastAsia"/>
          <w:sz w:val="24"/>
          <w:szCs w:val="24"/>
        </w:rPr>
        <w:t>其他</w:t>
      </w:r>
    </w:p>
    <w:p w14:paraId="50CB2A55" w14:textId="77777777" w:rsidR="00D3478C" w:rsidRPr="005D3F86" w:rsidRDefault="00000000">
      <w:pPr>
        <w:spacing w:line="360" w:lineRule="auto"/>
        <w:ind w:firstLineChars="200" w:firstLine="480"/>
        <w:rPr>
          <w:rFonts w:asciiTheme="majorEastAsia" w:eastAsiaTheme="majorEastAsia" w:hAnsiTheme="majorEastAsia" w:cs="Times New Roman"/>
          <w:sz w:val="24"/>
          <w:szCs w:val="24"/>
        </w:rPr>
      </w:pPr>
      <w:r w:rsidRPr="005D3F86">
        <w:rPr>
          <w:rFonts w:asciiTheme="majorEastAsia" w:eastAsiaTheme="majorEastAsia" w:hAnsiTheme="majorEastAsia" w:cs="Times New Roman"/>
          <w:sz w:val="24"/>
          <w:szCs w:val="24"/>
        </w:rPr>
        <w:t>1、本合同所有附件、竞价文件、响应文件、报名资料、成交通知书均为合同的有效组成部分，与本合同具有同等法律效力。</w:t>
      </w:r>
    </w:p>
    <w:p w14:paraId="1D23CF94" w14:textId="77777777" w:rsidR="00D3478C" w:rsidRPr="005D3F86" w:rsidRDefault="00000000">
      <w:pPr>
        <w:spacing w:line="360" w:lineRule="auto"/>
        <w:ind w:firstLineChars="200" w:firstLine="480"/>
        <w:rPr>
          <w:rFonts w:asciiTheme="majorEastAsia" w:eastAsiaTheme="majorEastAsia" w:hAnsiTheme="majorEastAsia" w:cs="Times New Roman"/>
          <w:sz w:val="24"/>
          <w:szCs w:val="24"/>
        </w:rPr>
      </w:pPr>
      <w:r w:rsidRPr="005D3F86">
        <w:rPr>
          <w:rFonts w:asciiTheme="majorEastAsia" w:eastAsiaTheme="majorEastAsia" w:hAnsiTheme="majorEastAsia" w:cs="Times New Roman"/>
          <w:sz w:val="24"/>
          <w:szCs w:val="24"/>
        </w:rPr>
        <w:t>2、在执行本合同的过程中，所有经双方签署确认的文件（包括会议纪要、补充协议）即成为本合同的有效组成部分。</w:t>
      </w:r>
    </w:p>
    <w:p w14:paraId="01DF2C4C" w14:textId="77777777" w:rsidR="00D3478C" w:rsidRPr="005D3F86" w:rsidRDefault="00000000">
      <w:pPr>
        <w:spacing w:line="360" w:lineRule="auto"/>
        <w:ind w:firstLineChars="200" w:firstLine="480"/>
        <w:rPr>
          <w:rFonts w:asciiTheme="majorEastAsia" w:eastAsiaTheme="majorEastAsia" w:hAnsiTheme="majorEastAsia" w:cs="Times New Roman"/>
          <w:sz w:val="24"/>
          <w:szCs w:val="24"/>
        </w:rPr>
      </w:pPr>
      <w:r w:rsidRPr="005D3F86">
        <w:rPr>
          <w:rFonts w:asciiTheme="majorEastAsia" w:eastAsiaTheme="majorEastAsia" w:hAnsiTheme="majorEastAsia" w:cs="Times New Roman"/>
          <w:sz w:val="24"/>
          <w:szCs w:val="24"/>
        </w:rPr>
        <w:t xml:space="preserve">3、如一方地址、电话、传真号码有变更，应在变更当日起3个自然日内书面通知对方，履行了告知义务的一方不承担违约责任。否则，应承担由此造成的相应损失责任。 </w:t>
      </w:r>
    </w:p>
    <w:p w14:paraId="69B316AE" w14:textId="77777777" w:rsidR="00D3478C" w:rsidRPr="005D3F86" w:rsidRDefault="00000000">
      <w:pPr>
        <w:spacing w:line="360" w:lineRule="auto"/>
        <w:ind w:firstLineChars="200" w:firstLine="480"/>
        <w:rPr>
          <w:rFonts w:asciiTheme="majorEastAsia" w:eastAsiaTheme="majorEastAsia" w:hAnsiTheme="majorEastAsia" w:cs="Times New Roman"/>
          <w:sz w:val="24"/>
          <w:szCs w:val="24"/>
        </w:rPr>
      </w:pPr>
      <w:r w:rsidRPr="005D3F86">
        <w:rPr>
          <w:rFonts w:asciiTheme="majorEastAsia" w:eastAsiaTheme="majorEastAsia" w:hAnsiTheme="majorEastAsia" w:cs="Times New Roman"/>
          <w:sz w:val="24"/>
          <w:szCs w:val="24"/>
        </w:rPr>
        <w:t>4、除甲方事先书面同意外，乙方不得部分或全部转让其应履行的合同项下的义务。</w:t>
      </w:r>
    </w:p>
    <w:p w14:paraId="1679FE76" w14:textId="38836720" w:rsidR="00D3478C" w:rsidRPr="005D3F86" w:rsidRDefault="00000000">
      <w:pPr>
        <w:spacing w:line="360" w:lineRule="auto"/>
        <w:ind w:firstLineChars="200" w:firstLine="480"/>
        <w:rPr>
          <w:rFonts w:asciiTheme="majorEastAsia" w:eastAsiaTheme="majorEastAsia" w:hAnsiTheme="majorEastAsia" w:cs="Times New Roman"/>
          <w:sz w:val="24"/>
          <w:szCs w:val="24"/>
        </w:rPr>
      </w:pPr>
      <w:r w:rsidRPr="005D3F86">
        <w:rPr>
          <w:rFonts w:asciiTheme="majorEastAsia" w:eastAsiaTheme="majorEastAsia" w:hAnsiTheme="majorEastAsia" w:cs="Times New Roman"/>
          <w:sz w:val="24"/>
          <w:szCs w:val="24"/>
        </w:rPr>
        <w:t xml:space="preserve">5、本合同正本一式 </w:t>
      </w:r>
      <w:r w:rsidRPr="005D3F86">
        <w:rPr>
          <w:rFonts w:asciiTheme="majorEastAsia" w:eastAsiaTheme="majorEastAsia" w:hAnsiTheme="majorEastAsia" w:cs="Times New Roman" w:hint="eastAsia"/>
          <w:sz w:val="24"/>
          <w:szCs w:val="24"/>
          <w:u w:val="single"/>
        </w:rPr>
        <w:t xml:space="preserve"> </w:t>
      </w:r>
      <w:r w:rsidR="005D3F86">
        <w:rPr>
          <w:rFonts w:asciiTheme="majorEastAsia" w:eastAsiaTheme="majorEastAsia" w:hAnsiTheme="majorEastAsia" w:cs="Times New Roman" w:hint="eastAsia"/>
          <w:sz w:val="24"/>
          <w:szCs w:val="24"/>
          <w:u w:val="single"/>
        </w:rPr>
        <w:t>贰</w:t>
      </w:r>
      <w:r w:rsidRPr="005D3F86">
        <w:rPr>
          <w:rFonts w:asciiTheme="majorEastAsia" w:eastAsiaTheme="majorEastAsia" w:hAnsiTheme="majorEastAsia" w:cs="Times New Roman" w:hint="eastAsia"/>
          <w:sz w:val="24"/>
          <w:szCs w:val="24"/>
          <w:u w:val="single"/>
        </w:rPr>
        <w:t xml:space="preserve"> </w:t>
      </w:r>
      <w:r w:rsidRPr="005D3F86">
        <w:rPr>
          <w:rFonts w:asciiTheme="majorEastAsia" w:eastAsiaTheme="majorEastAsia" w:hAnsiTheme="majorEastAsia" w:cs="Times New Roman"/>
          <w:sz w:val="24"/>
          <w:szCs w:val="24"/>
        </w:rPr>
        <w:t>份，具有同等法律效力，甲方乙方各</w:t>
      </w:r>
      <w:r w:rsidRPr="005D3F86">
        <w:rPr>
          <w:rFonts w:asciiTheme="majorEastAsia" w:eastAsiaTheme="majorEastAsia" w:hAnsiTheme="majorEastAsia" w:cs="Times New Roman" w:hint="eastAsia"/>
          <w:sz w:val="24"/>
          <w:szCs w:val="24"/>
          <w:u w:val="single"/>
        </w:rPr>
        <w:t xml:space="preserve"> </w:t>
      </w:r>
      <w:r w:rsidR="005D3F86">
        <w:rPr>
          <w:rFonts w:asciiTheme="majorEastAsia" w:eastAsiaTheme="majorEastAsia" w:hAnsiTheme="majorEastAsia" w:cs="Times New Roman" w:hint="eastAsia"/>
          <w:sz w:val="24"/>
          <w:szCs w:val="24"/>
          <w:u w:val="single"/>
        </w:rPr>
        <w:t>壹</w:t>
      </w:r>
      <w:r w:rsidRPr="005D3F86">
        <w:rPr>
          <w:rFonts w:asciiTheme="majorEastAsia" w:eastAsiaTheme="majorEastAsia" w:hAnsiTheme="majorEastAsia" w:cs="Times New Roman" w:hint="eastAsia"/>
          <w:sz w:val="24"/>
          <w:szCs w:val="24"/>
          <w:u w:val="single"/>
        </w:rPr>
        <w:t xml:space="preserve"> </w:t>
      </w:r>
      <w:r w:rsidRPr="005D3F86">
        <w:rPr>
          <w:rFonts w:asciiTheme="majorEastAsia" w:eastAsiaTheme="majorEastAsia" w:hAnsiTheme="majorEastAsia" w:cs="Times New Roman"/>
          <w:sz w:val="24"/>
          <w:szCs w:val="24"/>
        </w:rPr>
        <w:t>份，合同自签字并加盖公章或合同专用章之日起即时生效。</w:t>
      </w:r>
    </w:p>
    <w:p w14:paraId="77061329" w14:textId="77777777" w:rsidR="00D3478C" w:rsidRPr="005D3F86" w:rsidRDefault="00000000">
      <w:pPr>
        <w:spacing w:line="360" w:lineRule="auto"/>
        <w:ind w:firstLineChars="200" w:firstLine="480"/>
        <w:rPr>
          <w:rFonts w:asciiTheme="majorEastAsia" w:eastAsiaTheme="majorEastAsia" w:hAnsiTheme="majorEastAsia" w:cs="Times New Roman"/>
          <w:sz w:val="24"/>
          <w:szCs w:val="24"/>
        </w:rPr>
      </w:pPr>
      <w:r w:rsidRPr="005D3F86">
        <w:rPr>
          <w:rFonts w:asciiTheme="majorEastAsia" w:eastAsiaTheme="majorEastAsia" w:hAnsiTheme="majorEastAsia" w:cs="Times New Roman"/>
          <w:sz w:val="24"/>
          <w:szCs w:val="24"/>
        </w:rPr>
        <w:t>6、本合同未尽事宜，由双方协商处理。并以补充协议形式立项。若双方彼此间不能达成协议，提交到甲方所在地人民法院诉讼解决。</w:t>
      </w:r>
    </w:p>
    <w:p w14:paraId="3F1A10AB" w14:textId="77777777" w:rsidR="00D3478C" w:rsidRDefault="00000000">
      <w:pPr>
        <w:spacing w:line="360" w:lineRule="auto"/>
        <w:ind w:firstLineChars="200" w:firstLine="480"/>
        <w:rPr>
          <w:rFonts w:asciiTheme="majorEastAsia" w:eastAsiaTheme="majorEastAsia" w:hAnsiTheme="majorEastAsia" w:cs="Times New Roman"/>
          <w:color w:val="FF0000"/>
          <w:sz w:val="24"/>
          <w:szCs w:val="24"/>
        </w:rPr>
      </w:pPr>
      <w:r w:rsidRPr="005D3F86">
        <w:rPr>
          <w:rFonts w:asciiTheme="majorEastAsia" w:eastAsiaTheme="majorEastAsia" w:hAnsiTheme="majorEastAsia" w:cs="Times New Roman"/>
          <w:sz w:val="24"/>
          <w:szCs w:val="24"/>
        </w:rPr>
        <w:t>7、如乙方违约，除违约惩罚外，乙方以后不得参加</w:t>
      </w:r>
      <w:r w:rsidRPr="005D3F86">
        <w:rPr>
          <w:rFonts w:asciiTheme="majorEastAsia" w:eastAsiaTheme="majorEastAsia" w:hAnsiTheme="majorEastAsia" w:cs="Times New Roman" w:hint="eastAsia"/>
          <w:sz w:val="24"/>
          <w:szCs w:val="24"/>
        </w:rPr>
        <w:t>甲方</w:t>
      </w:r>
      <w:r w:rsidRPr="005D3F86">
        <w:rPr>
          <w:rFonts w:asciiTheme="majorEastAsia" w:eastAsiaTheme="majorEastAsia" w:hAnsiTheme="majorEastAsia" w:cs="Times New Roman"/>
          <w:sz w:val="24"/>
          <w:szCs w:val="24"/>
        </w:rPr>
        <w:t>的任何竞价投标项目，甲方有权通报甲方上级部门，乙方公司和法人及其关联人、关联公司或控股公司以后不得再参与</w:t>
      </w:r>
      <w:r w:rsidRPr="005D3F86">
        <w:rPr>
          <w:rFonts w:asciiTheme="majorEastAsia" w:eastAsiaTheme="majorEastAsia" w:hAnsiTheme="majorEastAsia" w:cs="Times New Roman" w:hint="eastAsia"/>
          <w:sz w:val="24"/>
          <w:szCs w:val="24"/>
        </w:rPr>
        <w:t>采购</w:t>
      </w:r>
      <w:r w:rsidRPr="005D3F86">
        <w:rPr>
          <w:rFonts w:asciiTheme="majorEastAsia" w:eastAsiaTheme="majorEastAsia" w:hAnsiTheme="majorEastAsia" w:cs="Times New Roman"/>
          <w:sz w:val="24"/>
          <w:szCs w:val="24"/>
        </w:rPr>
        <w:t>单位系统所有单位的合作。</w:t>
      </w:r>
    </w:p>
    <w:p w14:paraId="58ED1C75" w14:textId="77777777" w:rsidR="00D3478C" w:rsidRDefault="00D3478C">
      <w:pPr>
        <w:spacing w:line="360" w:lineRule="auto"/>
        <w:ind w:firstLineChars="200" w:firstLine="480"/>
        <w:rPr>
          <w:rFonts w:asciiTheme="majorEastAsia" w:eastAsiaTheme="majorEastAsia" w:hAnsiTheme="majorEastAsia" w:cs="Times New Roman"/>
          <w:sz w:val="24"/>
          <w:szCs w:val="24"/>
        </w:rPr>
      </w:pPr>
    </w:p>
    <w:p w14:paraId="1B698F9F" w14:textId="77777777" w:rsidR="00D3478C" w:rsidRDefault="00D3478C">
      <w:pPr>
        <w:spacing w:line="360" w:lineRule="auto"/>
        <w:ind w:firstLineChars="200" w:firstLine="480"/>
        <w:rPr>
          <w:rFonts w:asciiTheme="majorEastAsia" w:eastAsiaTheme="majorEastAsia" w:hAnsiTheme="majorEastAsia" w:cs="Times New Roman"/>
          <w:sz w:val="24"/>
          <w:szCs w:val="24"/>
        </w:rPr>
      </w:pPr>
    </w:p>
    <w:p w14:paraId="3BB77571" w14:textId="77777777" w:rsidR="00D3478C" w:rsidRDefault="00000000">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甲方（盖章）：                               乙方（盖章）：</w:t>
      </w:r>
    </w:p>
    <w:p w14:paraId="0821501D" w14:textId="77777777" w:rsidR="00D3478C" w:rsidRDefault="00000000">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地址 ：                                      地址 ：</w:t>
      </w:r>
    </w:p>
    <w:p w14:paraId="010B16C5" w14:textId="77777777" w:rsidR="00D3478C" w:rsidRDefault="00000000">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法定代表人：                                 法定代表人： </w:t>
      </w:r>
    </w:p>
    <w:p w14:paraId="217539D1" w14:textId="77777777" w:rsidR="00D3478C" w:rsidRDefault="00D3478C">
      <w:pPr>
        <w:spacing w:line="360" w:lineRule="auto"/>
        <w:ind w:firstLineChars="200" w:firstLine="480"/>
        <w:rPr>
          <w:rFonts w:asciiTheme="majorEastAsia" w:eastAsiaTheme="majorEastAsia" w:hAnsiTheme="majorEastAsia" w:cs="Times New Roman"/>
          <w:sz w:val="24"/>
          <w:szCs w:val="24"/>
        </w:rPr>
      </w:pPr>
    </w:p>
    <w:p w14:paraId="2937CDE3" w14:textId="77777777" w:rsidR="00D3478C" w:rsidRDefault="00000000">
      <w:p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签订日期：    年    月    日  签订日期：   年    月    日    </w:t>
      </w:r>
    </w:p>
    <w:p w14:paraId="5CE23CF7" w14:textId="77777777" w:rsidR="00D3478C" w:rsidRDefault="00D3478C">
      <w:pPr>
        <w:spacing w:line="360" w:lineRule="auto"/>
        <w:rPr>
          <w:rFonts w:ascii="宋体" w:eastAsia="宋体" w:hAnsi="宋体" w:cs="宋体"/>
          <w:color w:val="000000" w:themeColor="text1"/>
          <w:sz w:val="28"/>
          <w:szCs w:val="28"/>
        </w:rPr>
      </w:pPr>
    </w:p>
    <w:p w14:paraId="6E49BA77" w14:textId="77777777" w:rsidR="00D3478C" w:rsidRDefault="00D3478C"/>
    <w:sectPr w:rsidR="00D3478C">
      <w:headerReference w:type="default" r:id="rId8"/>
      <w:headerReference w:type="first" r:id="rId9"/>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49685" w14:textId="77777777" w:rsidR="00B271B5" w:rsidRDefault="00B271B5">
      <w:r>
        <w:separator/>
      </w:r>
    </w:p>
  </w:endnote>
  <w:endnote w:type="continuationSeparator" w:id="0">
    <w:p w14:paraId="70E1F2C0" w14:textId="77777777" w:rsidR="00B271B5" w:rsidRDefault="00B2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52E3E" w14:textId="77777777" w:rsidR="00B271B5" w:rsidRDefault="00B271B5">
      <w:r>
        <w:separator/>
      </w:r>
    </w:p>
  </w:footnote>
  <w:footnote w:type="continuationSeparator" w:id="0">
    <w:p w14:paraId="240C074E" w14:textId="77777777" w:rsidR="00B271B5" w:rsidRDefault="00B27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56B39" w14:textId="77777777" w:rsidR="00D3478C"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4387D" w14:textId="77777777" w:rsidR="00D3478C" w:rsidRDefault="00000000">
    <w:pPr>
      <w:pStyle w:val="a9"/>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37A0457"/>
    <w:multiLevelType w:val="singleLevel"/>
    <w:tmpl w:val="A37A0457"/>
    <w:lvl w:ilvl="0">
      <w:start w:val="2"/>
      <w:numFmt w:val="chineseCounting"/>
      <w:suff w:val="nothing"/>
      <w:lvlText w:val="%1、"/>
      <w:lvlJc w:val="left"/>
      <w:rPr>
        <w:rFonts w:ascii="宋体" w:eastAsia="宋体" w:hAnsi="宋体" w:hint="eastAsia"/>
      </w:rPr>
    </w:lvl>
  </w:abstractNum>
  <w:abstractNum w:abstractNumId="1" w15:restartNumberingAfterBreak="0">
    <w:nsid w:val="042B1D6F"/>
    <w:multiLevelType w:val="multilevel"/>
    <w:tmpl w:val="042B1D6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E417B4C"/>
    <w:multiLevelType w:val="multilevel"/>
    <w:tmpl w:val="0E417B4C"/>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44B7ABA"/>
    <w:multiLevelType w:val="multilevel"/>
    <w:tmpl w:val="244B7ABA"/>
    <w:lvl w:ilvl="0">
      <w:start w:val="1"/>
      <w:numFmt w:val="decimal"/>
      <w:lvlText w:val="%1."/>
      <w:lvlJc w:val="left"/>
      <w:pPr>
        <w:ind w:left="420" w:hanging="4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A431929"/>
    <w:multiLevelType w:val="multilevel"/>
    <w:tmpl w:val="2A431929"/>
    <w:lvl w:ilvl="0">
      <w:start w:val="1"/>
      <w:numFmt w:val="decimal"/>
      <w:lvlText w:val="%1."/>
      <w:lvlJc w:val="left"/>
      <w:pPr>
        <w:tabs>
          <w:tab w:val="left" w:pos="425"/>
        </w:tabs>
        <w:ind w:left="425" w:hanging="425"/>
      </w:pPr>
      <w:rPr>
        <w:rFonts w:hint="default"/>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2AB33F10"/>
    <w:multiLevelType w:val="multilevel"/>
    <w:tmpl w:val="2AB33F10"/>
    <w:lvl w:ilvl="0">
      <w:start w:val="1"/>
      <w:numFmt w:val="decimal"/>
      <w:lvlText w:val="%1."/>
      <w:lvlJc w:val="left"/>
      <w:pPr>
        <w:tabs>
          <w:tab w:val="left" w:pos="425"/>
        </w:tabs>
        <w:ind w:left="425" w:hanging="425"/>
      </w:pPr>
      <w:rPr>
        <w:rFonts w:hint="default"/>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4FE425AC"/>
    <w:multiLevelType w:val="multilevel"/>
    <w:tmpl w:val="4FE425A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4370F7B"/>
    <w:multiLevelType w:val="multilevel"/>
    <w:tmpl w:val="54370F7B"/>
    <w:lvl w:ilvl="0">
      <w:start w:val="1"/>
      <w:numFmt w:val="decimal"/>
      <w:lvlText w:val="（%1）"/>
      <w:lvlJc w:val="left"/>
      <w:pPr>
        <w:tabs>
          <w:tab w:val="left" w:pos="425"/>
        </w:tabs>
        <w:ind w:left="425" w:hanging="425"/>
      </w:pPr>
      <w:rPr>
        <w:rFonts w:hint="eastAsia"/>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71E1145C"/>
    <w:multiLevelType w:val="multilevel"/>
    <w:tmpl w:val="71E1145C"/>
    <w:lvl w:ilvl="0">
      <w:start w:val="1"/>
      <w:numFmt w:val="decimal"/>
      <w:lvlText w:val="（%1）"/>
      <w:lvlJc w:val="left"/>
      <w:pPr>
        <w:tabs>
          <w:tab w:val="left" w:pos="425"/>
        </w:tabs>
        <w:ind w:left="425" w:hanging="425"/>
      </w:pPr>
      <w:rPr>
        <w:rFonts w:ascii="宋体" w:eastAsia="宋体" w:hAnsi="宋体" w:hint="default"/>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74A362F0"/>
    <w:multiLevelType w:val="multilevel"/>
    <w:tmpl w:val="74A362F0"/>
    <w:lvl w:ilvl="0">
      <w:start w:val="1"/>
      <w:numFmt w:val="decimal"/>
      <w:lvlText w:val="%1."/>
      <w:lvlJc w:val="left"/>
      <w:pPr>
        <w:tabs>
          <w:tab w:val="left" w:pos="425"/>
        </w:tabs>
        <w:ind w:left="425" w:hanging="425"/>
      </w:pPr>
      <w:rPr>
        <w:rFonts w:hint="default"/>
        <w:color w:val="auto"/>
        <w:sz w:val="24"/>
        <w:szCs w:val="24"/>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7F011311"/>
    <w:multiLevelType w:val="multilevel"/>
    <w:tmpl w:val="7F011311"/>
    <w:lvl w:ilvl="0">
      <w:start w:val="1"/>
      <w:numFmt w:val="chineseCountingThousand"/>
      <w:lvlText w:val="(%1)"/>
      <w:lvlJc w:val="left"/>
      <w:pPr>
        <w:ind w:left="0" w:firstLine="0"/>
      </w:pPr>
      <w:rPr>
        <w:rFonts w:hint="default"/>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69899396">
    <w:abstractNumId w:val="2"/>
  </w:num>
  <w:num w:numId="2" w16cid:durableId="1013647892">
    <w:abstractNumId w:val="0"/>
  </w:num>
  <w:num w:numId="3" w16cid:durableId="1845315885">
    <w:abstractNumId w:val="10"/>
  </w:num>
  <w:num w:numId="4" w16cid:durableId="2037079084">
    <w:abstractNumId w:val="1"/>
  </w:num>
  <w:num w:numId="5" w16cid:durableId="1047073502">
    <w:abstractNumId w:val="5"/>
  </w:num>
  <w:num w:numId="6" w16cid:durableId="941575005">
    <w:abstractNumId w:val="9"/>
  </w:num>
  <w:num w:numId="7" w16cid:durableId="986982248">
    <w:abstractNumId w:val="4"/>
  </w:num>
  <w:num w:numId="8" w16cid:durableId="2140225623">
    <w:abstractNumId w:val="3"/>
  </w:num>
  <w:num w:numId="9" w16cid:durableId="822115173">
    <w:abstractNumId w:val="6"/>
  </w:num>
  <w:num w:numId="10" w16cid:durableId="1155950814">
    <w:abstractNumId w:val="8"/>
  </w:num>
  <w:num w:numId="11" w16cid:durableId="1640961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32"/>
    <w:rsid w:val="00095776"/>
    <w:rsid w:val="000B44B7"/>
    <w:rsid w:val="00112CDB"/>
    <w:rsid w:val="001903E5"/>
    <w:rsid w:val="004301C7"/>
    <w:rsid w:val="005347DD"/>
    <w:rsid w:val="005D3F86"/>
    <w:rsid w:val="005D5FF1"/>
    <w:rsid w:val="00770DD2"/>
    <w:rsid w:val="007E22F7"/>
    <w:rsid w:val="008E12CD"/>
    <w:rsid w:val="009A375F"/>
    <w:rsid w:val="009E1178"/>
    <w:rsid w:val="00A47786"/>
    <w:rsid w:val="00A959A9"/>
    <w:rsid w:val="00B1639A"/>
    <w:rsid w:val="00B20552"/>
    <w:rsid w:val="00B271B5"/>
    <w:rsid w:val="00B3654B"/>
    <w:rsid w:val="00C37932"/>
    <w:rsid w:val="00D3478C"/>
    <w:rsid w:val="00D741D1"/>
    <w:rsid w:val="00DF6CA1"/>
    <w:rsid w:val="00E47D17"/>
    <w:rsid w:val="00F42DBA"/>
    <w:rsid w:val="00F5722E"/>
    <w:rsid w:val="00F64C54"/>
    <w:rsid w:val="00F65BD5"/>
    <w:rsid w:val="00F677ED"/>
    <w:rsid w:val="00FE367E"/>
    <w:rsid w:val="6A910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5D6B"/>
  <w15:docId w15:val="{DB520873-D293-4D04-87CF-BFBDE7BB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paragraph" w:styleId="af">
    <w:name w:val="List Paragraph"/>
    <w:basedOn w:val="a"/>
    <w:link w:val="af0"/>
    <w:uiPriority w:val="99"/>
    <w:qFormat/>
    <w:pPr>
      <w:ind w:firstLineChars="200" w:firstLine="420"/>
    </w:pPr>
  </w:style>
  <w:style w:type="character" w:customStyle="1" w:styleId="af0">
    <w:name w:val="列表段落 字符"/>
    <w:link w:val="af"/>
    <w:uiPriority w:val="99"/>
    <w:qFormat/>
  </w:style>
  <w:style w:type="table" w:customStyle="1" w:styleId="2">
    <w:name w:val="网格型2"/>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8">
    <w:name w:val="页脚 字符"/>
    <w:basedOn w:val="a0"/>
    <w:link w:val="a7"/>
    <w:uiPriority w:val="99"/>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1755</Characters>
  <Application>Microsoft Office Word</Application>
  <DocSecurity>0</DocSecurity>
  <Lines>14</Lines>
  <Paragraphs>4</Paragraphs>
  <ScaleCrop>false</ScaleCrop>
  <Company>Organization</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云采链</dc:creator>
  <cp:lastModifiedBy>云采链</cp:lastModifiedBy>
  <cp:revision>13</cp:revision>
  <dcterms:created xsi:type="dcterms:W3CDTF">2024-05-06T09:44:00Z</dcterms:created>
  <dcterms:modified xsi:type="dcterms:W3CDTF">2024-05-08T02:49:00Z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