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ind w:left="1405" w:hanging="1405" w:hangingChars="500"/>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14:textFill>
            <w14:solidFill>
              <w14:schemeClr w14:val="tx1"/>
            </w14:solidFill>
          </w14:textFill>
        </w:rPr>
        <w:t>广东省肇庆监狱办公系统及设备运维人员驻场服务采购项目</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广东省肇庆监狱</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二〇二四年四月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21"/>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2"/>
        <w:numPr>
          <w:ilvl w:val="0"/>
          <w:numId w:val="3"/>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本项目通过云采链线上采购一体化平台（www.choicelink.cn）进行竞价，参与竞价的供应商必须登录平台进行注册，注册成功后方可参与项目竞价。</w:t>
      </w:r>
    </w:p>
    <w:p>
      <w:pPr>
        <w:pStyle w:val="32"/>
        <w:numPr>
          <w:ilvl w:val="0"/>
          <w:numId w:val="3"/>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2"/>
        <w:numPr>
          <w:ilvl w:val="0"/>
          <w:numId w:val="3"/>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2"/>
        <w:numPr>
          <w:ilvl w:val="0"/>
          <w:numId w:val="3"/>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2"/>
        <w:numPr>
          <w:ilvl w:val="0"/>
          <w:numId w:val="4"/>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8"/>
          <w:rFonts w:hint="eastAsia" w:ascii="宋体" w:hAnsi="宋体" w:eastAsia="宋体" w:cs="宋体"/>
          <w:bCs w:val="0"/>
          <w:color w:val="000000" w:themeColor="text1"/>
          <w14:textFill>
            <w14:solidFill>
              <w14:schemeClr w14:val="tx1"/>
            </w14:solidFill>
          </w14:textFill>
        </w:rPr>
        <w:t>竞价说明</w:t>
      </w:r>
    </w:p>
    <w:p>
      <w:pPr>
        <w:pStyle w:val="32"/>
        <w:numPr>
          <w:ilvl w:val="0"/>
          <w:numId w:val="5"/>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w:t>
      </w:r>
      <w:r>
        <w:rPr>
          <w:rFonts w:hint="eastAsia" w:ascii="宋体" w:hAnsi="宋体" w:cs="宋体"/>
          <w:color w:val="000000" w:themeColor="text1"/>
          <w14:textFill>
            <w14:solidFill>
              <w14:schemeClr w14:val="tx1"/>
            </w14:solidFill>
          </w14:textFill>
        </w:rPr>
        <w:t>采购</w:t>
      </w:r>
      <w:r>
        <w:rPr>
          <w:rFonts w:hint="eastAsia" w:ascii="宋体" w:hAnsi="宋体" w:eastAsia="宋体" w:cs="宋体"/>
          <w:color w:val="000000" w:themeColor="text1"/>
          <w:szCs w:val="21"/>
          <w:lang w:val="zh-CN"/>
          <w14:textFill>
            <w14:solidFill>
              <w14:schemeClr w14:val="tx1"/>
            </w14:solidFill>
          </w14:textFill>
        </w:rPr>
        <w:t>需求书的所有条款进行整体响应，</w:t>
      </w:r>
      <w:r>
        <w:rPr>
          <w:rFonts w:hint="eastAsia" w:ascii="宋体" w:hAnsi="宋体" w:cs="宋体"/>
          <w:color w:val="000000" w:themeColor="text1"/>
          <w14:textFill>
            <w14:solidFill>
              <w14:schemeClr w14:val="tx1"/>
            </w14:solidFill>
          </w14:textFill>
        </w:rPr>
        <w:t>采购</w:t>
      </w:r>
      <w:r>
        <w:rPr>
          <w:rFonts w:hint="eastAsia" w:ascii="宋体" w:hAnsi="宋体" w:eastAsia="宋体" w:cs="宋体"/>
          <w:color w:val="000000" w:themeColor="text1"/>
          <w:szCs w:val="21"/>
          <w:lang w:val="zh-CN"/>
          <w14:textFill>
            <w14:solidFill>
              <w14:schemeClr w14:val="tx1"/>
            </w14:solidFill>
          </w14:textFill>
        </w:rPr>
        <w:t>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32"/>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2"/>
        <w:numPr>
          <w:ilvl w:val="0"/>
          <w:numId w:val="4"/>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2"/>
        <w:numPr>
          <w:ilvl w:val="0"/>
          <w:numId w:val="6"/>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2"/>
        <w:numPr>
          <w:ilvl w:val="0"/>
          <w:numId w:val="6"/>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2"/>
        <w:numPr>
          <w:ilvl w:val="0"/>
          <w:numId w:val="6"/>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2"/>
        <w:numPr>
          <w:ilvl w:val="0"/>
          <w:numId w:val="4"/>
        </w:numPr>
        <w:spacing w:line="360" w:lineRule="auto"/>
        <w:ind w:left="420" w:hanging="420" w:firstLineChars="0"/>
        <w:rPr>
          <w:rStyle w:val="28"/>
          <w:rFonts w:ascii="宋体" w:hAnsi="宋体" w:eastAsia="宋体" w:cs="宋体"/>
          <w:bCs w:val="0"/>
        </w:rPr>
      </w:pPr>
      <w:r>
        <w:rPr>
          <w:rStyle w:val="28"/>
          <w:rFonts w:hint="eastAsia" w:ascii="宋体" w:hAnsi="宋体" w:eastAsia="宋体" w:cs="宋体"/>
          <w:bCs w:val="0"/>
        </w:rPr>
        <w:t>报名要求</w:t>
      </w:r>
      <w:r>
        <w:rPr>
          <w:rStyle w:val="28"/>
          <w:rFonts w:hint="eastAsia" w:ascii="宋体" w:hAnsi="宋体" w:eastAsia="宋体" w:cs="宋体"/>
          <w:b w:val="0"/>
        </w:rPr>
        <w:t>（参与竞价的供应商资质要求: 报名时需要提供以下</w:t>
      </w:r>
      <w:r>
        <w:rPr>
          <w:rStyle w:val="28"/>
          <w:rFonts w:hint="eastAsia" w:ascii="宋体" w:hAnsi="宋体" w:eastAsia="宋体" w:cs="宋体"/>
          <w:bCs w:val="0"/>
          <w:u w:val="single"/>
        </w:rPr>
        <w:t>盖章</w:t>
      </w:r>
      <w:r>
        <w:rPr>
          <w:rStyle w:val="28"/>
          <w:rFonts w:hint="eastAsia" w:ascii="宋体" w:hAnsi="宋体" w:eastAsia="宋体" w:cs="宋体"/>
          <w:b w:val="0"/>
        </w:rPr>
        <w:t>资料，并对上传的报名文件资料承担责任）</w:t>
      </w:r>
    </w:p>
    <w:p>
      <w:pPr>
        <w:pStyle w:val="32"/>
        <w:widowControl/>
        <w:numPr>
          <w:ilvl w:val="0"/>
          <w:numId w:val="7"/>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cs="宋体"/>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32"/>
        <w:widowControl/>
        <w:numPr>
          <w:ilvl w:val="0"/>
          <w:numId w:val="7"/>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bookmarkStart w:id="1" w:name="_GoBack"/>
      <w:bookmarkEnd w:id="1"/>
      <w:r>
        <w:rPr>
          <w:rFonts w:hint="eastAsia" w:ascii="宋体" w:hAnsi="宋体" w:eastAsia="宋体" w:cs="宋体"/>
          <w:color w:val="000000" w:themeColor="text1"/>
          <w:kern w:val="0"/>
          <w:szCs w:val="20"/>
          <w14:textFill>
            <w14:solidFill>
              <w14:schemeClr w14:val="tx1"/>
            </w14:solidFill>
          </w14:textFill>
        </w:rPr>
        <w:t>报名</w:t>
      </w:r>
      <w:r>
        <w:rPr>
          <w:rFonts w:ascii="宋体" w:hAnsi="宋体" w:eastAsia="宋体" w:cs="宋体"/>
          <w:color w:val="000000" w:themeColor="text1"/>
          <w:kern w:val="0"/>
          <w:szCs w:val="20"/>
          <w14:textFill>
            <w14:solidFill>
              <w14:schemeClr w14:val="tx1"/>
            </w14:solidFill>
          </w14:textFill>
        </w:rPr>
        <w:t>供应商须是：具有良好的商业信誉和健全的财务会计制度；有依法缴纳税收和社会保障资金的良好记录；</w:t>
      </w:r>
      <w:r>
        <w:rPr>
          <w:rFonts w:hint="eastAsia" w:ascii="宋体" w:hAnsi="宋体" w:eastAsia="宋体" w:cs="宋体"/>
          <w:color w:val="000000" w:themeColor="text1"/>
          <w:kern w:val="0"/>
          <w:szCs w:val="20"/>
          <w14:textFill>
            <w14:solidFill>
              <w14:schemeClr w14:val="tx1"/>
            </w14:solidFill>
          </w14:textFill>
        </w:rPr>
        <w:t>具有</w:t>
      </w:r>
      <w:r>
        <w:rPr>
          <w:rFonts w:ascii="宋体" w:hAnsi="宋体" w:eastAsia="宋体" w:cs="宋体"/>
          <w:color w:val="000000" w:themeColor="text1"/>
          <w:kern w:val="0"/>
          <w:szCs w:val="20"/>
          <w14:textFill>
            <w14:solidFill>
              <w14:schemeClr w14:val="tx1"/>
            </w14:solidFill>
          </w14:textFill>
        </w:rPr>
        <w:t>履行合同所必需的设备和专业技术能力；参加采购活动前3年内在经营活动中没有重大违法记录的书面声明；具备法律、行政法规规定的其他条件</w:t>
      </w:r>
      <w:r>
        <w:rPr>
          <w:rFonts w:hint="eastAsia" w:ascii="宋体" w:hAnsi="宋体" w:eastAsia="宋体" w:cs="宋体"/>
          <w:color w:val="000000" w:themeColor="text1"/>
          <w:kern w:val="0"/>
          <w:szCs w:val="20"/>
          <w14:textFill>
            <w14:solidFill>
              <w14:schemeClr w14:val="tx1"/>
            </w14:solidFill>
          </w14:textFill>
        </w:rPr>
        <w:t>；法定代表人或单位负责人与所参投的本项目其他供应商的法定代表人或单位负责人不为同一人且与其他供应商之间不存在直接控股、管理关系；本项目不接受转包分包且不接受联合体参与竞价（提供《供应商资格声明函》，格式见附件）；</w:t>
      </w:r>
    </w:p>
    <w:p>
      <w:pPr>
        <w:pStyle w:val="32"/>
        <w:widowControl/>
        <w:numPr>
          <w:ilvl w:val="0"/>
          <w:numId w:val="7"/>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w:t>
      </w:r>
      <w:r>
        <w:rPr>
          <w:rFonts w:hint="eastAsia" w:ascii="宋体" w:hAnsi="宋体" w:cs="宋体"/>
          <w:color w:val="000000" w:themeColor="text1"/>
          <w14:textFill>
            <w14:solidFill>
              <w14:schemeClr w14:val="tx1"/>
            </w14:solidFill>
          </w14:textFill>
        </w:rPr>
        <w:t>采购</w:t>
      </w:r>
      <w:r>
        <w:rPr>
          <w:rFonts w:hint="eastAsia" w:ascii="宋体" w:hAnsi="宋体" w:eastAsia="宋体" w:cs="宋体"/>
          <w:color w:val="000000" w:themeColor="text1"/>
          <w:kern w:val="0"/>
          <w:szCs w:val="21"/>
          <w14:textFill>
            <w14:solidFill>
              <w14:schemeClr w14:val="tx1"/>
            </w14:solidFill>
          </w14:textFill>
        </w:rPr>
        <w:t>需求的条款、内容及要求的，提供</w:t>
      </w:r>
      <w:r>
        <w:rPr>
          <w:rFonts w:hint="eastAsia" w:ascii="宋体" w:hAnsi="宋体" w:cs="宋体"/>
          <w:color w:val="000000" w:themeColor="text1"/>
          <w14:textFill>
            <w14:solidFill>
              <w14:schemeClr w14:val="tx1"/>
            </w14:solidFill>
          </w14:textFill>
        </w:rPr>
        <w:t>采购</w:t>
      </w:r>
      <w:r>
        <w:rPr>
          <w:rFonts w:hint="eastAsia" w:ascii="宋体" w:hAnsi="宋体" w:eastAsia="宋体" w:cs="宋体"/>
          <w:color w:val="000000" w:themeColor="text1"/>
          <w:kern w:val="0"/>
          <w:szCs w:val="21"/>
          <w14:textFill>
            <w14:solidFill>
              <w14:schemeClr w14:val="tx1"/>
            </w14:solidFill>
          </w14:textFill>
        </w:rPr>
        <w:t>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32"/>
        <w:numPr>
          <w:ilvl w:val="0"/>
          <w:numId w:val="4"/>
        </w:numPr>
        <w:spacing w:line="360" w:lineRule="auto"/>
        <w:ind w:left="420" w:hanging="420" w:firstLineChars="0"/>
        <w:rPr>
          <w:rStyle w:val="28"/>
          <w:rFonts w:ascii="宋体" w:hAnsi="宋体" w:eastAsia="宋体" w:cs="宋体"/>
          <w:bCs w:val="0"/>
          <w:color w:val="000000" w:themeColor="text1"/>
          <w14:textFill>
            <w14:solidFill>
              <w14:schemeClr w14:val="tx1"/>
            </w14:solidFill>
          </w14:textFill>
        </w:rPr>
      </w:pPr>
      <w:r>
        <w:rPr>
          <w:rStyle w:val="28"/>
          <w:rFonts w:hint="eastAsia" w:ascii="宋体" w:hAnsi="宋体" w:eastAsia="宋体" w:cs="宋体"/>
          <w:bCs w:val="0"/>
          <w:color w:val="000000" w:themeColor="text1"/>
          <w14:textFill>
            <w14:solidFill>
              <w14:schemeClr w14:val="tx1"/>
            </w14:solidFill>
          </w14:textFill>
        </w:rPr>
        <w:t>报价要求</w:t>
      </w:r>
      <w:r>
        <w:rPr>
          <w:rStyle w:val="28"/>
          <w:rFonts w:hint="eastAsia" w:ascii="宋体" w:hAnsi="宋体" w:eastAsia="宋体" w:cs="宋体"/>
          <w:color w:val="000000" w:themeColor="text1"/>
          <w:szCs w:val="21"/>
          <w14:textFill>
            <w14:solidFill>
              <w14:schemeClr w14:val="tx1"/>
            </w14:solidFill>
          </w14:textFill>
        </w:rPr>
        <w:t>（</w:t>
      </w:r>
      <w:r>
        <w:rPr>
          <w:rStyle w:val="28"/>
          <w:rFonts w:hint="eastAsia" w:ascii="宋体" w:hAnsi="宋体" w:eastAsia="宋体" w:cs="宋体"/>
          <w:b w:val="0"/>
          <w:color w:val="000000" w:themeColor="text1"/>
          <w:szCs w:val="21"/>
          <w14:textFill>
            <w14:solidFill>
              <w14:schemeClr w14:val="tx1"/>
            </w14:solidFill>
          </w14:textFill>
        </w:rPr>
        <w:t>报价时需要提供以下</w:t>
      </w:r>
      <w:r>
        <w:rPr>
          <w:rStyle w:val="28"/>
          <w:rFonts w:hint="eastAsia" w:ascii="宋体" w:hAnsi="宋体" w:eastAsia="宋体" w:cs="宋体"/>
          <w:color w:val="000000" w:themeColor="text1"/>
          <w:szCs w:val="21"/>
          <w:u w:val="double"/>
          <w14:textFill>
            <w14:solidFill>
              <w14:schemeClr w14:val="tx1"/>
            </w14:solidFill>
          </w14:textFill>
        </w:rPr>
        <w:t>盖章</w:t>
      </w:r>
      <w:r>
        <w:rPr>
          <w:rStyle w:val="28"/>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8"/>
          <w:rFonts w:hint="eastAsia" w:ascii="宋体" w:hAnsi="宋体" w:eastAsia="宋体" w:cs="宋体"/>
          <w:color w:val="000000" w:themeColor="text1"/>
          <w:szCs w:val="21"/>
          <w14:textFill>
            <w14:solidFill>
              <w14:schemeClr w14:val="tx1"/>
            </w14:solidFill>
          </w14:textFill>
        </w:rPr>
        <w:t>）</w:t>
      </w:r>
    </w:p>
    <w:p>
      <w:pPr>
        <w:pStyle w:val="32"/>
        <w:numPr>
          <w:ilvl w:val="0"/>
          <w:numId w:val="8"/>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32"/>
        <w:numPr>
          <w:ilvl w:val="0"/>
          <w:numId w:val="8"/>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2"/>
        <w:numPr>
          <w:ilvl w:val="0"/>
          <w:numId w:val="4"/>
        </w:numPr>
        <w:spacing w:line="360" w:lineRule="auto"/>
        <w:ind w:left="420" w:hanging="420" w:firstLineChars="0"/>
        <w:rPr>
          <w:rStyle w:val="28"/>
          <w:rFonts w:ascii="宋体" w:hAnsi="宋体" w:eastAsia="宋体" w:cs="宋体"/>
          <w:bCs w:val="0"/>
          <w:color w:val="000000" w:themeColor="text1"/>
          <w14:textFill>
            <w14:solidFill>
              <w14:schemeClr w14:val="tx1"/>
            </w14:solidFill>
          </w14:textFill>
        </w:rPr>
      </w:pPr>
      <w:r>
        <w:rPr>
          <w:rStyle w:val="28"/>
          <w:rFonts w:hint="eastAsia" w:ascii="宋体" w:hAnsi="宋体" w:eastAsia="宋体" w:cs="宋体"/>
          <w:bCs w:val="0"/>
          <w:color w:val="000000" w:themeColor="text1"/>
          <w14:textFill>
            <w14:solidFill>
              <w14:schemeClr w14:val="tx1"/>
            </w14:solidFill>
          </w14:textFill>
        </w:rPr>
        <w:t>确定成交候选人</w:t>
      </w:r>
    </w:p>
    <w:p>
      <w:pPr>
        <w:pStyle w:val="32"/>
        <w:numPr>
          <w:ilvl w:val="0"/>
          <w:numId w:val="9"/>
        </w:numPr>
        <w:spacing w:line="360" w:lineRule="auto"/>
        <w:ind w:left="840" w:hanging="420" w:firstLineChars="0"/>
        <w:rPr>
          <w:rFonts w:ascii="宋体" w:hAnsi="宋体" w:eastAsia="宋体" w:cs="宋体"/>
          <w:bCs/>
          <w:color w:val="000000" w:themeColor="text1"/>
          <w14:textFill>
            <w14:solidFill>
              <w14:schemeClr w14:val="tx1"/>
            </w14:solidFill>
          </w14:textFill>
        </w:rPr>
      </w:pPr>
      <w:r>
        <w:rPr>
          <w:rFonts w:hint="eastAsia" w:ascii="宋体" w:hAnsi="宋体" w:eastAsia="宋体"/>
          <w:szCs w:val="21"/>
        </w:rPr>
        <w:t>本项目以最低价成交的方式确定成交供应商。报价时间截止后，系统按报价（经价格核准后的价格）由低到高顺序排列，</w:t>
      </w:r>
      <w:r>
        <w:rPr>
          <w:rFonts w:hint="eastAsia" w:ascii="宋体" w:hAnsi="宋体" w:eastAsia="宋体"/>
        </w:rPr>
        <w:t>报价最低的为第一成交候选人，报价相同的，按报价时间在前的为第一成交候选人；</w:t>
      </w:r>
      <w:r>
        <w:rPr>
          <w:rFonts w:hint="eastAsia" w:ascii="宋体" w:hAnsi="宋体" w:eastAsia="宋体"/>
          <w:szCs w:val="21"/>
        </w:rPr>
        <w:t>报价次低的为第二成交候选人，以此类推</w:t>
      </w:r>
      <w:r>
        <w:rPr>
          <w:rFonts w:hint="eastAsia" w:ascii="宋体" w:hAnsi="宋体" w:eastAsia="宋体" w:cs="宋体"/>
          <w:bCs/>
          <w:color w:val="000000" w:themeColor="text1"/>
          <w14:textFill>
            <w14:solidFill>
              <w14:schemeClr w14:val="tx1"/>
            </w14:solidFill>
          </w14:textFill>
        </w:rPr>
        <w:t>。</w:t>
      </w:r>
    </w:p>
    <w:p>
      <w:pPr>
        <w:pStyle w:val="32"/>
        <w:numPr>
          <w:ilvl w:val="0"/>
          <w:numId w:val="4"/>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2"/>
        <w:numPr>
          <w:ilvl w:val="0"/>
          <w:numId w:val="10"/>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32"/>
        <w:numPr>
          <w:ilvl w:val="0"/>
          <w:numId w:val="10"/>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2"/>
        <w:numPr>
          <w:ilvl w:val="0"/>
          <w:numId w:val="10"/>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2"/>
        <w:numPr>
          <w:ilvl w:val="0"/>
          <w:numId w:val="10"/>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20"/>
        <w:numPr>
          <w:ilvl w:val="0"/>
          <w:numId w:val="10"/>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20"/>
        <w:numPr>
          <w:ilvl w:val="0"/>
          <w:numId w:val="10"/>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20"/>
        <w:numPr>
          <w:ilvl w:val="0"/>
          <w:numId w:val="10"/>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2"/>
        <w:widowControl/>
        <w:numPr>
          <w:ilvl w:val="0"/>
          <w:numId w:val="11"/>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2"/>
        <w:widowControl/>
        <w:numPr>
          <w:ilvl w:val="0"/>
          <w:numId w:val="11"/>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2"/>
        <w:widowControl/>
        <w:numPr>
          <w:ilvl w:val="0"/>
          <w:numId w:val="11"/>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2"/>
        <w:widowControl/>
        <w:numPr>
          <w:ilvl w:val="0"/>
          <w:numId w:val="11"/>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2"/>
        <w:widowControl/>
        <w:numPr>
          <w:ilvl w:val="0"/>
          <w:numId w:val="11"/>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2"/>
        <w:widowControl/>
        <w:numPr>
          <w:ilvl w:val="0"/>
          <w:numId w:val="11"/>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2"/>
        <w:widowControl/>
        <w:numPr>
          <w:ilvl w:val="0"/>
          <w:numId w:val="11"/>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2"/>
        <w:widowControl/>
        <w:numPr>
          <w:ilvl w:val="0"/>
          <w:numId w:val="11"/>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2"/>
        <w:numPr>
          <w:ilvl w:val="0"/>
          <w:numId w:val="4"/>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32"/>
        <w:numPr>
          <w:ilvl w:val="0"/>
          <w:numId w:val="12"/>
        </w:numPr>
        <w:spacing w:line="360" w:lineRule="auto"/>
        <w:ind w:left="840" w:leftChars="200" w:hanging="420" w:firstLineChars="0"/>
        <w:rPr>
          <w:rFonts w:ascii="宋体" w:hAnsi="宋体" w:eastAsia="宋体" w:cs="宋体"/>
          <w:color w:val="000000"/>
        </w:rPr>
      </w:pPr>
      <w:r>
        <w:rPr>
          <w:rFonts w:hint="eastAsia" w:ascii="宋体" w:hAnsi="宋体" w:eastAsia="宋体" w:cs="宋体"/>
          <w:color w:val="000000"/>
          <w:szCs w:val="21"/>
        </w:rPr>
        <w:t>出现下列情况的，本项目竞价活动失败：</w:t>
      </w:r>
    </w:p>
    <w:p>
      <w:pPr>
        <w:pStyle w:val="32"/>
        <w:numPr>
          <w:ilvl w:val="0"/>
          <w:numId w:val="13"/>
        </w:numPr>
        <w:spacing w:line="360" w:lineRule="auto"/>
        <w:ind w:left="1260" w:leftChars="600" w:firstLineChars="0"/>
        <w:rPr>
          <w:rFonts w:ascii="宋体" w:hAnsi="宋体" w:eastAsia="宋体" w:cs="宋体"/>
          <w:color w:val="000000"/>
        </w:rPr>
      </w:pPr>
      <w:r>
        <w:rPr>
          <w:rFonts w:hint="eastAsia" w:ascii="宋体" w:hAnsi="宋体" w:eastAsia="宋体" w:cs="宋体"/>
          <w:color w:val="000000"/>
        </w:rPr>
        <w:t>有效报名供应商不足3家；</w:t>
      </w:r>
    </w:p>
    <w:p>
      <w:pPr>
        <w:pStyle w:val="32"/>
        <w:numPr>
          <w:ilvl w:val="0"/>
          <w:numId w:val="13"/>
        </w:numPr>
        <w:spacing w:line="360" w:lineRule="auto"/>
        <w:ind w:left="1260" w:leftChars="600" w:firstLineChars="0"/>
        <w:rPr>
          <w:rFonts w:ascii="宋体" w:hAnsi="宋体" w:eastAsia="宋体" w:cs="宋体"/>
          <w:color w:val="000000"/>
          <w:szCs w:val="21"/>
        </w:rPr>
      </w:pPr>
      <w:r>
        <w:rPr>
          <w:rFonts w:hint="eastAsia" w:ascii="宋体" w:hAnsi="宋体" w:eastAsia="宋体" w:cs="宋体"/>
          <w:color w:val="000000"/>
        </w:rPr>
        <w:t>有效报价供应商不足3家。</w:t>
      </w:r>
    </w:p>
    <w:p>
      <w:pPr>
        <w:pStyle w:val="32"/>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2.出现影响采购公正的违法、违规行为的。</w:t>
      </w:r>
    </w:p>
    <w:p>
      <w:pPr>
        <w:pStyle w:val="32"/>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3.因重大变故，采购任务取消的。</w:t>
      </w:r>
    </w:p>
    <w:p>
      <w:pPr>
        <w:pStyle w:val="32"/>
        <w:numPr>
          <w:ilvl w:val="0"/>
          <w:numId w:val="4"/>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pStyle w:val="32"/>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1.成交供应商须向平台服务商云采链线上采购一体化平台缴纳平台使用费，金额为成交金额的1.5%（四舍五入取整数）。</w:t>
      </w:r>
    </w:p>
    <w:p>
      <w:pPr>
        <w:pStyle w:val="32"/>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2"/>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2"/>
        <w:numPr>
          <w:ilvl w:val="0"/>
          <w:numId w:val="3"/>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32"/>
        <w:spacing w:line="360" w:lineRule="auto"/>
        <w:ind w:left="420" w:firstLine="0" w:firstLineChars="0"/>
        <w:rPr>
          <w:rFonts w:ascii="宋体" w:hAnsi="宋体" w:eastAsia="宋体" w:cstheme="minorEastAsia"/>
          <w:b/>
          <w:color w:val="000000" w:themeColor="text1"/>
          <w14:textFill>
            <w14:solidFill>
              <w14:schemeClr w14:val="tx1"/>
            </w14:solidFill>
          </w14:textFill>
        </w:rPr>
      </w:pPr>
      <w:r>
        <w:rPr>
          <w:rFonts w:ascii="宋体" w:hAnsi="宋体" w:eastAsia="宋体"/>
        </w:rPr>
        <w:t>1、采购人联系人及联系</w:t>
      </w:r>
      <w:r>
        <w:rPr>
          <w:rFonts w:hint="eastAsia" w:ascii="宋体" w:hAnsi="宋体" w:eastAsia="宋体"/>
        </w:rPr>
        <w:t>方式</w:t>
      </w:r>
      <w:r>
        <w:rPr>
          <w:rFonts w:ascii="宋体" w:hAnsi="宋体" w:eastAsia="宋体"/>
        </w:rPr>
        <w:t>：</w:t>
      </w:r>
      <w:r>
        <w:rPr>
          <w:rFonts w:ascii="宋体" w:hAnsi="宋体" w:eastAsia="宋体"/>
        </w:rPr>
        <w:br w:type="textWrapping"/>
      </w:r>
      <w:r>
        <w:rPr>
          <w:rFonts w:ascii="宋体" w:hAnsi="宋体" w:eastAsia="宋体"/>
        </w:rPr>
        <w:t>广东省肇庆监狱</w:t>
      </w:r>
      <w:r>
        <w:t>业务咨询部门电话</w:t>
      </w:r>
      <w:r>
        <w:rPr>
          <w:rFonts w:ascii="宋体" w:hAnsi="宋体" w:eastAsia="宋体"/>
        </w:rPr>
        <w:t> 0758-3173863。</w:t>
      </w:r>
      <w:r>
        <w:rPr>
          <w:rFonts w:ascii="宋体" w:hAnsi="宋体" w:eastAsia="宋体"/>
        </w:rPr>
        <w:br w:type="textWrapping"/>
      </w:r>
      <w:r>
        <w:rPr>
          <w:rFonts w:ascii="宋体" w:hAnsi="宋体" w:eastAsia="宋体"/>
        </w:rPr>
        <w:t>2、</w:t>
      </w:r>
      <w:r>
        <w:t>纪检监督部门</w:t>
      </w:r>
      <w:r>
        <w:rPr>
          <w:rFonts w:ascii="宋体" w:hAnsi="宋体" w:eastAsia="宋体"/>
        </w:rPr>
        <w:t>：</w:t>
      </w:r>
      <w:r>
        <w:rPr>
          <w:rFonts w:ascii="宋体" w:hAnsi="宋体" w:eastAsia="宋体"/>
        </w:rPr>
        <w:br w:type="textWrapping"/>
      </w:r>
      <w:r>
        <w:rPr>
          <w:rFonts w:ascii="宋体" w:hAnsi="宋体" w:eastAsia="宋体"/>
        </w:rPr>
        <w:t>广东省肇庆监狱</w:t>
      </w:r>
      <w:r>
        <w:rPr>
          <w:rFonts w:hint="eastAsia" w:ascii="宋体" w:hAnsi="宋体" w:eastAsia="宋体"/>
        </w:rPr>
        <w:t>纪检监督部门电话</w:t>
      </w:r>
      <w:r>
        <w:rPr>
          <w:rFonts w:ascii="宋体" w:hAnsi="宋体" w:eastAsia="宋体"/>
        </w:rPr>
        <w:t>0758—3173809。</w:t>
      </w:r>
    </w:p>
    <w:p>
      <w:pPr>
        <w:pStyle w:val="32"/>
        <w:widowControl/>
        <w:spacing w:line="360" w:lineRule="auto"/>
        <w:ind w:left="420" w:firstLine="0" w:firstLineChars="0"/>
        <w:jc w:val="left"/>
        <w:rPr>
          <w:rFonts w:ascii="宋体" w:hAnsi="宋体" w:eastAsia="宋体" w:cstheme="minorEastAsia"/>
          <w:color w:val="000000" w:themeColor="text1"/>
          <w14:textFill>
            <w14:solidFill>
              <w14:schemeClr w14:val="tx1"/>
            </w14:solidFill>
          </w14:textFill>
        </w:rPr>
      </w:pPr>
      <w:r>
        <w:rPr>
          <w:rFonts w:hint="eastAsia" w:ascii="宋体" w:hAnsi="宋体" w:eastAsia="宋体" w:cstheme="minorEastAsia"/>
          <w:color w:val="000000" w:themeColor="text1"/>
          <w14:textFill>
            <w14:solidFill>
              <w14:schemeClr w14:val="tx1"/>
            </w14:solidFill>
          </w14:textFill>
        </w:rPr>
        <w:t>3、扫码关注微信公众号“云采链互联服务平台”，即可在线咨询相关事项。</w:t>
      </w:r>
    </w:p>
    <w:p>
      <w:pPr>
        <w:pStyle w:val="32"/>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采购需求书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4"/>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5"/>
        <w:tblW w:w="101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804"/>
        <w:gridCol w:w="3590"/>
        <w:gridCol w:w="21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86"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804"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szCs w:val="21"/>
              </w:rPr>
            </w:pPr>
            <w:r>
              <w:rPr>
                <w:rFonts w:hint="eastAsia" w:ascii="宋体" w:hAnsi="宋体" w:eastAsia="宋体" w:cs="宋体"/>
                <w:b/>
                <w:szCs w:val="21"/>
              </w:rPr>
              <w:t>数量</w:t>
            </w:r>
          </w:p>
        </w:tc>
        <w:tc>
          <w:tcPr>
            <w:tcW w:w="3590" w:type="dxa"/>
            <w:tcBorders>
              <w:top w:val="single" w:color="auto" w:sz="12" w:space="0"/>
              <w:bottom w:val="single" w:color="auto" w:sz="2" w:space="0"/>
            </w:tcBorders>
            <w:shd w:val="clear" w:color="auto" w:fill="EEECE1"/>
            <w:vAlign w:val="center"/>
          </w:tcPr>
          <w:p>
            <w:pPr>
              <w:jc w:val="center"/>
              <w:rPr>
                <w:rFonts w:ascii="宋体" w:hAnsi="宋体" w:eastAsia="宋体" w:cs="宋体"/>
                <w:b/>
                <w:color w:val="FF0000"/>
                <w:szCs w:val="21"/>
              </w:rPr>
            </w:pPr>
            <w:r>
              <w:rPr>
                <w:rFonts w:hint="eastAsia" w:ascii="宋体" w:hAnsi="宋体" w:eastAsia="宋体" w:cs="宋体"/>
                <w:b/>
                <w:szCs w:val="21"/>
              </w:rPr>
              <w:t>服务期限</w:t>
            </w:r>
          </w:p>
        </w:tc>
        <w:tc>
          <w:tcPr>
            <w:tcW w:w="2118" w:type="dxa"/>
            <w:tcBorders>
              <w:top w:val="single" w:color="auto" w:sz="12" w:space="0"/>
              <w:bottom w:val="single" w:color="auto" w:sz="2" w:space="0"/>
            </w:tcBorders>
            <w:shd w:val="clear" w:color="auto" w:fill="EEECE1"/>
            <w:vAlign w:val="center"/>
          </w:tcPr>
          <w:p>
            <w:pPr>
              <w:jc w:val="center"/>
              <w:rPr>
                <w:rFonts w:ascii="宋体" w:hAnsi="宋体" w:eastAsia="宋体" w:cs="宋体"/>
                <w:b/>
                <w:szCs w:val="21"/>
              </w:rPr>
            </w:pPr>
            <w:r>
              <w:rPr>
                <w:rFonts w:hint="eastAsia" w:ascii="宋体" w:hAnsi="宋体" w:eastAsia="宋体" w:cs="宋体"/>
                <w:b/>
                <w:szCs w:val="21"/>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86" w:type="dxa"/>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广东省肇庆监狱办公系统及设备运维人员驻场服务采购项目</w:t>
            </w:r>
          </w:p>
        </w:tc>
        <w:tc>
          <w:tcPr>
            <w:tcW w:w="804" w:type="dxa"/>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1项</w:t>
            </w:r>
          </w:p>
        </w:tc>
        <w:tc>
          <w:tcPr>
            <w:tcW w:w="3590" w:type="dxa"/>
            <w:tcBorders>
              <w:top w:val="single" w:color="auto" w:sz="2" w:space="0"/>
              <w:bottom w:val="single" w:color="auto" w:sz="2" w:space="0"/>
            </w:tcBorders>
            <w:vAlign w:val="center"/>
          </w:tcPr>
          <w:p>
            <w:pPr>
              <w:keepNext/>
              <w:adjustRightInd w:val="0"/>
              <w:spacing w:line="360" w:lineRule="auto"/>
              <w:ind w:hanging="67"/>
              <w:jc w:val="center"/>
              <w:textAlignment w:val="center"/>
              <w:rPr>
                <w:rFonts w:ascii="宋体" w:hAnsi="宋体" w:eastAsia="宋体" w:cs="宋体"/>
                <w:color w:val="000000" w:themeColor="text1"/>
                <w:szCs w:val="21"/>
                <w14:textFill>
                  <w14:solidFill>
                    <w14:schemeClr w14:val="tx1"/>
                  </w14:solidFill>
                </w14:textFill>
              </w:rPr>
            </w:pPr>
            <w:r>
              <w:rPr>
                <w:rFonts w:ascii="宋体" w:hAnsi="宋体" w:eastAsia="宋体"/>
                <w:szCs w:val="21"/>
              </w:rPr>
              <w:t>以合同签订之日为服务起始时间，服务期为</w:t>
            </w:r>
            <w:r>
              <w:rPr>
                <w:rFonts w:hint="eastAsia" w:ascii="宋体" w:hAnsi="宋体" w:eastAsia="宋体"/>
                <w:szCs w:val="21"/>
                <w:u w:val="single"/>
              </w:rPr>
              <w:t>12</w:t>
            </w:r>
            <w:r>
              <w:rPr>
                <w:rFonts w:ascii="宋体" w:hAnsi="宋体" w:eastAsia="宋体"/>
                <w:szCs w:val="21"/>
              </w:rPr>
              <w:t>个月</w:t>
            </w:r>
          </w:p>
        </w:tc>
        <w:tc>
          <w:tcPr>
            <w:tcW w:w="2118" w:type="dxa"/>
            <w:tcBorders>
              <w:top w:val="single" w:color="auto" w:sz="2" w:space="0"/>
              <w:bottom w:val="single" w:color="auto" w:sz="2" w:space="0"/>
            </w:tcBorders>
            <w:vAlign w:val="center"/>
          </w:tcPr>
          <w:p>
            <w:pPr>
              <w:spacing w:line="360" w:lineRule="auto"/>
              <w:jc w:val="center"/>
              <w:rPr>
                <w:rFonts w:ascii="宋体" w:hAnsi="宋体" w:eastAsia="宋体" w:cs="宋体"/>
                <w:szCs w:val="21"/>
              </w:rPr>
            </w:pPr>
            <w:r>
              <w:rPr>
                <w:rFonts w:ascii="宋体" w:hAnsi="宋体" w:eastAsia="宋体" w:cs="宋体"/>
                <w:color w:val="000000" w:themeColor="text1"/>
                <w:szCs w:val="21"/>
                <w14:textFill>
                  <w14:solidFill>
                    <w14:schemeClr w14:val="tx1"/>
                  </w14:solidFill>
                </w14:textFill>
              </w:rPr>
              <w:t>人民币</w:t>
            </w:r>
            <w:r>
              <w:rPr>
                <w:rFonts w:hint="eastAsia" w:ascii="宋体" w:hAnsi="宋体" w:eastAsia="宋体" w:cs="Times New Roman"/>
                <w:szCs w:val="21"/>
              </w:rPr>
              <w:t>144000</w:t>
            </w:r>
            <w:r>
              <w:rPr>
                <w:rFonts w:ascii="宋体" w:hAnsi="宋体" w:eastAsia="宋体" w:cs="Times New Roman"/>
                <w:szCs w:val="21"/>
              </w:rPr>
              <w:t>元</w:t>
            </w:r>
          </w:p>
        </w:tc>
      </w:tr>
    </w:tbl>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Ansi="宋体" w:cs="宋体"/>
          <w:b/>
          <w:bCs/>
          <w:color w:val="000000" w:themeColor="text1"/>
          <w:sz w:val="21"/>
          <w14:textFill>
            <w14:solidFill>
              <w14:schemeClr w14:val="tx1"/>
            </w14:solidFill>
          </w14:textFill>
        </w:rPr>
        <w:t>项目概况</w:t>
      </w:r>
    </w:p>
    <w:p>
      <w:pPr>
        <w:pStyle w:val="32"/>
        <w:numPr>
          <w:ilvl w:val="0"/>
          <w:numId w:val="16"/>
        </w:numPr>
        <w:ind w:firstLineChars="0"/>
        <w:rPr>
          <w:rStyle w:val="38"/>
          <w:sz w:val="21"/>
        </w:rPr>
      </w:pPr>
      <w:r>
        <w:rPr>
          <w:rStyle w:val="38"/>
          <w:b/>
          <w:sz w:val="21"/>
        </w:rPr>
        <w:t>项目名称</w:t>
      </w:r>
      <w:r>
        <w:rPr>
          <w:rStyle w:val="38"/>
          <w:rFonts w:hint="eastAsia"/>
          <w:sz w:val="21"/>
        </w:rPr>
        <w:t>：</w:t>
      </w:r>
      <w:r>
        <w:rPr>
          <w:rStyle w:val="38"/>
          <w:rFonts w:hint="eastAsia"/>
          <w:sz w:val="21"/>
          <w:lang w:val="en-GB"/>
        </w:rPr>
        <w:t>广东省肇庆监狱办公</w:t>
      </w:r>
      <w:r>
        <w:rPr>
          <w:rStyle w:val="38"/>
          <w:rFonts w:hint="eastAsia"/>
          <w:sz w:val="21"/>
        </w:rPr>
        <w:t>系统及设备运维人员驻场服务采购</w:t>
      </w:r>
      <w:r>
        <w:rPr>
          <w:rStyle w:val="38"/>
          <w:rFonts w:hint="eastAsia"/>
          <w:sz w:val="21"/>
          <w:lang w:val="en-GB"/>
        </w:rPr>
        <w:t>项目</w:t>
      </w:r>
    </w:p>
    <w:p>
      <w:pPr>
        <w:pStyle w:val="32"/>
        <w:numPr>
          <w:ilvl w:val="0"/>
          <w:numId w:val="16"/>
        </w:numPr>
        <w:ind w:firstLineChars="0"/>
        <w:rPr>
          <w:rStyle w:val="38"/>
          <w:b/>
          <w:sz w:val="21"/>
        </w:rPr>
      </w:pPr>
      <w:r>
        <w:rPr>
          <w:rStyle w:val="38"/>
          <w:b/>
          <w:sz w:val="21"/>
        </w:rPr>
        <w:t>项目总体目标</w:t>
      </w:r>
    </w:p>
    <w:p>
      <w:pPr>
        <w:spacing w:line="360" w:lineRule="auto"/>
        <w:ind w:firstLine="420" w:firstLineChars="200"/>
        <w:jc w:val="left"/>
        <w:rPr>
          <w:rFonts w:ascii="宋体" w:hAnsi="宋体" w:eastAsia="宋体"/>
          <w:i/>
          <w:color w:val="7F7F7F"/>
          <w:szCs w:val="21"/>
        </w:rPr>
      </w:pPr>
      <w:r>
        <w:rPr>
          <w:rFonts w:ascii="宋体" w:hAnsi="宋体" w:eastAsia="宋体"/>
          <w:szCs w:val="21"/>
        </w:rPr>
        <w:t>通过专业的信息化运维服务，为监狱办公系统及设备提供专业而高效的运维服务，确保信息设备的正常运行，提高网络安全，确保网络畅通，保证全监网络、软件的正常运行。不断完善监狱信息化运维保障体系，优化统一运维技术支撑保障机制和运维管理制度，实现统一运维响应和服务管理，引入专业信息化运维服务团队，通过定期预防性巡检维护服务、及时发现、消除隐患，应急响应，保障监狱各类办公系统及设备的稳定、可靠、安全、高效、不间断运行，为各项监狱政务服务工作的正常开展提供强有力的运行服务支撑。</w:t>
      </w:r>
    </w:p>
    <w:p>
      <w:pPr>
        <w:pStyle w:val="32"/>
        <w:numPr>
          <w:ilvl w:val="0"/>
          <w:numId w:val="16"/>
        </w:numPr>
        <w:ind w:firstLineChars="0"/>
        <w:rPr>
          <w:rStyle w:val="38"/>
          <w:b/>
          <w:sz w:val="21"/>
        </w:rPr>
      </w:pPr>
      <w:r>
        <w:rPr>
          <w:rStyle w:val="38"/>
          <w:b/>
          <w:sz w:val="21"/>
        </w:rPr>
        <w:t>服务地点</w:t>
      </w:r>
      <w:r>
        <w:rPr>
          <w:rStyle w:val="38"/>
          <w:rFonts w:hint="eastAsia"/>
          <w:b/>
          <w:sz w:val="21"/>
        </w:rPr>
        <w:t>：广东省肇庆监狱</w:t>
      </w:r>
    </w:p>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Ansi="宋体" w:cs="宋体"/>
          <w:b/>
          <w:bCs/>
          <w:color w:val="000000" w:themeColor="text1"/>
          <w:sz w:val="21"/>
          <w14:textFill>
            <w14:solidFill>
              <w14:schemeClr w14:val="tx1"/>
            </w14:solidFill>
          </w14:textFill>
        </w:rPr>
        <w:t>服务内容</w:t>
      </w:r>
    </w:p>
    <w:p>
      <w:pPr>
        <w:pStyle w:val="32"/>
        <w:numPr>
          <w:ilvl w:val="0"/>
          <w:numId w:val="17"/>
        </w:numPr>
        <w:ind w:firstLineChars="0"/>
        <w:rPr>
          <w:b/>
          <w:bCs/>
        </w:rPr>
      </w:pPr>
      <w:r>
        <w:rPr>
          <w:b/>
        </w:rPr>
        <w:t>运行维护服务</w:t>
      </w:r>
    </w:p>
    <w:p>
      <w:pPr>
        <w:pStyle w:val="32"/>
        <w:numPr>
          <w:ilvl w:val="0"/>
          <w:numId w:val="18"/>
        </w:numPr>
        <w:spacing w:line="360" w:lineRule="auto"/>
        <w:ind w:hangingChars="200"/>
      </w:pPr>
      <w:r>
        <w:rPr>
          <w:rFonts w:hint="eastAsia"/>
        </w:rPr>
        <w:t>系统</w:t>
      </w:r>
      <w:r>
        <w:t>运行维护服务</w:t>
      </w:r>
    </w:p>
    <w:p>
      <w:pPr>
        <w:pStyle w:val="32"/>
        <w:numPr>
          <w:ilvl w:val="3"/>
          <w:numId w:val="19"/>
        </w:numPr>
        <w:spacing w:line="360" w:lineRule="auto"/>
        <w:ind w:left="0" w:firstLine="420"/>
      </w:pPr>
      <w:r>
        <w:rPr>
          <w:rFonts w:hint="eastAsia"/>
        </w:rPr>
        <w:t>信息化办公系统（包括计算机操作系统，打印机软件、办公软件的安装、调试），帮助操作人员解决因操作系统、办公软件、应用软件等在使用中遇到的问题。</w:t>
      </w:r>
    </w:p>
    <w:p>
      <w:pPr>
        <w:pStyle w:val="32"/>
        <w:numPr>
          <w:ilvl w:val="3"/>
          <w:numId w:val="19"/>
        </w:numPr>
        <w:spacing w:line="360" w:lineRule="auto"/>
        <w:ind w:left="0" w:firstLine="420"/>
      </w:pPr>
      <w:r>
        <w:t>计算机网络（包括：交换机网络设备、网管设备系统、存储设备系统、综合布线系统、无线Wlan热点系统）。</w:t>
      </w:r>
    </w:p>
    <w:p>
      <w:pPr>
        <w:pStyle w:val="32"/>
        <w:numPr>
          <w:ilvl w:val="3"/>
          <w:numId w:val="19"/>
        </w:numPr>
        <w:spacing w:line="360" w:lineRule="auto"/>
        <w:ind w:left="0" w:firstLine="420"/>
      </w:pPr>
      <w:r>
        <w:t>会议保障（包括：会前设备调试，会中问题处理，会后故障解决及总结）。</w:t>
      </w:r>
    </w:p>
    <w:p>
      <w:pPr>
        <w:pStyle w:val="32"/>
        <w:numPr>
          <w:ilvl w:val="0"/>
          <w:numId w:val="17"/>
        </w:numPr>
        <w:ind w:firstLineChars="0"/>
        <w:rPr>
          <w:b/>
        </w:rPr>
      </w:pPr>
      <w:r>
        <w:rPr>
          <w:rFonts w:hint="eastAsia"/>
          <w:b/>
        </w:rPr>
        <w:t>办公设备维护服务</w:t>
      </w:r>
    </w:p>
    <w:p>
      <w:pPr>
        <w:numPr>
          <w:ilvl w:val="0"/>
          <w:numId w:val="20"/>
        </w:numPr>
        <w:spacing w:line="360" w:lineRule="auto"/>
        <w:ind w:left="0" w:firstLine="420" w:firstLineChars="200"/>
        <w:jc w:val="left"/>
        <w:rPr>
          <w:rFonts w:ascii="宋体" w:hAnsi="宋体" w:eastAsia="宋体"/>
          <w:szCs w:val="21"/>
        </w:rPr>
      </w:pPr>
      <w:r>
        <w:rPr>
          <w:rFonts w:hint="eastAsia" w:ascii="宋体" w:hAnsi="宋体" w:eastAsia="宋体" w:cs="Times New Roman"/>
          <w:szCs w:val="21"/>
        </w:rPr>
        <w:t>计算机、打印机、复印机、投影仪设备安装、调试；</w:t>
      </w:r>
    </w:p>
    <w:p>
      <w:pPr>
        <w:numPr>
          <w:ilvl w:val="0"/>
          <w:numId w:val="20"/>
        </w:numPr>
        <w:spacing w:line="360" w:lineRule="auto"/>
        <w:ind w:left="0" w:firstLine="420" w:firstLineChars="200"/>
        <w:jc w:val="left"/>
        <w:rPr>
          <w:rFonts w:ascii="宋体" w:hAnsi="宋体" w:eastAsia="宋体" w:cs="Times New Roman"/>
          <w:szCs w:val="21"/>
        </w:rPr>
      </w:pPr>
      <w:r>
        <w:rPr>
          <w:rFonts w:hint="eastAsia" w:ascii="宋体" w:hAnsi="宋体" w:eastAsia="宋体" w:cs="Times New Roman"/>
          <w:szCs w:val="21"/>
        </w:rPr>
        <w:t>计算机、打印机、复印机、投影仪设备故障排查、零配件更换安装，包括计算机主板、CPU、电源、显示卡、内存、硬盘，打印机定影组件、硒鼓套件、电源板、主板、搓纸轮套件、送稿器套件、转印带、进纸套件，复印机成像组件、显影组件。</w:t>
      </w:r>
    </w:p>
    <w:p>
      <w:pPr>
        <w:pStyle w:val="32"/>
        <w:numPr>
          <w:ilvl w:val="0"/>
          <w:numId w:val="17"/>
        </w:numPr>
        <w:ind w:firstLineChars="0"/>
        <w:rPr>
          <w:b/>
        </w:rPr>
      </w:pPr>
      <w:r>
        <w:rPr>
          <w:rFonts w:hint="eastAsia"/>
          <w:b/>
        </w:rPr>
        <w:t>网络运维服务</w:t>
      </w:r>
    </w:p>
    <w:p>
      <w:pPr>
        <w:spacing w:line="360" w:lineRule="auto"/>
        <w:ind w:firstLine="420" w:firstLineChars="200"/>
        <w:jc w:val="left"/>
        <w:rPr>
          <w:rFonts w:ascii="宋体" w:hAnsi="宋体" w:eastAsia="宋体"/>
          <w:szCs w:val="21"/>
        </w:rPr>
      </w:pPr>
      <w:r>
        <w:rPr>
          <w:rFonts w:ascii="宋体" w:hAnsi="宋体" w:eastAsia="宋体" w:cs="Times New Roman"/>
          <w:szCs w:val="21"/>
        </w:rPr>
        <w:t>对</w:t>
      </w:r>
      <w:r>
        <w:rPr>
          <w:rFonts w:hint="eastAsia" w:ascii="宋体" w:hAnsi="宋体" w:eastAsia="宋体" w:cs="Times New Roman"/>
          <w:szCs w:val="21"/>
        </w:rPr>
        <w:t>采购人</w:t>
      </w:r>
      <w:r>
        <w:rPr>
          <w:rFonts w:ascii="宋体" w:hAnsi="宋体" w:eastAsia="宋体" w:cs="Times New Roman"/>
          <w:szCs w:val="21"/>
        </w:rPr>
        <w:t>提供网络维护保障服务。包括但不限于网络的日常维护、故障处理、网络变更、设备配置管理、网络分析诊断、网络监控、网络定期巡查、日志分析、网络优化等运维服务。</w:t>
      </w:r>
    </w:p>
    <w:p>
      <w:pPr>
        <w:numPr>
          <w:ilvl w:val="0"/>
          <w:numId w:val="21"/>
        </w:numPr>
        <w:spacing w:line="360" w:lineRule="auto"/>
        <w:ind w:left="0" w:firstLine="420" w:firstLineChars="200"/>
        <w:jc w:val="left"/>
        <w:rPr>
          <w:rFonts w:ascii="宋体" w:hAnsi="宋体" w:eastAsia="宋体" w:cs="Times New Roman"/>
          <w:szCs w:val="21"/>
        </w:rPr>
      </w:pPr>
      <w:r>
        <w:rPr>
          <w:rFonts w:hint="eastAsia" w:ascii="宋体" w:hAnsi="宋体" w:eastAsia="宋体" w:cs="Times New Roman"/>
          <w:szCs w:val="21"/>
        </w:rPr>
        <w:t>对采购人汇聚层及以下的各类网路交换机及弱电间综合布线系统进行定期巡查、基本故障处理；</w:t>
      </w:r>
    </w:p>
    <w:p>
      <w:pPr>
        <w:numPr>
          <w:ilvl w:val="0"/>
          <w:numId w:val="21"/>
        </w:numPr>
        <w:spacing w:line="360" w:lineRule="auto"/>
        <w:ind w:left="0" w:firstLine="420" w:firstLineChars="200"/>
        <w:jc w:val="left"/>
        <w:rPr>
          <w:rFonts w:ascii="宋体" w:hAnsi="宋体" w:eastAsia="宋体" w:cs="Times New Roman"/>
          <w:szCs w:val="21"/>
        </w:rPr>
      </w:pPr>
      <w:r>
        <w:rPr>
          <w:rFonts w:hint="eastAsia" w:ascii="宋体" w:hAnsi="宋体" w:eastAsia="宋体" w:cs="Times New Roman"/>
          <w:szCs w:val="21"/>
        </w:rPr>
        <w:t>对采购人的网络综合布线系统进行维护，包括信息面板、网络模块、弱电间配线架等；</w:t>
      </w:r>
    </w:p>
    <w:p>
      <w:pPr>
        <w:numPr>
          <w:ilvl w:val="0"/>
          <w:numId w:val="21"/>
        </w:numPr>
        <w:spacing w:line="360" w:lineRule="auto"/>
        <w:ind w:left="0" w:firstLine="420" w:firstLineChars="200"/>
        <w:jc w:val="left"/>
        <w:rPr>
          <w:rFonts w:ascii="宋体" w:hAnsi="宋体" w:eastAsia="宋体" w:cs="Times New Roman"/>
          <w:szCs w:val="21"/>
        </w:rPr>
      </w:pPr>
      <w:r>
        <w:rPr>
          <w:rFonts w:hint="eastAsia" w:ascii="宋体" w:hAnsi="宋体" w:eastAsia="宋体" w:cs="Times New Roman"/>
          <w:szCs w:val="21"/>
        </w:rPr>
        <w:t>对采购人的桌面端网络故障处理，包括终端网络故障现场检查、ip错误、掉线等桌面网络的故障处理；</w:t>
      </w:r>
    </w:p>
    <w:p>
      <w:pPr>
        <w:pStyle w:val="32"/>
        <w:numPr>
          <w:ilvl w:val="0"/>
          <w:numId w:val="17"/>
        </w:numPr>
        <w:ind w:firstLineChars="0"/>
        <w:rPr>
          <w:b/>
        </w:rPr>
      </w:pPr>
      <w:r>
        <w:rPr>
          <w:rFonts w:hint="eastAsia"/>
          <w:b/>
        </w:rPr>
        <w:t>会议保障服务</w:t>
      </w:r>
    </w:p>
    <w:p>
      <w:pPr>
        <w:spacing w:line="360" w:lineRule="auto"/>
        <w:ind w:firstLine="420" w:firstLineChars="200"/>
        <w:jc w:val="left"/>
        <w:rPr>
          <w:rFonts w:ascii="宋体" w:hAnsi="宋体" w:eastAsia="宋体"/>
          <w:szCs w:val="21"/>
        </w:rPr>
      </w:pPr>
      <w:r>
        <w:rPr>
          <w:rFonts w:ascii="宋体" w:hAnsi="宋体" w:eastAsia="宋体" w:cs="Times New Roman"/>
          <w:szCs w:val="21"/>
        </w:rPr>
        <w:t>本项目提供</w:t>
      </w:r>
      <w:r>
        <w:rPr>
          <w:rFonts w:hint="eastAsia" w:ascii="宋体" w:hAnsi="宋体" w:eastAsia="宋体" w:cs="Times New Roman"/>
          <w:szCs w:val="21"/>
        </w:rPr>
        <w:t>视频会议</w:t>
      </w:r>
      <w:r>
        <w:rPr>
          <w:rFonts w:ascii="宋体" w:hAnsi="宋体" w:eastAsia="宋体" w:cs="Times New Roman"/>
          <w:szCs w:val="21"/>
        </w:rPr>
        <w:t>系统运维及会议保障服务。具体包括如下服务内容：</w:t>
      </w:r>
    </w:p>
    <w:p>
      <w:pPr>
        <w:pStyle w:val="32"/>
        <w:numPr>
          <w:ilvl w:val="0"/>
          <w:numId w:val="22"/>
        </w:numPr>
        <w:spacing w:line="360" w:lineRule="auto"/>
        <w:ind w:left="0" w:firstLine="420"/>
        <w:jc w:val="left"/>
        <w:rPr>
          <w:rFonts w:ascii="宋体" w:hAnsi="宋体" w:eastAsia="宋体"/>
          <w:szCs w:val="21"/>
        </w:rPr>
      </w:pPr>
      <w:r>
        <w:rPr>
          <w:rFonts w:ascii="宋体" w:hAnsi="宋体" w:eastAsia="宋体" w:cs="Times New Roman"/>
          <w:szCs w:val="21"/>
        </w:rPr>
        <w:t>会议保障：遇到召开所有会议时，提前对会议室进行会前功能演示、系统巡检、故障排除及会议过程会议保障等工作，以保证会议顺利召开。</w:t>
      </w:r>
    </w:p>
    <w:p>
      <w:pPr>
        <w:pStyle w:val="32"/>
        <w:numPr>
          <w:ilvl w:val="0"/>
          <w:numId w:val="22"/>
        </w:numPr>
        <w:spacing w:line="360" w:lineRule="auto"/>
        <w:ind w:left="0" w:firstLine="420"/>
        <w:jc w:val="left"/>
        <w:rPr>
          <w:rFonts w:ascii="宋体" w:hAnsi="宋体" w:eastAsia="宋体"/>
          <w:szCs w:val="21"/>
        </w:rPr>
      </w:pPr>
      <w:r>
        <w:rPr>
          <w:rFonts w:ascii="宋体" w:hAnsi="宋体" w:eastAsia="宋体" w:cs="Times New Roman"/>
          <w:szCs w:val="21"/>
        </w:rPr>
        <w:t>故障处理：当设备、系统出现问题或故障时，维护人员即时响应，判断故障范围，根据故障难度，调度专业工程师到现场服务，故障实施处理完毕后清理现场，填写维护报告单，存案留底。</w:t>
      </w:r>
    </w:p>
    <w:p>
      <w:pPr>
        <w:pStyle w:val="32"/>
        <w:numPr>
          <w:ilvl w:val="0"/>
          <w:numId w:val="22"/>
        </w:numPr>
        <w:spacing w:line="360" w:lineRule="auto"/>
        <w:ind w:left="0" w:firstLine="420"/>
        <w:jc w:val="left"/>
        <w:rPr>
          <w:rFonts w:ascii="宋体" w:hAnsi="宋体" w:eastAsia="宋体"/>
          <w:szCs w:val="21"/>
        </w:rPr>
      </w:pPr>
      <w:r>
        <w:rPr>
          <w:rFonts w:ascii="宋体" w:hAnsi="宋体" w:eastAsia="宋体" w:cs="Times New Roman"/>
          <w:szCs w:val="21"/>
        </w:rPr>
        <w:t>日常巡检：每月对会议室设备、系统进行预防性巡检、功能测试、故障排除等例检工作，并将设备及系统巡检情况记录到巡检表内，并进行存案。</w:t>
      </w:r>
    </w:p>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Ansi="宋体" w:cs="宋体"/>
          <w:b/>
          <w:bCs/>
          <w:color w:val="000000" w:themeColor="text1"/>
          <w:sz w:val="21"/>
          <w14:textFill>
            <w14:solidFill>
              <w14:schemeClr w14:val="tx1"/>
            </w14:solidFill>
          </w14:textFill>
        </w:rPr>
        <w:t>服务要求</w:t>
      </w:r>
    </w:p>
    <w:p>
      <w:pPr>
        <w:pStyle w:val="32"/>
        <w:numPr>
          <w:ilvl w:val="0"/>
          <w:numId w:val="23"/>
        </w:numPr>
        <w:ind w:firstLineChars="0"/>
        <w:rPr>
          <w:b/>
        </w:rPr>
      </w:pPr>
      <w:r>
        <w:rPr>
          <w:b/>
        </w:rPr>
        <w:t>管理要求</w:t>
      </w:r>
    </w:p>
    <w:p>
      <w:pPr>
        <w:pStyle w:val="32"/>
        <w:numPr>
          <w:ilvl w:val="0"/>
          <w:numId w:val="24"/>
        </w:numPr>
        <w:ind w:firstLineChars="0"/>
      </w:pPr>
      <w:r>
        <w:t>服务人员</w:t>
      </w:r>
    </w:p>
    <w:p>
      <w:pPr>
        <w:pStyle w:val="32"/>
        <w:numPr>
          <w:ilvl w:val="0"/>
          <w:numId w:val="25"/>
        </w:numPr>
        <w:ind w:firstLineChars="0"/>
        <w:rPr>
          <w:rFonts w:ascii="宋体" w:hAnsi="宋体" w:eastAsia="宋体"/>
        </w:rPr>
      </w:pPr>
      <w:r>
        <w:rPr>
          <w:rFonts w:hint="eastAsia" w:ascii="宋体" w:hAnsi="宋体" w:eastAsia="宋体"/>
        </w:rPr>
        <w:t>运维驻场人员要求</w:t>
      </w:r>
    </w:p>
    <w:p>
      <w:pPr>
        <w:spacing w:line="360" w:lineRule="auto"/>
        <w:ind w:firstLine="420" w:firstLineChars="200"/>
        <w:jc w:val="left"/>
        <w:rPr>
          <w:rFonts w:ascii="宋体" w:hAnsi="宋体" w:eastAsia="宋体"/>
          <w:szCs w:val="21"/>
        </w:rPr>
      </w:pPr>
      <w:r>
        <w:rPr>
          <w:rFonts w:ascii="宋体" w:hAnsi="宋体" w:eastAsia="宋体" w:cs="Times New Roman"/>
          <w:szCs w:val="21"/>
        </w:rPr>
        <w:t>根据系统运维要求，本项目需安排</w:t>
      </w:r>
      <w:r>
        <w:rPr>
          <w:rFonts w:hint="eastAsia" w:ascii="宋体" w:hAnsi="宋体" w:eastAsia="宋体" w:cs="Times New Roman"/>
          <w:szCs w:val="21"/>
        </w:rPr>
        <w:t>1</w:t>
      </w:r>
      <w:r>
        <w:rPr>
          <w:rFonts w:ascii="宋体" w:hAnsi="宋体" w:eastAsia="宋体" w:cs="Times New Roman"/>
          <w:szCs w:val="21"/>
        </w:rPr>
        <w:t>名运维工程师提供</w:t>
      </w:r>
      <w:r>
        <w:rPr>
          <w:rFonts w:hint="eastAsia" w:ascii="宋体" w:hAnsi="宋体" w:eastAsia="宋体" w:cs="Times New Roman"/>
          <w:szCs w:val="21"/>
          <w:u w:val="single"/>
        </w:rPr>
        <w:t>每周6天，每天</w:t>
      </w:r>
      <w:r>
        <w:rPr>
          <w:rFonts w:ascii="宋体" w:hAnsi="宋体" w:eastAsia="宋体" w:cs="Times New Roman"/>
          <w:szCs w:val="21"/>
          <w:u w:val="single"/>
        </w:rPr>
        <w:t>8小时</w:t>
      </w:r>
      <w:r>
        <w:rPr>
          <w:rFonts w:ascii="宋体" w:hAnsi="宋体" w:eastAsia="宋体" w:cs="Times New Roman"/>
          <w:szCs w:val="21"/>
        </w:rPr>
        <w:t>驻场服务</w:t>
      </w:r>
      <w:r>
        <w:rPr>
          <w:rFonts w:hint="eastAsia" w:ascii="宋体" w:hAnsi="宋体" w:eastAsia="宋体" w:cs="Times New Roman"/>
          <w:szCs w:val="21"/>
        </w:rPr>
        <w:t>（在采购人要求的范围内）</w:t>
      </w:r>
      <w:r>
        <w:rPr>
          <w:rFonts w:ascii="宋体" w:hAnsi="宋体" w:eastAsia="宋体" w:cs="Times New Roman"/>
          <w:szCs w:val="21"/>
        </w:rPr>
        <w:t>，以保证维护服务的实效性和可靠性，其他时间</w:t>
      </w:r>
      <w:r>
        <w:rPr>
          <w:rFonts w:hint="eastAsia" w:ascii="宋体" w:hAnsi="宋体" w:eastAsia="宋体" w:cs="Times New Roman"/>
          <w:szCs w:val="21"/>
        </w:rPr>
        <w:t>在四会市范围内，</w:t>
      </w:r>
      <w:r>
        <w:rPr>
          <w:rFonts w:ascii="宋体" w:hAnsi="宋体" w:eastAsia="宋体" w:cs="Times New Roman"/>
          <w:szCs w:val="21"/>
        </w:rPr>
        <w:t>如因应急处置、重大活动等接到通知后应配合安排工程师到现场保障。</w:t>
      </w:r>
    </w:p>
    <w:p>
      <w:pPr>
        <w:pStyle w:val="106"/>
        <w:spacing w:line="360" w:lineRule="auto"/>
        <w:ind w:firstLine="420" w:firstLineChars="200"/>
        <w:rPr>
          <w:rFonts w:hAnsi="宋体"/>
          <w:szCs w:val="21"/>
        </w:rPr>
      </w:pPr>
      <w:r>
        <w:rPr>
          <w:rFonts w:hAnsi="宋体"/>
          <w:szCs w:val="21"/>
        </w:rPr>
        <w:t>驻场运维工程师</w:t>
      </w:r>
      <w:r>
        <w:rPr>
          <w:rFonts w:hint="eastAsia" w:hAnsi="宋体"/>
          <w:szCs w:val="21"/>
        </w:rPr>
        <w:t>要求有</w:t>
      </w:r>
      <w:r>
        <w:rPr>
          <w:rFonts w:hint="eastAsia" w:hAnsi="宋体"/>
          <w:b/>
          <w:bCs/>
          <w:szCs w:val="21"/>
        </w:rPr>
        <w:t>5年以上的信息化运维经验</w:t>
      </w:r>
      <w:r>
        <w:rPr>
          <w:rFonts w:hint="eastAsia" w:hAnsi="宋体"/>
          <w:szCs w:val="21"/>
        </w:rPr>
        <w:t>，并在签订合同时提供相关工作证明（公司证明或社保证明），采购人有权要求成交</w:t>
      </w:r>
      <w:r>
        <w:rPr>
          <w:rFonts w:hint="eastAsia" w:hAnsi="宋体"/>
          <w:kern w:val="2"/>
          <w:szCs w:val="21"/>
        </w:rPr>
        <w:t>供应商</w:t>
      </w:r>
      <w:r>
        <w:rPr>
          <w:rFonts w:hint="eastAsia" w:hAnsi="宋体"/>
          <w:szCs w:val="21"/>
        </w:rPr>
        <w:t>更换驻场工程师，成交</w:t>
      </w:r>
      <w:r>
        <w:rPr>
          <w:rFonts w:hint="eastAsia" w:hAnsi="宋体"/>
          <w:kern w:val="2"/>
          <w:szCs w:val="21"/>
        </w:rPr>
        <w:t>供应商</w:t>
      </w:r>
      <w:r>
        <w:rPr>
          <w:rFonts w:hint="eastAsia" w:hAnsi="宋体"/>
          <w:szCs w:val="21"/>
        </w:rPr>
        <w:t>应予以配合。否则，视为成交</w:t>
      </w:r>
      <w:r>
        <w:rPr>
          <w:rFonts w:hint="eastAsia" w:hAnsi="宋体"/>
          <w:kern w:val="2"/>
          <w:szCs w:val="21"/>
        </w:rPr>
        <w:t>供应商</w:t>
      </w:r>
      <w:r>
        <w:rPr>
          <w:rFonts w:hint="eastAsia" w:hAnsi="宋体"/>
          <w:szCs w:val="21"/>
        </w:rPr>
        <w:t>违约，采购</w:t>
      </w:r>
      <w:r>
        <w:rPr>
          <w:rFonts w:hint="eastAsia" w:hAnsi="宋体"/>
          <w:kern w:val="2"/>
          <w:szCs w:val="21"/>
        </w:rPr>
        <w:t>人</w:t>
      </w:r>
      <w:r>
        <w:rPr>
          <w:rFonts w:hint="eastAsia" w:hAnsi="宋体"/>
          <w:szCs w:val="21"/>
        </w:rPr>
        <w:t>有权单方解除本项目合同。</w:t>
      </w:r>
    </w:p>
    <w:p>
      <w:pPr>
        <w:spacing w:line="360" w:lineRule="auto"/>
        <w:ind w:firstLine="420" w:firstLineChars="200"/>
        <w:jc w:val="left"/>
        <w:rPr>
          <w:rFonts w:ascii="宋体" w:hAnsi="宋体" w:eastAsia="宋体"/>
          <w:bCs/>
          <w:szCs w:val="21"/>
        </w:rPr>
      </w:pPr>
      <w:r>
        <w:rPr>
          <w:rFonts w:ascii="宋体" w:hAnsi="宋体" w:eastAsia="宋体" w:cs="Times New Roman"/>
          <w:szCs w:val="21"/>
        </w:rPr>
        <w:t>驻场运维工程师主要工作有：</w:t>
      </w:r>
      <w:r>
        <w:rPr>
          <w:rFonts w:hint="eastAsia" w:ascii="宋体" w:hAnsi="宋体" w:eastAsia="宋体" w:cs="Times New Roman"/>
          <w:szCs w:val="21"/>
        </w:rPr>
        <w:t>办公软件系统维护；电脑、打印机、复印机安装调试，故障配件更换；</w:t>
      </w:r>
      <w:r>
        <w:rPr>
          <w:rFonts w:ascii="宋体" w:hAnsi="宋体" w:eastAsia="宋体" w:cs="Times New Roman"/>
          <w:szCs w:val="21"/>
        </w:rPr>
        <w:t>资源情况汇总，设备巡检，建立巡检设备台账；现场值守，系统日常状态监测，系统性能侦测；发现故障立即响应，现场解决；建立运维日志，故障记录，提交信息系统运维保障及系统运行分析报告；应急保障，重大活动值守保障；协助用户制定规范的安全管理制度，保障系统安全可靠。</w:t>
      </w:r>
    </w:p>
    <w:p>
      <w:pPr>
        <w:pStyle w:val="32"/>
        <w:numPr>
          <w:ilvl w:val="0"/>
          <w:numId w:val="25"/>
        </w:numPr>
        <w:ind w:firstLineChars="0"/>
        <w:rPr>
          <w:rFonts w:ascii="宋体" w:hAnsi="宋体" w:eastAsia="宋体"/>
        </w:rPr>
      </w:pPr>
      <w:r>
        <w:rPr>
          <w:rFonts w:hint="eastAsia" w:ascii="宋体" w:hAnsi="宋体" w:eastAsia="宋体"/>
        </w:rPr>
        <w:t>二线技术服务人员要求</w:t>
      </w:r>
    </w:p>
    <w:p>
      <w:pPr>
        <w:spacing w:line="360" w:lineRule="auto"/>
        <w:ind w:firstLine="420" w:firstLineChars="200"/>
        <w:jc w:val="left"/>
        <w:rPr>
          <w:rFonts w:ascii="宋体" w:hAnsi="宋体" w:eastAsia="宋体"/>
          <w:szCs w:val="21"/>
        </w:rPr>
      </w:pPr>
      <w:r>
        <w:rPr>
          <w:rFonts w:ascii="宋体" w:hAnsi="宋体" w:eastAsia="宋体" w:cs="Times New Roman"/>
          <w:szCs w:val="21"/>
        </w:rPr>
        <w:t>当</w:t>
      </w:r>
      <w:r>
        <w:rPr>
          <w:rFonts w:hint="eastAsia" w:ascii="宋体" w:hAnsi="宋体" w:eastAsia="宋体" w:cs="Times New Roman"/>
          <w:szCs w:val="21"/>
        </w:rPr>
        <w:t>采购人</w:t>
      </w:r>
      <w:r>
        <w:rPr>
          <w:rFonts w:ascii="宋体" w:hAnsi="宋体" w:eastAsia="宋体" w:cs="Times New Roman"/>
          <w:szCs w:val="21"/>
        </w:rPr>
        <w:t>发生紧急事件、需要提供技术支持时，应立即调动所有技术资源，并采取措施，尽最大努力，调动一切技术力量及时解决采购人需求。</w:t>
      </w:r>
    </w:p>
    <w:p>
      <w:pPr>
        <w:pStyle w:val="32"/>
        <w:numPr>
          <w:ilvl w:val="0"/>
          <w:numId w:val="23"/>
        </w:numPr>
        <w:ind w:firstLineChars="0"/>
        <w:rPr>
          <w:b/>
        </w:rPr>
      </w:pPr>
      <w:r>
        <w:rPr>
          <w:b/>
        </w:rPr>
        <w:t>进度要求</w:t>
      </w:r>
    </w:p>
    <w:p>
      <w:pPr>
        <w:spacing w:line="360" w:lineRule="auto"/>
        <w:ind w:firstLine="420" w:firstLineChars="200"/>
        <w:jc w:val="left"/>
        <w:rPr>
          <w:rFonts w:ascii="宋体" w:hAnsi="宋体" w:eastAsia="宋体"/>
          <w:szCs w:val="21"/>
        </w:rPr>
      </w:pPr>
      <w:r>
        <w:rPr>
          <w:rFonts w:ascii="宋体" w:hAnsi="宋体" w:eastAsia="宋体" w:cs="Times New Roman"/>
          <w:szCs w:val="21"/>
        </w:rPr>
        <w:t>本项目服务期为</w:t>
      </w:r>
      <w:r>
        <w:rPr>
          <w:rFonts w:ascii="宋体" w:hAnsi="宋体" w:eastAsia="宋体" w:cs="Times New Roman"/>
          <w:szCs w:val="21"/>
          <w:u w:val="single"/>
        </w:rPr>
        <w:t>12</w:t>
      </w:r>
      <w:r>
        <w:rPr>
          <w:rFonts w:ascii="宋体" w:hAnsi="宋体" w:eastAsia="宋体" w:cs="Times New Roman"/>
          <w:szCs w:val="21"/>
        </w:rPr>
        <w:t>个月，其中：</w:t>
      </w:r>
    </w:p>
    <w:p>
      <w:pPr>
        <w:spacing w:line="360" w:lineRule="auto"/>
        <w:ind w:firstLine="420" w:firstLineChars="200"/>
        <w:jc w:val="left"/>
        <w:rPr>
          <w:rFonts w:ascii="宋体" w:hAnsi="宋体" w:eastAsia="宋体"/>
          <w:szCs w:val="21"/>
        </w:rPr>
      </w:pPr>
      <w:r>
        <w:rPr>
          <w:rFonts w:ascii="宋体" w:hAnsi="宋体" w:eastAsia="宋体" w:cs="Times New Roman"/>
          <w:szCs w:val="21"/>
        </w:rPr>
        <w:t>本项目初步实施计划设计如下，进场时将再结合实际情况制定详细的项目进度计划（T为项目合同约定时间）：</w:t>
      </w:r>
    </w:p>
    <w:p>
      <w:pPr>
        <w:pStyle w:val="7"/>
        <w:keepNext/>
        <w:spacing w:after="156" w:line="360" w:lineRule="auto"/>
        <w:ind w:firstLine="420"/>
        <w:rPr>
          <w:rFonts w:ascii="宋体" w:hAnsi="宋体"/>
          <w:szCs w:val="21"/>
        </w:rPr>
      </w:pPr>
      <w:r>
        <w:rPr>
          <w:rFonts w:hint="eastAsia" w:ascii="宋体" w:hAnsi="宋体"/>
          <w:szCs w:val="21"/>
        </w:rPr>
        <w:t>项目进度计划表</w:t>
      </w:r>
    </w:p>
    <w:tbl>
      <w:tblPr>
        <w:tblStyle w:val="25"/>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64"/>
        <w:gridCol w:w="1260"/>
        <w:gridCol w:w="1008"/>
        <w:gridCol w:w="1272"/>
        <w:gridCol w:w="1140"/>
        <w:gridCol w:w="840"/>
        <w:gridCol w:w="1368"/>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blHeader/>
          <w:jc w:val="center"/>
        </w:trPr>
        <w:tc>
          <w:tcPr>
            <w:tcW w:w="641" w:type="dxa"/>
            <w:shd w:val="clear" w:color="auto" w:fill="D0CECE"/>
            <w:vAlign w:val="center"/>
          </w:tcPr>
          <w:p>
            <w:pPr>
              <w:pStyle w:val="114"/>
              <w:rPr>
                <w:rFonts w:ascii="宋体" w:hAnsi="宋体" w:cstheme="minorEastAsia"/>
                <w:b/>
                <w:sz w:val="21"/>
                <w:szCs w:val="21"/>
              </w:rPr>
            </w:pPr>
            <w:r>
              <w:rPr>
                <w:rFonts w:hint="eastAsia" w:ascii="宋体" w:hAnsi="宋体" w:cstheme="minorEastAsia"/>
                <w:b/>
                <w:sz w:val="21"/>
                <w:szCs w:val="21"/>
              </w:rPr>
              <w:t>编号</w:t>
            </w:r>
          </w:p>
        </w:tc>
        <w:tc>
          <w:tcPr>
            <w:tcW w:w="1164" w:type="dxa"/>
            <w:shd w:val="clear" w:color="auto" w:fill="D0CECE"/>
            <w:vAlign w:val="center"/>
          </w:tcPr>
          <w:p>
            <w:pPr>
              <w:pStyle w:val="114"/>
              <w:rPr>
                <w:rFonts w:ascii="宋体" w:hAnsi="宋体" w:cstheme="minorEastAsia"/>
                <w:b/>
                <w:sz w:val="21"/>
                <w:szCs w:val="21"/>
              </w:rPr>
            </w:pPr>
            <w:r>
              <w:rPr>
                <w:rFonts w:hint="eastAsia" w:ascii="宋体" w:hAnsi="宋体" w:cstheme="minorEastAsia"/>
                <w:b/>
                <w:sz w:val="21"/>
                <w:szCs w:val="21"/>
              </w:rPr>
              <w:t>工作阶段</w:t>
            </w:r>
          </w:p>
        </w:tc>
        <w:tc>
          <w:tcPr>
            <w:tcW w:w="1260" w:type="dxa"/>
            <w:shd w:val="clear" w:color="auto" w:fill="D0CECE"/>
            <w:vAlign w:val="center"/>
          </w:tcPr>
          <w:p>
            <w:pPr>
              <w:pStyle w:val="114"/>
              <w:rPr>
                <w:rFonts w:ascii="宋体" w:hAnsi="宋体" w:cstheme="minorEastAsia"/>
                <w:b/>
                <w:sz w:val="21"/>
                <w:szCs w:val="21"/>
              </w:rPr>
            </w:pPr>
            <w:r>
              <w:rPr>
                <w:rFonts w:hint="eastAsia" w:ascii="宋体" w:hAnsi="宋体" w:cstheme="minorEastAsia"/>
                <w:b/>
                <w:sz w:val="21"/>
                <w:szCs w:val="21"/>
              </w:rPr>
              <w:t>计划活动</w:t>
            </w:r>
          </w:p>
        </w:tc>
        <w:tc>
          <w:tcPr>
            <w:tcW w:w="1008" w:type="dxa"/>
            <w:shd w:val="clear" w:color="auto" w:fill="D0CECE"/>
            <w:vAlign w:val="center"/>
          </w:tcPr>
          <w:p>
            <w:pPr>
              <w:pStyle w:val="114"/>
              <w:rPr>
                <w:rFonts w:ascii="宋体" w:hAnsi="宋体" w:cstheme="minorEastAsia"/>
                <w:b/>
                <w:sz w:val="21"/>
                <w:szCs w:val="21"/>
              </w:rPr>
            </w:pPr>
            <w:r>
              <w:rPr>
                <w:rFonts w:hint="eastAsia" w:ascii="宋体" w:hAnsi="宋体" w:cstheme="minorEastAsia"/>
                <w:b/>
                <w:sz w:val="21"/>
                <w:szCs w:val="21"/>
              </w:rPr>
              <w:t>里程碑</w:t>
            </w:r>
          </w:p>
        </w:tc>
        <w:tc>
          <w:tcPr>
            <w:tcW w:w="1272" w:type="dxa"/>
            <w:shd w:val="clear" w:color="auto" w:fill="D0CECE"/>
            <w:vAlign w:val="center"/>
          </w:tcPr>
          <w:p>
            <w:pPr>
              <w:pStyle w:val="114"/>
              <w:rPr>
                <w:rFonts w:ascii="宋体" w:hAnsi="宋体" w:cstheme="minorEastAsia"/>
                <w:b/>
                <w:sz w:val="21"/>
                <w:szCs w:val="21"/>
              </w:rPr>
            </w:pPr>
            <w:r>
              <w:rPr>
                <w:rFonts w:hint="eastAsia" w:ascii="宋体" w:hAnsi="宋体" w:cstheme="minorEastAsia"/>
                <w:b/>
                <w:sz w:val="21"/>
                <w:szCs w:val="21"/>
              </w:rPr>
              <w:t>开始时间（天）</w:t>
            </w:r>
          </w:p>
        </w:tc>
        <w:tc>
          <w:tcPr>
            <w:tcW w:w="1140" w:type="dxa"/>
            <w:shd w:val="clear" w:color="auto" w:fill="D0CECE"/>
            <w:vAlign w:val="center"/>
          </w:tcPr>
          <w:p>
            <w:pPr>
              <w:pStyle w:val="114"/>
              <w:rPr>
                <w:rFonts w:ascii="宋体" w:hAnsi="宋体" w:cstheme="minorEastAsia"/>
                <w:b/>
                <w:sz w:val="21"/>
                <w:szCs w:val="21"/>
              </w:rPr>
            </w:pPr>
            <w:r>
              <w:rPr>
                <w:rFonts w:hint="eastAsia" w:ascii="宋体" w:hAnsi="宋体" w:cstheme="minorEastAsia"/>
                <w:b/>
                <w:sz w:val="21"/>
                <w:szCs w:val="21"/>
              </w:rPr>
              <w:t>完成时限（天）</w:t>
            </w:r>
          </w:p>
        </w:tc>
        <w:tc>
          <w:tcPr>
            <w:tcW w:w="840" w:type="dxa"/>
            <w:shd w:val="clear" w:color="auto" w:fill="D0CECE"/>
            <w:vAlign w:val="center"/>
          </w:tcPr>
          <w:p>
            <w:pPr>
              <w:pStyle w:val="114"/>
              <w:rPr>
                <w:rFonts w:ascii="宋体" w:hAnsi="宋体" w:cstheme="minorEastAsia"/>
                <w:b/>
                <w:sz w:val="21"/>
                <w:szCs w:val="21"/>
              </w:rPr>
            </w:pPr>
            <w:r>
              <w:rPr>
                <w:rFonts w:hint="eastAsia" w:ascii="宋体" w:hAnsi="宋体" w:cstheme="minorEastAsia"/>
                <w:b/>
                <w:sz w:val="21"/>
                <w:szCs w:val="21"/>
              </w:rPr>
              <w:t>人员安排</w:t>
            </w:r>
          </w:p>
        </w:tc>
        <w:tc>
          <w:tcPr>
            <w:tcW w:w="1368" w:type="dxa"/>
            <w:shd w:val="clear" w:color="auto" w:fill="D0CECE"/>
            <w:vAlign w:val="center"/>
          </w:tcPr>
          <w:p>
            <w:pPr>
              <w:pStyle w:val="114"/>
              <w:rPr>
                <w:rFonts w:ascii="宋体" w:hAnsi="宋体" w:cstheme="minorEastAsia"/>
                <w:b/>
                <w:sz w:val="21"/>
                <w:szCs w:val="21"/>
              </w:rPr>
            </w:pPr>
            <w:r>
              <w:rPr>
                <w:rFonts w:hint="eastAsia" w:ascii="宋体" w:hAnsi="宋体" w:cstheme="minorEastAsia"/>
                <w:b/>
                <w:sz w:val="21"/>
                <w:szCs w:val="21"/>
              </w:rPr>
              <w:t>交付成果</w:t>
            </w:r>
          </w:p>
        </w:tc>
        <w:tc>
          <w:tcPr>
            <w:tcW w:w="1167" w:type="dxa"/>
            <w:shd w:val="clear" w:color="auto" w:fill="D0CECE"/>
            <w:vAlign w:val="center"/>
          </w:tcPr>
          <w:p>
            <w:pPr>
              <w:pStyle w:val="114"/>
              <w:rPr>
                <w:rFonts w:ascii="宋体" w:hAnsi="宋体" w:cstheme="minorEastAsia"/>
                <w:b/>
                <w:sz w:val="21"/>
                <w:szCs w:val="21"/>
              </w:rPr>
            </w:pPr>
            <w:r>
              <w:rPr>
                <w:rFonts w:hint="eastAsia" w:ascii="宋体" w:hAnsi="宋体"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641" w:type="dxa"/>
            <w:vAlign w:val="center"/>
          </w:tcPr>
          <w:p>
            <w:pPr>
              <w:pStyle w:val="114"/>
              <w:rPr>
                <w:rFonts w:ascii="宋体" w:hAnsi="宋体" w:cstheme="minorEastAsia"/>
                <w:sz w:val="21"/>
                <w:szCs w:val="21"/>
              </w:rPr>
            </w:pPr>
            <w:r>
              <w:rPr>
                <w:rFonts w:hint="eastAsia" w:ascii="宋体" w:hAnsi="宋体" w:cstheme="minorEastAsia"/>
                <w:sz w:val="21"/>
                <w:szCs w:val="21"/>
              </w:rPr>
              <w:t>1</w:t>
            </w:r>
          </w:p>
        </w:tc>
        <w:tc>
          <w:tcPr>
            <w:tcW w:w="1164" w:type="dxa"/>
            <w:vAlign w:val="center"/>
          </w:tcPr>
          <w:p>
            <w:pPr>
              <w:pStyle w:val="114"/>
              <w:rPr>
                <w:rFonts w:ascii="宋体" w:hAnsi="宋体" w:cstheme="minorEastAsia"/>
                <w:sz w:val="21"/>
                <w:szCs w:val="21"/>
              </w:rPr>
            </w:pPr>
            <w:r>
              <w:rPr>
                <w:rFonts w:hint="eastAsia" w:ascii="宋体" w:hAnsi="宋体" w:cstheme="minorEastAsia"/>
                <w:sz w:val="21"/>
                <w:szCs w:val="21"/>
              </w:rPr>
              <w:t>项目启动阶段</w:t>
            </w:r>
          </w:p>
        </w:tc>
        <w:tc>
          <w:tcPr>
            <w:tcW w:w="1260" w:type="dxa"/>
            <w:vAlign w:val="center"/>
          </w:tcPr>
          <w:p>
            <w:pPr>
              <w:pStyle w:val="114"/>
              <w:rPr>
                <w:rFonts w:ascii="宋体" w:hAnsi="宋体" w:cstheme="minorEastAsia"/>
                <w:sz w:val="21"/>
                <w:szCs w:val="21"/>
              </w:rPr>
            </w:pPr>
            <w:r>
              <w:rPr>
                <w:rFonts w:hint="eastAsia" w:ascii="宋体" w:hAnsi="宋体" w:cstheme="minorEastAsia"/>
                <w:sz w:val="21"/>
                <w:szCs w:val="21"/>
              </w:rPr>
              <w:t>项目启动</w:t>
            </w:r>
          </w:p>
        </w:tc>
        <w:tc>
          <w:tcPr>
            <w:tcW w:w="1008" w:type="dxa"/>
            <w:vAlign w:val="center"/>
          </w:tcPr>
          <w:p>
            <w:pPr>
              <w:pStyle w:val="114"/>
              <w:rPr>
                <w:rFonts w:ascii="宋体" w:hAnsi="宋体" w:cstheme="minorEastAsia"/>
                <w:sz w:val="21"/>
                <w:szCs w:val="21"/>
              </w:rPr>
            </w:pPr>
            <w:r>
              <w:rPr>
                <w:rFonts w:hint="eastAsia" w:ascii="宋体" w:hAnsi="宋体" w:cstheme="minorEastAsia"/>
                <w:sz w:val="21"/>
                <w:szCs w:val="21"/>
              </w:rPr>
              <w:t>项目启动会</w:t>
            </w:r>
          </w:p>
        </w:tc>
        <w:tc>
          <w:tcPr>
            <w:tcW w:w="1272" w:type="dxa"/>
            <w:vAlign w:val="center"/>
          </w:tcPr>
          <w:p>
            <w:pPr>
              <w:pStyle w:val="114"/>
              <w:ind w:firstLine="420" w:firstLineChars="200"/>
              <w:jc w:val="both"/>
              <w:rPr>
                <w:rFonts w:ascii="宋体" w:hAnsi="宋体" w:cstheme="minorEastAsia"/>
                <w:sz w:val="21"/>
                <w:szCs w:val="21"/>
              </w:rPr>
            </w:pPr>
            <w:r>
              <w:rPr>
                <w:rFonts w:hint="eastAsia" w:ascii="宋体" w:hAnsi="宋体" w:cstheme="minorEastAsia"/>
                <w:sz w:val="21"/>
                <w:szCs w:val="21"/>
              </w:rPr>
              <w:t>T+0</w:t>
            </w:r>
          </w:p>
        </w:tc>
        <w:tc>
          <w:tcPr>
            <w:tcW w:w="1140" w:type="dxa"/>
            <w:vAlign w:val="center"/>
          </w:tcPr>
          <w:p>
            <w:pPr>
              <w:pStyle w:val="114"/>
              <w:rPr>
                <w:rFonts w:ascii="宋体" w:hAnsi="宋体" w:cstheme="minorEastAsia"/>
                <w:sz w:val="21"/>
                <w:szCs w:val="21"/>
              </w:rPr>
            </w:pPr>
            <w:r>
              <w:rPr>
                <w:rFonts w:hint="eastAsia" w:ascii="宋体" w:hAnsi="宋体" w:cstheme="minorEastAsia"/>
                <w:sz w:val="21"/>
                <w:szCs w:val="21"/>
              </w:rPr>
              <w:t>T+7</w:t>
            </w:r>
          </w:p>
        </w:tc>
        <w:tc>
          <w:tcPr>
            <w:tcW w:w="840" w:type="dxa"/>
            <w:vAlign w:val="center"/>
          </w:tcPr>
          <w:p>
            <w:pPr>
              <w:pStyle w:val="114"/>
              <w:rPr>
                <w:rFonts w:ascii="宋体" w:hAnsi="宋体" w:cstheme="minorEastAsia"/>
                <w:sz w:val="21"/>
                <w:szCs w:val="21"/>
              </w:rPr>
            </w:pPr>
            <w:r>
              <w:rPr>
                <w:rFonts w:hint="eastAsia" w:ascii="宋体" w:hAnsi="宋体" w:cstheme="minorEastAsia"/>
                <w:sz w:val="21"/>
                <w:szCs w:val="21"/>
              </w:rPr>
              <w:t>项目全员</w:t>
            </w:r>
          </w:p>
        </w:tc>
        <w:tc>
          <w:tcPr>
            <w:tcW w:w="1368" w:type="dxa"/>
            <w:vAlign w:val="center"/>
          </w:tcPr>
          <w:p>
            <w:pPr>
              <w:pStyle w:val="114"/>
              <w:rPr>
                <w:rFonts w:ascii="宋体" w:hAnsi="宋体" w:cstheme="minorEastAsia"/>
                <w:sz w:val="21"/>
                <w:szCs w:val="21"/>
              </w:rPr>
            </w:pPr>
            <w:r>
              <w:rPr>
                <w:rFonts w:hint="eastAsia" w:ascii="宋体" w:hAnsi="宋体" w:cstheme="minorEastAsia"/>
                <w:sz w:val="21"/>
                <w:szCs w:val="21"/>
              </w:rPr>
              <w:t>项目启动确认书</w:t>
            </w:r>
          </w:p>
        </w:tc>
        <w:tc>
          <w:tcPr>
            <w:tcW w:w="1167" w:type="dxa"/>
            <w:vAlign w:val="center"/>
          </w:tcPr>
          <w:p>
            <w:pPr>
              <w:pStyle w:val="114"/>
              <w:rPr>
                <w:rFonts w:ascii="宋体" w:hAnsi="宋体" w:cstheme="minorEastAsia"/>
                <w:sz w:val="21"/>
                <w:szCs w:val="21"/>
              </w:rPr>
            </w:pPr>
            <w:r>
              <w:rPr>
                <w:rFonts w:hint="eastAsia" w:ascii="宋体" w:hAnsi="宋体" w:cstheme="minorEastAsia"/>
                <w:sz w:val="21"/>
                <w:szCs w:val="21"/>
              </w:rPr>
              <w:t>完成项目启动工作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41" w:type="dxa"/>
            <w:vAlign w:val="center"/>
          </w:tcPr>
          <w:p>
            <w:pPr>
              <w:pStyle w:val="114"/>
              <w:rPr>
                <w:rFonts w:ascii="宋体" w:hAnsi="宋体" w:cstheme="minorEastAsia"/>
                <w:sz w:val="21"/>
                <w:szCs w:val="21"/>
              </w:rPr>
            </w:pPr>
            <w:r>
              <w:rPr>
                <w:rFonts w:hint="eastAsia" w:ascii="宋体" w:hAnsi="宋体" w:cstheme="minorEastAsia"/>
                <w:sz w:val="21"/>
                <w:szCs w:val="21"/>
              </w:rPr>
              <w:t>2</w:t>
            </w:r>
          </w:p>
        </w:tc>
        <w:tc>
          <w:tcPr>
            <w:tcW w:w="1164" w:type="dxa"/>
            <w:vAlign w:val="center"/>
          </w:tcPr>
          <w:p>
            <w:pPr>
              <w:pStyle w:val="114"/>
              <w:rPr>
                <w:rFonts w:ascii="宋体" w:hAnsi="宋体" w:cstheme="minorEastAsia"/>
                <w:sz w:val="21"/>
                <w:szCs w:val="21"/>
              </w:rPr>
            </w:pPr>
            <w:r>
              <w:rPr>
                <w:rFonts w:hint="eastAsia" w:ascii="宋体" w:hAnsi="宋体" w:cstheme="minorEastAsia"/>
                <w:sz w:val="21"/>
                <w:szCs w:val="21"/>
              </w:rPr>
              <w:t>实施运维阶段</w:t>
            </w:r>
          </w:p>
        </w:tc>
        <w:tc>
          <w:tcPr>
            <w:tcW w:w="1260" w:type="dxa"/>
            <w:vAlign w:val="center"/>
          </w:tcPr>
          <w:p>
            <w:pPr>
              <w:pStyle w:val="114"/>
              <w:rPr>
                <w:rFonts w:ascii="宋体" w:hAnsi="宋体" w:cstheme="minorEastAsia"/>
                <w:sz w:val="21"/>
                <w:szCs w:val="21"/>
              </w:rPr>
            </w:pPr>
            <w:r>
              <w:rPr>
                <w:rFonts w:hint="eastAsia" w:ascii="宋体" w:hAnsi="宋体" w:cstheme="minorEastAsia"/>
                <w:sz w:val="21"/>
                <w:szCs w:val="21"/>
              </w:rPr>
              <w:t>实施运维服务</w:t>
            </w:r>
          </w:p>
        </w:tc>
        <w:tc>
          <w:tcPr>
            <w:tcW w:w="1008" w:type="dxa"/>
            <w:vAlign w:val="center"/>
          </w:tcPr>
          <w:p>
            <w:pPr>
              <w:pStyle w:val="114"/>
              <w:rPr>
                <w:rFonts w:ascii="宋体" w:hAnsi="宋体" w:cstheme="minorEastAsia"/>
                <w:sz w:val="21"/>
                <w:szCs w:val="21"/>
              </w:rPr>
            </w:pPr>
            <w:r>
              <w:rPr>
                <w:rFonts w:hint="eastAsia" w:ascii="宋体" w:hAnsi="宋体" w:cstheme="minorEastAsia"/>
                <w:sz w:val="21"/>
                <w:szCs w:val="21"/>
              </w:rPr>
              <w:t>运维工单</w:t>
            </w:r>
          </w:p>
        </w:tc>
        <w:tc>
          <w:tcPr>
            <w:tcW w:w="1272" w:type="dxa"/>
            <w:vAlign w:val="center"/>
          </w:tcPr>
          <w:p>
            <w:pPr>
              <w:pStyle w:val="114"/>
              <w:ind w:firstLine="420" w:firstLineChars="200"/>
              <w:jc w:val="both"/>
              <w:rPr>
                <w:rFonts w:ascii="宋体" w:hAnsi="宋体" w:cstheme="minorEastAsia"/>
                <w:sz w:val="21"/>
                <w:szCs w:val="21"/>
              </w:rPr>
            </w:pPr>
            <w:r>
              <w:rPr>
                <w:rFonts w:hint="eastAsia" w:ascii="宋体" w:hAnsi="宋体" w:cstheme="minorEastAsia"/>
                <w:sz w:val="21"/>
                <w:szCs w:val="21"/>
              </w:rPr>
              <w:t>T+0</w:t>
            </w:r>
          </w:p>
        </w:tc>
        <w:tc>
          <w:tcPr>
            <w:tcW w:w="1140" w:type="dxa"/>
            <w:vAlign w:val="center"/>
          </w:tcPr>
          <w:p>
            <w:pPr>
              <w:pStyle w:val="114"/>
              <w:rPr>
                <w:rFonts w:ascii="宋体" w:hAnsi="宋体" w:cstheme="minorEastAsia"/>
                <w:sz w:val="21"/>
                <w:szCs w:val="21"/>
              </w:rPr>
            </w:pPr>
            <w:r>
              <w:rPr>
                <w:rFonts w:hint="eastAsia" w:ascii="宋体" w:hAnsi="宋体" w:cstheme="minorEastAsia"/>
                <w:sz w:val="21"/>
                <w:szCs w:val="21"/>
              </w:rPr>
              <w:t>T+3</w:t>
            </w:r>
            <w:r>
              <w:rPr>
                <w:rFonts w:hint="eastAsia" w:ascii="宋体" w:hAnsi="宋体" w:cstheme="minorEastAsia"/>
                <w:sz w:val="21"/>
                <w:szCs w:val="21"/>
                <w:lang w:val="en-US"/>
              </w:rPr>
              <w:t>6</w:t>
            </w:r>
            <w:r>
              <w:rPr>
                <w:rFonts w:hint="eastAsia" w:ascii="宋体" w:hAnsi="宋体" w:cstheme="minorEastAsia"/>
                <w:sz w:val="21"/>
                <w:szCs w:val="21"/>
              </w:rPr>
              <w:t>5</w:t>
            </w:r>
          </w:p>
        </w:tc>
        <w:tc>
          <w:tcPr>
            <w:tcW w:w="840" w:type="dxa"/>
            <w:vAlign w:val="center"/>
          </w:tcPr>
          <w:p>
            <w:pPr>
              <w:pStyle w:val="114"/>
              <w:rPr>
                <w:rFonts w:ascii="宋体" w:hAnsi="宋体" w:cstheme="minorEastAsia"/>
                <w:sz w:val="21"/>
                <w:szCs w:val="21"/>
              </w:rPr>
            </w:pPr>
            <w:r>
              <w:rPr>
                <w:rFonts w:hint="eastAsia" w:ascii="宋体" w:hAnsi="宋体" w:cstheme="minorEastAsia"/>
                <w:sz w:val="21"/>
                <w:szCs w:val="21"/>
              </w:rPr>
              <w:t>项目全员</w:t>
            </w:r>
          </w:p>
        </w:tc>
        <w:tc>
          <w:tcPr>
            <w:tcW w:w="1368" w:type="dxa"/>
            <w:vAlign w:val="center"/>
          </w:tcPr>
          <w:p>
            <w:pPr>
              <w:pStyle w:val="114"/>
              <w:rPr>
                <w:rFonts w:ascii="宋体" w:hAnsi="宋体" w:cstheme="minorEastAsia"/>
                <w:sz w:val="21"/>
                <w:szCs w:val="21"/>
              </w:rPr>
            </w:pPr>
            <w:r>
              <w:rPr>
                <w:rFonts w:hint="eastAsia" w:ascii="宋体" w:hAnsi="宋体" w:cstheme="minorEastAsia"/>
                <w:sz w:val="21"/>
                <w:szCs w:val="21"/>
              </w:rPr>
              <w:t>项目相关的运维材料</w:t>
            </w:r>
          </w:p>
        </w:tc>
        <w:tc>
          <w:tcPr>
            <w:tcW w:w="1167" w:type="dxa"/>
            <w:vAlign w:val="center"/>
          </w:tcPr>
          <w:p>
            <w:pPr>
              <w:pStyle w:val="114"/>
              <w:ind w:firstLine="420" w:firstLineChars="200"/>
              <w:rPr>
                <w:rFonts w:ascii="宋体" w:hAnsi="宋体"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41" w:type="dxa"/>
            <w:vAlign w:val="center"/>
          </w:tcPr>
          <w:p>
            <w:pPr>
              <w:pStyle w:val="114"/>
              <w:rPr>
                <w:rFonts w:ascii="宋体" w:hAnsi="宋体" w:cstheme="minorEastAsia"/>
                <w:sz w:val="21"/>
                <w:szCs w:val="21"/>
              </w:rPr>
            </w:pPr>
            <w:r>
              <w:rPr>
                <w:rFonts w:hint="eastAsia" w:ascii="宋体" w:hAnsi="宋体" w:cstheme="minorEastAsia"/>
                <w:sz w:val="21"/>
                <w:szCs w:val="21"/>
                <w:lang w:val="en-US"/>
              </w:rPr>
              <w:t>3</w:t>
            </w:r>
          </w:p>
        </w:tc>
        <w:tc>
          <w:tcPr>
            <w:tcW w:w="1164" w:type="dxa"/>
            <w:vAlign w:val="center"/>
          </w:tcPr>
          <w:p>
            <w:pPr>
              <w:pStyle w:val="114"/>
              <w:rPr>
                <w:rFonts w:ascii="宋体" w:hAnsi="宋体" w:cstheme="minorEastAsia"/>
                <w:sz w:val="21"/>
                <w:szCs w:val="21"/>
              </w:rPr>
            </w:pPr>
            <w:r>
              <w:rPr>
                <w:rFonts w:hint="eastAsia" w:ascii="宋体" w:hAnsi="宋体" w:cstheme="minorEastAsia"/>
                <w:sz w:val="21"/>
                <w:szCs w:val="21"/>
              </w:rPr>
              <w:t>项目验收</w:t>
            </w:r>
          </w:p>
        </w:tc>
        <w:tc>
          <w:tcPr>
            <w:tcW w:w="1260" w:type="dxa"/>
            <w:vAlign w:val="center"/>
          </w:tcPr>
          <w:p>
            <w:pPr>
              <w:pStyle w:val="114"/>
              <w:rPr>
                <w:rFonts w:ascii="宋体" w:hAnsi="宋体" w:cstheme="minorEastAsia"/>
                <w:sz w:val="21"/>
                <w:szCs w:val="21"/>
              </w:rPr>
            </w:pPr>
            <w:r>
              <w:rPr>
                <w:rFonts w:hint="eastAsia" w:ascii="宋体" w:hAnsi="宋体" w:cstheme="minorEastAsia"/>
                <w:sz w:val="21"/>
                <w:szCs w:val="21"/>
              </w:rPr>
              <w:t>项目验收</w:t>
            </w:r>
          </w:p>
        </w:tc>
        <w:tc>
          <w:tcPr>
            <w:tcW w:w="1008" w:type="dxa"/>
            <w:vAlign w:val="center"/>
          </w:tcPr>
          <w:p>
            <w:pPr>
              <w:pStyle w:val="114"/>
              <w:rPr>
                <w:rFonts w:ascii="宋体" w:hAnsi="宋体" w:cstheme="minorEastAsia"/>
                <w:sz w:val="21"/>
                <w:szCs w:val="21"/>
              </w:rPr>
            </w:pPr>
            <w:r>
              <w:rPr>
                <w:rFonts w:hint="eastAsia" w:ascii="宋体" w:hAnsi="宋体" w:cstheme="minorEastAsia"/>
                <w:sz w:val="21"/>
                <w:szCs w:val="21"/>
              </w:rPr>
              <w:t>完成验收工作。</w:t>
            </w:r>
          </w:p>
        </w:tc>
        <w:tc>
          <w:tcPr>
            <w:tcW w:w="1272" w:type="dxa"/>
            <w:vAlign w:val="center"/>
          </w:tcPr>
          <w:p>
            <w:pPr>
              <w:pStyle w:val="114"/>
              <w:ind w:firstLine="210" w:firstLineChars="100"/>
              <w:jc w:val="both"/>
              <w:rPr>
                <w:rFonts w:ascii="宋体" w:hAnsi="宋体" w:cstheme="minorEastAsia"/>
                <w:sz w:val="21"/>
                <w:szCs w:val="21"/>
              </w:rPr>
            </w:pPr>
            <w:r>
              <w:rPr>
                <w:rFonts w:hint="eastAsia" w:ascii="宋体" w:hAnsi="宋体" w:cstheme="minorEastAsia"/>
                <w:sz w:val="21"/>
                <w:szCs w:val="21"/>
              </w:rPr>
              <w:t>T+360</w:t>
            </w:r>
          </w:p>
        </w:tc>
        <w:tc>
          <w:tcPr>
            <w:tcW w:w="1140" w:type="dxa"/>
            <w:vAlign w:val="center"/>
          </w:tcPr>
          <w:p>
            <w:pPr>
              <w:pStyle w:val="114"/>
              <w:rPr>
                <w:rFonts w:ascii="宋体" w:hAnsi="宋体" w:cstheme="minorEastAsia"/>
                <w:sz w:val="21"/>
                <w:szCs w:val="21"/>
              </w:rPr>
            </w:pPr>
            <w:r>
              <w:rPr>
                <w:rFonts w:hint="eastAsia" w:ascii="宋体" w:hAnsi="宋体" w:cstheme="minorEastAsia"/>
                <w:sz w:val="21"/>
                <w:szCs w:val="21"/>
              </w:rPr>
              <w:t>T+</w:t>
            </w:r>
            <w:r>
              <w:rPr>
                <w:rFonts w:hint="eastAsia" w:ascii="宋体" w:hAnsi="宋体" w:cstheme="minorEastAsia"/>
                <w:sz w:val="21"/>
                <w:szCs w:val="21"/>
                <w:lang w:val="en-US"/>
              </w:rPr>
              <w:t>365</w:t>
            </w:r>
          </w:p>
        </w:tc>
        <w:tc>
          <w:tcPr>
            <w:tcW w:w="840" w:type="dxa"/>
            <w:vAlign w:val="center"/>
          </w:tcPr>
          <w:p>
            <w:pPr>
              <w:pStyle w:val="114"/>
              <w:rPr>
                <w:rFonts w:ascii="宋体" w:hAnsi="宋体" w:cstheme="minorEastAsia"/>
                <w:sz w:val="21"/>
                <w:szCs w:val="21"/>
              </w:rPr>
            </w:pPr>
            <w:r>
              <w:rPr>
                <w:rFonts w:hint="eastAsia" w:ascii="宋体" w:hAnsi="宋体" w:cstheme="minorEastAsia"/>
                <w:sz w:val="21"/>
                <w:szCs w:val="21"/>
              </w:rPr>
              <w:t>项目经理</w:t>
            </w:r>
          </w:p>
        </w:tc>
        <w:tc>
          <w:tcPr>
            <w:tcW w:w="1368" w:type="dxa"/>
            <w:vAlign w:val="center"/>
          </w:tcPr>
          <w:p>
            <w:pPr>
              <w:pStyle w:val="114"/>
              <w:rPr>
                <w:rFonts w:ascii="宋体" w:hAnsi="宋体" w:cstheme="minorEastAsia"/>
                <w:sz w:val="21"/>
                <w:szCs w:val="21"/>
              </w:rPr>
            </w:pPr>
            <w:r>
              <w:rPr>
                <w:rFonts w:hint="eastAsia" w:ascii="宋体" w:hAnsi="宋体" w:cstheme="minorEastAsia"/>
                <w:sz w:val="21"/>
                <w:szCs w:val="21"/>
              </w:rPr>
              <w:t>按要求提供的各类项目验收文档</w:t>
            </w:r>
          </w:p>
        </w:tc>
        <w:tc>
          <w:tcPr>
            <w:tcW w:w="1167" w:type="dxa"/>
            <w:vAlign w:val="center"/>
          </w:tcPr>
          <w:p>
            <w:pPr>
              <w:pStyle w:val="114"/>
              <w:rPr>
                <w:rFonts w:ascii="宋体" w:hAnsi="宋体" w:cstheme="minorEastAsia"/>
                <w:sz w:val="21"/>
                <w:szCs w:val="21"/>
              </w:rPr>
            </w:pPr>
            <w:r>
              <w:rPr>
                <w:rFonts w:hint="eastAsia" w:ascii="宋体" w:hAnsi="宋体" w:cstheme="minorEastAsia"/>
                <w:sz w:val="21"/>
                <w:szCs w:val="21"/>
              </w:rPr>
              <w:t>完成项目验收工作</w:t>
            </w:r>
          </w:p>
        </w:tc>
      </w:tr>
    </w:tbl>
    <w:p>
      <w:pPr>
        <w:pStyle w:val="32"/>
        <w:numPr>
          <w:ilvl w:val="0"/>
          <w:numId w:val="23"/>
        </w:numPr>
        <w:ind w:firstLineChars="0"/>
        <w:rPr>
          <w:b/>
        </w:rPr>
      </w:pPr>
      <w:r>
        <w:rPr>
          <w:b/>
        </w:rPr>
        <w:t>组织实施要求</w:t>
      </w:r>
    </w:p>
    <w:p>
      <w:pPr>
        <w:spacing w:line="360" w:lineRule="auto"/>
        <w:ind w:firstLine="420" w:firstLineChars="200"/>
        <w:jc w:val="left"/>
        <w:rPr>
          <w:rFonts w:ascii="宋体" w:hAnsi="宋体" w:eastAsia="宋体"/>
          <w:szCs w:val="21"/>
        </w:rPr>
      </w:pPr>
      <w:r>
        <w:rPr>
          <w:rFonts w:ascii="宋体" w:hAnsi="宋体" w:eastAsia="宋体" w:cs="Times New Roman"/>
          <w:szCs w:val="21"/>
        </w:rPr>
        <w:t>为使项目按质、按量、按时及有序实施，</w:t>
      </w:r>
      <w:r>
        <w:rPr>
          <w:rFonts w:hint="eastAsia" w:ascii="宋体" w:hAnsi="宋体" w:eastAsia="宋体" w:cs="Times New Roman"/>
          <w:szCs w:val="21"/>
        </w:rPr>
        <w:t>成交</w:t>
      </w:r>
      <w:r>
        <w:rPr>
          <w:rFonts w:ascii="宋体" w:hAnsi="宋体" w:eastAsia="宋体" w:cs="Times New Roman"/>
          <w:szCs w:val="21"/>
        </w:rPr>
        <w:t>供应商应建立完善、稳定的项目团队、内部组织管理方式及管理机构、协调机制、技术基础，支撑保障要求及其他相关要求。在机制保障方面，成立组织实施小组和项目专家组的双轨制的组织模式。在项目日常管理和条件保障方面，从行政组织、后勤保障和支撑条件各方面创造良好的服务环境，确保项目的顺利实施。</w:t>
      </w:r>
    </w:p>
    <w:p>
      <w:pPr>
        <w:pStyle w:val="32"/>
        <w:numPr>
          <w:ilvl w:val="0"/>
          <w:numId w:val="23"/>
        </w:numPr>
        <w:ind w:firstLineChars="0"/>
        <w:rPr>
          <w:b/>
        </w:rPr>
      </w:pPr>
      <w:r>
        <w:rPr>
          <w:b/>
        </w:rPr>
        <w:t>文档管理要求</w:t>
      </w:r>
    </w:p>
    <w:p>
      <w:pPr>
        <w:spacing w:line="360" w:lineRule="auto"/>
        <w:ind w:firstLine="420" w:firstLineChars="200"/>
        <w:jc w:val="left"/>
        <w:rPr>
          <w:rFonts w:ascii="宋体" w:hAnsi="宋体" w:eastAsia="宋体"/>
          <w:szCs w:val="21"/>
        </w:rPr>
      </w:pPr>
      <w:r>
        <w:rPr>
          <w:rFonts w:hint="eastAsia" w:ascii="宋体" w:hAnsi="宋体" w:eastAsia="宋体" w:cs="Times New Roman"/>
          <w:szCs w:val="21"/>
        </w:rPr>
        <w:t>成交供应</w:t>
      </w:r>
      <w:r>
        <w:rPr>
          <w:rFonts w:ascii="宋体" w:hAnsi="宋体" w:eastAsia="宋体" w:cs="Times New Roman"/>
          <w:szCs w:val="21"/>
        </w:rPr>
        <w:t>商应在项目完成时，将本项目所有文档、资料汇集成册交付给</w:t>
      </w:r>
      <w:r>
        <w:rPr>
          <w:rFonts w:hint="eastAsia" w:ascii="宋体" w:hAnsi="宋体" w:eastAsia="宋体" w:cs="Times New Roman"/>
          <w:szCs w:val="21"/>
        </w:rPr>
        <w:t>采购人</w:t>
      </w:r>
      <w:r>
        <w:rPr>
          <w:rFonts w:ascii="宋体" w:hAnsi="宋体" w:eastAsia="宋体" w:cs="Times New Roman"/>
          <w:szCs w:val="21"/>
        </w:rPr>
        <w:t>，所有文件要求用中文书写或有完整的中文注释。验收后，</w:t>
      </w:r>
      <w:r>
        <w:rPr>
          <w:rFonts w:hint="eastAsia" w:ascii="宋体" w:hAnsi="宋体" w:eastAsia="宋体" w:cs="Times New Roman"/>
          <w:szCs w:val="21"/>
        </w:rPr>
        <w:t>成交</w:t>
      </w:r>
      <w:r>
        <w:rPr>
          <w:rFonts w:ascii="宋体" w:hAnsi="宋体" w:eastAsia="宋体" w:cs="Times New Roman"/>
          <w:szCs w:val="21"/>
        </w:rPr>
        <w:t>供应商按国家、省以及采购人档案管理要求，向</w:t>
      </w:r>
      <w:r>
        <w:rPr>
          <w:rFonts w:hint="eastAsia" w:ascii="宋体" w:hAnsi="宋体" w:eastAsia="宋体" w:cs="Times New Roman"/>
          <w:szCs w:val="21"/>
        </w:rPr>
        <w:t>采购人</w:t>
      </w:r>
      <w:r>
        <w:rPr>
          <w:rFonts w:ascii="宋体" w:hAnsi="宋体" w:eastAsia="宋体" w:cs="Times New Roman"/>
          <w:szCs w:val="21"/>
        </w:rPr>
        <w:t>提供装订成册的纸质文档至少</w:t>
      </w:r>
      <w:r>
        <w:rPr>
          <w:rFonts w:ascii="宋体" w:hAnsi="宋体" w:eastAsia="宋体" w:cs="Times New Roman"/>
          <w:szCs w:val="21"/>
          <w:u w:val="single"/>
        </w:rPr>
        <w:t>1</w:t>
      </w:r>
      <w:r>
        <w:rPr>
          <w:rFonts w:ascii="宋体" w:hAnsi="宋体" w:eastAsia="宋体" w:cs="Times New Roman"/>
          <w:szCs w:val="21"/>
        </w:rPr>
        <w:t>套，电子文档</w:t>
      </w:r>
      <w:r>
        <w:rPr>
          <w:rFonts w:ascii="宋体" w:hAnsi="宋体" w:eastAsia="宋体" w:cs="Times New Roman"/>
          <w:szCs w:val="21"/>
          <w:u w:val="single"/>
        </w:rPr>
        <w:t>1</w:t>
      </w:r>
      <w:r>
        <w:rPr>
          <w:rFonts w:ascii="宋体" w:hAnsi="宋体" w:eastAsia="宋体" w:cs="Times New Roman"/>
          <w:szCs w:val="21"/>
        </w:rPr>
        <w:t>套。</w:t>
      </w:r>
    </w:p>
    <w:p>
      <w:pPr>
        <w:pStyle w:val="32"/>
        <w:numPr>
          <w:ilvl w:val="0"/>
          <w:numId w:val="23"/>
        </w:numPr>
        <w:ind w:firstLineChars="0"/>
        <w:rPr>
          <w:b/>
        </w:rPr>
      </w:pPr>
      <w:r>
        <w:rPr>
          <w:b/>
        </w:rPr>
        <w:t>质量保证要求</w:t>
      </w:r>
    </w:p>
    <w:p>
      <w:pPr>
        <w:spacing w:line="360" w:lineRule="auto"/>
        <w:ind w:firstLine="420" w:firstLineChars="200"/>
        <w:jc w:val="left"/>
        <w:rPr>
          <w:rFonts w:ascii="宋体" w:hAnsi="宋体" w:eastAsia="宋体"/>
          <w:szCs w:val="21"/>
        </w:rPr>
      </w:pPr>
      <w:r>
        <w:rPr>
          <w:rFonts w:ascii="宋体" w:hAnsi="宋体" w:eastAsia="宋体" w:cs="Times New Roman"/>
          <w:szCs w:val="21"/>
        </w:rPr>
        <w:t>为保证本项目能按时高质的顺利完成，规避项目风险或将风险降至最低程度，</w:t>
      </w:r>
      <w:r>
        <w:rPr>
          <w:rFonts w:hint="eastAsia" w:ascii="宋体" w:hAnsi="宋体" w:eastAsia="宋体" w:cs="Times New Roman"/>
          <w:szCs w:val="21"/>
        </w:rPr>
        <w:t>成交</w:t>
      </w:r>
      <w:r>
        <w:rPr>
          <w:rFonts w:ascii="宋体" w:hAnsi="宋体" w:eastAsia="宋体" w:cs="Times New Roman"/>
          <w:szCs w:val="21"/>
        </w:rPr>
        <w:t>供应商应建立项目质量管理体系，包括但不限于质量目标、质量指标、岗位责任、问题处理计划、质量评价、整改完善等内容，并建立奖惩制度。</w:t>
      </w:r>
    </w:p>
    <w:p>
      <w:pPr>
        <w:pStyle w:val="32"/>
        <w:numPr>
          <w:ilvl w:val="0"/>
          <w:numId w:val="26"/>
        </w:numPr>
        <w:ind w:firstLineChars="0"/>
        <w:rPr>
          <w:bCs/>
          <w:u w:val="single"/>
        </w:rPr>
      </w:pPr>
      <w:r>
        <w:rPr>
          <w:rFonts w:hint="eastAsia"/>
          <w:u w:val="single"/>
        </w:rPr>
        <w:t>考核要求</w:t>
      </w:r>
    </w:p>
    <w:p>
      <w:pPr>
        <w:spacing w:line="360" w:lineRule="auto"/>
        <w:ind w:firstLine="420" w:firstLineChars="200"/>
        <w:jc w:val="left"/>
        <w:rPr>
          <w:rFonts w:ascii="宋体" w:hAnsi="宋体" w:eastAsia="宋体"/>
          <w:szCs w:val="21"/>
        </w:rPr>
      </w:pPr>
      <w:r>
        <w:rPr>
          <w:rFonts w:hint="eastAsia" w:ascii="宋体" w:hAnsi="宋体" w:eastAsia="宋体"/>
          <w:szCs w:val="21"/>
        </w:rPr>
        <w:t>如运维团队的月度考核结果为不合格，或出现重大运维事件，按以下规则进行惩罚：</w:t>
      </w:r>
    </w:p>
    <w:p>
      <w:pPr>
        <w:spacing w:line="360" w:lineRule="auto"/>
        <w:ind w:firstLine="420" w:firstLineChars="200"/>
        <w:jc w:val="left"/>
        <w:rPr>
          <w:rFonts w:ascii="宋体" w:hAnsi="宋体" w:eastAsia="宋体"/>
          <w:szCs w:val="21"/>
        </w:rPr>
      </w:pPr>
      <w:r>
        <w:rPr>
          <w:rFonts w:hint="eastAsia" w:ascii="宋体" w:hAnsi="宋体" w:eastAsia="宋体"/>
          <w:szCs w:val="21"/>
        </w:rPr>
        <w:t>1）月度考核结果为不合格的驻场人员给予通报批评，整改不力的向其公司发通报批评函，累</w:t>
      </w:r>
      <w:r>
        <w:rPr>
          <w:rFonts w:hint="eastAsia" w:ascii="宋体" w:hAnsi="宋体" w:eastAsia="宋体"/>
          <w:szCs w:val="21"/>
          <w:u w:val="single"/>
        </w:rPr>
        <w:t>3</w:t>
      </w:r>
      <w:r>
        <w:rPr>
          <w:rFonts w:hint="eastAsia" w:ascii="宋体" w:hAnsi="宋体" w:eastAsia="宋体"/>
          <w:szCs w:val="21"/>
        </w:rPr>
        <w:t>次不改者采购人有权要求更换或者遣返该驻场人员（若</w:t>
      </w:r>
      <w:r>
        <w:rPr>
          <w:rFonts w:hint="eastAsia" w:ascii="宋体" w:hAnsi="宋体" w:eastAsia="宋体"/>
          <w:szCs w:val="21"/>
          <w:u w:val="single"/>
        </w:rPr>
        <w:t>1周</w:t>
      </w:r>
      <w:r>
        <w:rPr>
          <w:rFonts w:hint="eastAsia" w:ascii="宋体" w:hAnsi="宋体" w:eastAsia="宋体"/>
          <w:szCs w:val="21"/>
        </w:rPr>
        <w:t>不安排更换不合格驻场人员的，视为缺员处理）；</w:t>
      </w:r>
    </w:p>
    <w:p>
      <w:pPr>
        <w:spacing w:line="360" w:lineRule="auto"/>
        <w:ind w:firstLine="420" w:firstLineChars="200"/>
        <w:jc w:val="left"/>
        <w:rPr>
          <w:rFonts w:ascii="宋体" w:hAnsi="宋体" w:eastAsia="宋体"/>
          <w:szCs w:val="21"/>
        </w:rPr>
      </w:pPr>
      <w:r>
        <w:rPr>
          <w:rFonts w:hint="eastAsia" w:ascii="宋体" w:hAnsi="宋体" w:eastAsia="宋体"/>
          <w:szCs w:val="21"/>
        </w:rPr>
        <w:t>2）运维团队整体月度考核不合格，每次扣罚</w:t>
      </w:r>
      <w:r>
        <w:rPr>
          <w:rFonts w:hint="eastAsia" w:ascii="宋体" w:hAnsi="宋体" w:eastAsia="宋体"/>
          <w:szCs w:val="21"/>
          <w:u w:val="single"/>
        </w:rPr>
        <w:t>5000</w:t>
      </w:r>
      <w:r>
        <w:rPr>
          <w:rFonts w:hint="eastAsia" w:ascii="宋体" w:hAnsi="宋体" w:eastAsia="宋体"/>
          <w:szCs w:val="21"/>
        </w:rPr>
        <w:t>元；</w:t>
      </w:r>
    </w:p>
    <w:p>
      <w:pPr>
        <w:spacing w:line="360" w:lineRule="auto"/>
        <w:ind w:firstLine="420" w:firstLineChars="200"/>
        <w:jc w:val="left"/>
        <w:rPr>
          <w:rFonts w:ascii="宋体" w:hAnsi="宋体" w:eastAsia="宋体"/>
          <w:szCs w:val="21"/>
        </w:rPr>
      </w:pPr>
      <w:r>
        <w:rPr>
          <w:rFonts w:hint="eastAsia" w:ascii="宋体" w:hAnsi="宋体" w:eastAsia="宋体"/>
          <w:szCs w:val="21"/>
        </w:rPr>
        <w:t>3）运维团队故障处理时效性无法满足的，根据故障等级扣罚（Ⅰ级每次扣罚</w:t>
      </w:r>
      <w:r>
        <w:rPr>
          <w:rFonts w:hint="eastAsia" w:ascii="宋体" w:hAnsi="宋体" w:eastAsia="宋体"/>
          <w:szCs w:val="21"/>
          <w:u w:val="single"/>
        </w:rPr>
        <w:t>5000</w:t>
      </w:r>
      <w:r>
        <w:rPr>
          <w:rFonts w:hint="eastAsia" w:ascii="宋体" w:hAnsi="宋体" w:eastAsia="宋体"/>
          <w:szCs w:val="21"/>
        </w:rPr>
        <w:t>元，Ⅱ级每次扣罚</w:t>
      </w:r>
      <w:r>
        <w:rPr>
          <w:rFonts w:hint="eastAsia" w:ascii="宋体" w:hAnsi="宋体" w:eastAsia="宋体"/>
          <w:szCs w:val="21"/>
          <w:u w:val="single"/>
        </w:rPr>
        <w:t>3500</w:t>
      </w:r>
      <w:r>
        <w:rPr>
          <w:rFonts w:hint="eastAsia" w:ascii="宋体" w:hAnsi="宋体" w:eastAsia="宋体"/>
          <w:szCs w:val="21"/>
        </w:rPr>
        <w:t>元，Ⅲ级每次扣罚</w:t>
      </w:r>
      <w:r>
        <w:rPr>
          <w:rFonts w:hint="eastAsia" w:ascii="宋体" w:hAnsi="宋体" w:eastAsia="宋体"/>
          <w:szCs w:val="21"/>
          <w:u w:val="single"/>
        </w:rPr>
        <w:t>2000</w:t>
      </w:r>
      <w:r>
        <w:rPr>
          <w:rFonts w:hint="eastAsia" w:ascii="宋体" w:hAnsi="宋体" w:eastAsia="宋体"/>
          <w:szCs w:val="21"/>
        </w:rPr>
        <w:t>元，Ⅳ级每次扣罚</w:t>
      </w:r>
      <w:r>
        <w:rPr>
          <w:rFonts w:hint="eastAsia" w:ascii="宋体" w:hAnsi="宋体" w:eastAsia="宋体"/>
          <w:szCs w:val="21"/>
          <w:u w:val="single"/>
        </w:rPr>
        <w:t>1000</w:t>
      </w:r>
      <w:r>
        <w:rPr>
          <w:rFonts w:hint="eastAsia" w:ascii="宋体" w:hAnsi="宋体" w:eastAsia="宋体"/>
          <w:szCs w:val="21"/>
        </w:rPr>
        <w:t>元）或者根据故障影响大小而定；</w:t>
      </w:r>
    </w:p>
    <w:p>
      <w:pPr>
        <w:spacing w:line="360" w:lineRule="auto"/>
        <w:ind w:firstLine="420" w:firstLineChars="200"/>
        <w:jc w:val="left"/>
        <w:rPr>
          <w:rFonts w:ascii="宋体" w:hAnsi="宋体" w:eastAsia="宋体"/>
          <w:szCs w:val="21"/>
        </w:rPr>
      </w:pPr>
      <w:r>
        <w:rPr>
          <w:rFonts w:hint="eastAsia" w:ascii="宋体" w:hAnsi="宋体" w:eastAsia="宋体"/>
          <w:szCs w:val="21"/>
        </w:rPr>
        <w:t>4）运维团队整体考核经采购人运维管理部门认定为责任事故的，一次扣罚</w:t>
      </w:r>
      <w:r>
        <w:rPr>
          <w:rFonts w:hint="eastAsia" w:ascii="宋体" w:hAnsi="宋体" w:eastAsia="宋体"/>
          <w:szCs w:val="21"/>
          <w:u w:val="single"/>
        </w:rPr>
        <w:t>3000</w:t>
      </w:r>
      <w:r>
        <w:rPr>
          <w:rFonts w:hint="eastAsia" w:ascii="宋体" w:hAnsi="宋体" w:eastAsia="宋体"/>
          <w:szCs w:val="21"/>
        </w:rPr>
        <w:t>元；</w:t>
      </w:r>
    </w:p>
    <w:p>
      <w:pPr>
        <w:spacing w:line="360" w:lineRule="auto"/>
        <w:ind w:firstLine="420" w:firstLineChars="200"/>
        <w:jc w:val="left"/>
        <w:rPr>
          <w:rFonts w:ascii="宋体" w:hAnsi="宋体" w:eastAsia="宋体"/>
          <w:szCs w:val="21"/>
        </w:rPr>
      </w:pPr>
      <w:r>
        <w:rPr>
          <w:rFonts w:hint="eastAsia" w:ascii="宋体" w:hAnsi="宋体" w:eastAsia="宋体"/>
          <w:szCs w:val="21"/>
        </w:rPr>
        <w:t>5）运维团队在运维期内收到有效客户投诉记录累计</w:t>
      </w:r>
      <w:r>
        <w:rPr>
          <w:rFonts w:hint="eastAsia" w:ascii="宋体" w:hAnsi="宋体" w:eastAsia="宋体"/>
          <w:szCs w:val="21"/>
          <w:u w:val="single"/>
        </w:rPr>
        <w:t>2</w:t>
      </w:r>
      <w:r>
        <w:rPr>
          <w:rFonts w:hint="eastAsia" w:ascii="宋体" w:hAnsi="宋体" w:eastAsia="宋体"/>
          <w:szCs w:val="21"/>
        </w:rPr>
        <w:t>次以上，超过一次扣罚</w:t>
      </w:r>
      <w:r>
        <w:rPr>
          <w:rFonts w:hint="eastAsia" w:ascii="宋体" w:hAnsi="宋体" w:eastAsia="宋体"/>
          <w:szCs w:val="21"/>
          <w:u w:val="single"/>
        </w:rPr>
        <w:t>2000</w:t>
      </w:r>
      <w:r>
        <w:rPr>
          <w:rFonts w:hint="eastAsia" w:ascii="宋体" w:hAnsi="宋体" w:eastAsia="宋体"/>
          <w:szCs w:val="21"/>
        </w:rPr>
        <w:t>元；</w:t>
      </w:r>
    </w:p>
    <w:p>
      <w:pPr>
        <w:spacing w:line="360" w:lineRule="auto"/>
        <w:ind w:firstLine="420" w:firstLineChars="200"/>
        <w:jc w:val="left"/>
        <w:rPr>
          <w:rFonts w:ascii="宋体" w:hAnsi="宋体" w:eastAsia="宋体"/>
          <w:szCs w:val="21"/>
        </w:rPr>
      </w:pPr>
      <w:r>
        <w:rPr>
          <w:rFonts w:hint="eastAsia" w:ascii="宋体" w:hAnsi="宋体" w:eastAsia="宋体"/>
          <w:szCs w:val="21"/>
        </w:rPr>
        <w:t>6）在合同履行期间,运维团队驻场人员未达到合同要求且影响运维服务质量的，按照缺员数量每人每天扣罚</w:t>
      </w:r>
      <w:r>
        <w:rPr>
          <w:rFonts w:hint="eastAsia" w:ascii="宋体" w:hAnsi="宋体" w:eastAsia="宋体"/>
          <w:szCs w:val="21"/>
          <w:u w:val="single"/>
        </w:rPr>
        <w:t>1000</w:t>
      </w:r>
      <w:r>
        <w:rPr>
          <w:rFonts w:hint="eastAsia" w:ascii="宋体" w:hAnsi="宋体" w:eastAsia="宋体"/>
          <w:szCs w:val="21"/>
        </w:rPr>
        <w:t>元。</w:t>
      </w:r>
    </w:p>
    <w:p>
      <w:pPr>
        <w:spacing w:line="360" w:lineRule="auto"/>
        <w:ind w:firstLine="420" w:firstLineChars="200"/>
        <w:jc w:val="left"/>
        <w:rPr>
          <w:rFonts w:ascii="宋体" w:hAnsi="宋体" w:eastAsia="宋体"/>
          <w:szCs w:val="21"/>
        </w:rPr>
      </w:pPr>
      <w:r>
        <w:rPr>
          <w:rFonts w:hint="eastAsia" w:ascii="宋体" w:hAnsi="宋体" w:eastAsia="宋体"/>
          <w:szCs w:val="21"/>
        </w:rPr>
        <w:t>故障等级按照故障影响范围、系统重要程度等分为4级，按级别从高到低分为Ⅰ、Ⅱ、Ⅲ、Ⅳ级。具体故障等级判断如下：</w:t>
      </w:r>
    </w:p>
    <w:tbl>
      <w:tblPr>
        <w:tblStyle w:val="25"/>
        <w:tblW w:w="8522" w:type="dxa"/>
        <w:jc w:val="center"/>
        <w:tblLayout w:type="fixed"/>
        <w:tblCellMar>
          <w:top w:w="0" w:type="dxa"/>
          <w:left w:w="108" w:type="dxa"/>
          <w:bottom w:w="0" w:type="dxa"/>
          <w:right w:w="108" w:type="dxa"/>
        </w:tblCellMar>
      </w:tblPr>
      <w:tblGrid>
        <w:gridCol w:w="2234"/>
        <w:gridCol w:w="1571"/>
        <w:gridCol w:w="1571"/>
        <w:gridCol w:w="1575"/>
        <w:gridCol w:w="1571"/>
      </w:tblGrid>
      <w:tr>
        <w:tblPrEx>
          <w:tblCellMar>
            <w:top w:w="0" w:type="dxa"/>
            <w:left w:w="108" w:type="dxa"/>
            <w:bottom w:w="0" w:type="dxa"/>
            <w:right w:w="108" w:type="dxa"/>
          </w:tblCellMar>
        </w:tblPrEx>
        <w:trPr>
          <w:trHeight w:val="380" w:hRule="atLeast"/>
          <w:tblHeader/>
          <w:jc w:val="center"/>
        </w:trPr>
        <w:tc>
          <w:tcPr>
            <w:tcW w:w="2234" w:type="dxa"/>
            <w:tcBorders>
              <w:top w:val="single" w:color="auto" w:sz="4" w:space="0"/>
              <w:left w:val="single" w:color="auto" w:sz="4" w:space="0"/>
              <w:bottom w:val="single" w:color="auto" w:sz="4" w:space="0"/>
              <w:right w:val="single" w:color="auto" w:sz="4" w:space="0"/>
              <w:tl2br w:val="single" w:color="auto" w:sz="4" w:space="0"/>
            </w:tcBorders>
            <w:shd w:val="clear" w:color="auto" w:fill="FFFFFF"/>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 xml:space="preserve">    影响范围              </w:t>
            </w:r>
            <w:r>
              <w:rPr>
                <w:rFonts w:hint="eastAsia" w:ascii="宋体" w:hAnsi="宋体" w:eastAsia="宋体"/>
                <w:szCs w:val="21"/>
              </w:rPr>
              <w:br w:type="textWrapping"/>
            </w:r>
            <w:r>
              <w:rPr>
                <w:rFonts w:hint="eastAsia" w:ascii="宋体" w:hAnsi="宋体" w:eastAsia="宋体"/>
                <w:szCs w:val="21"/>
              </w:rPr>
              <w:t>重要程度</w:t>
            </w:r>
          </w:p>
        </w:tc>
        <w:tc>
          <w:tcPr>
            <w:tcW w:w="1571"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eastAsia="宋体"/>
                <w:szCs w:val="21"/>
              </w:rPr>
            </w:pPr>
            <w:r>
              <w:rPr>
                <w:rFonts w:hint="eastAsia" w:ascii="宋体" w:hAnsi="宋体" w:eastAsia="宋体"/>
                <w:szCs w:val="21"/>
              </w:rPr>
              <w:t>系统中断</w:t>
            </w:r>
            <w:r>
              <w:rPr>
                <w:rFonts w:hint="eastAsia" w:ascii="宋体" w:hAnsi="宋体" w:eastAsia="宋体"/>
                <w:szCs w:val="21"/>
              </w:rPr>
              <w:br w:type="textWrapping"/>
            </w:r>
            <w:r>
              <w:rPr>
                <w:rFonts w:hint="eastAsia" w:ascii="宋体" w:hAnsi="宋体" w:eastAsia="宋体"/>
                <w:szCs w:val="21"/>
              </w:rPr>
              <w:t>服务不可用</w:t>
            </w:r>
          </w:p>
        </w:tc>
        <w:tc>
          <w:tcPr>
            <w:tcW w:w="1571"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eastAsia="宋体"/>
                <w:szCs w:val="21"/>
              </w:rPr>
            </w:pPr>
            <w:r>
              <w:rPr>
                <w:rFonts w:hint="eastAsia" w:ascii="宋体" w:hAnsi="宋体" w:eastAsia="宋体"/>
                <w:szCs w:val="21"/>
              </w:rPr>
              <w:t>运行缓慢</w:t>
            </w:r>
            <w:r>
              <w:rPr>
                <w:rFonts w:hint="eastAsia" w:ascii="宋体" w:hAnsi="宋体" w:eastAsia="宋体"/>
                <w:szCs w:val="21"/>
              </w:rPr>
              <w:br w:type="textWrapping"/>
            </w:r>
            <w:r>
              <w:rPr>
                <w:rFonts w:hint="eastAsia" w:ascii="宋体" w:hAnsi="宋体" w:eastAsia="宋体"/>
                <w:szCs w:val="21"/>
              </w:rPr>
              <w:t>运行不稳定</w:t>
            </w:r>
          </w:p>
        </w:tc>
        <w:tc>
          <w:tcPr>
            <w:tcW w:w="1575"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eastAsia="宋体"/>
                <w:szCs w:val="21"/>
              </w:rPr>
            </w:pPr>
            <w:r>
              <w:rPr>
                <w:rFonts w:hint="eastAsia" w:ascii="宋体" w:hAnsi="宋体" w:eastAsia="宋体"/>
                <w:szCs w:val="21"/>
              </w:rPr>
              <w:t>一般故障</w:t>
            </w:r>
            <w:r>
              <w:rPr>
                <w:rFonts w:hint="eastAsia" w:ascii="宋体" w:hAnsi="宋体" w:eastAsia="宋体"/>
                <w:szCs w:val="21"/>
              </w:rPr>
              <w:br w:type="textWrapping"/>
            </w:r>
            <w:r>
              <w:rPr>
                <w:rFonts w:hint="eastAsia" w:ascii="宋体" w:hAnsi="宋体" w:eastAsia="宋体"/>
                <w:szCs w:val="21"/>
              </w:rPr>
              <w:t>不影响整体服务</w:t>
            </w:r>
          </w:p>
        </w:tc>
        <w:tc>
          <w:tcPr>
            <w:tcW w:w="1571" w:type="dxa"/>
            <w:tcBorders>
              <w:top w:val="single" w:color="auto" w:sz="4" w:space="0"/>
              <w:left w:val="nil"/>
              <w:bottom w:val="single" w:color="auto" w:sz="4" w:space="0"/>
              <w:right w:val="single" w:color="auto" w:sz="4" w:space="0"/>
            </w:tcBorders>
            <w:shd w:val="clear" w:color="auto" w:fill="FFFFFF"/>
            <w:vAlign w:val="center"/>
          </w:tcPr>
          <w:p>
            <w:pPr>
              <w:spacing w:line="360" w:lineRule="auto"/>
              <w:jc w:val="center"/>
              <w:rPr>
                <w:rFonts w:ascii="宋体" w:hAnsi="宋体" w:eastAsia="宋体"/>
                <w:szCs w:val="21"/>
              </w:rPr>
            </w:pPr>
            <w:r>
              <w:rPr>
                <w:rFonts w:hint="eastAsia" w:ascii="宋体" w:hAnsi="宋体" w:eastAsia="宋体"/>
                <w:szCs w:val="21"/>
              </w:rPr>
              <w:t>安全事件</w:t>
            </w:r>
            <w:r>
              <w:rPr>
                <w:rFonts w:hint="eastAsia" w:ascii="宋体" w:hAnsi="宋体" w:eastAsia="宋体"/>
                <w:szCs w:val="21"/>
              </w:rPr>
              <w:br w:type="textWrapping"/>
            </w:r>
            <w:r>
              <w:rPr>
                <w:rFonts w:hint="eastAsia" w:ascii="宋体" w:hAnsi="宋体" w:eastAsia="宋体"/>
                <w:szCs w:val="21"/>
              </w:rPr>
              <w:t>网页纂改</w:t>
            </w:r>
          </w:p>
        </w:tc>
      </w:tr>
      <w:tr>
        <w:tblPrEx>
          <w:tblCellMar>
            <w:top w:w="0" w:type="dxa"/>
            <w:left w:w="108" w:type="dxa"/>
            <w:bottom w:w="0" w:type="dxa"/>
            <w:right w:w="108" w:type="dxa"/>
          </w:tblCellMar>
        </w:tblPrEx>
        <w:trPr>
          <w:trHeight w:val="380" w:hRule="atLeast"/>
          <w:jc w:val="center"/>
        </w:trPr>
        <w:tc>
          <w:tcPr>
            <w:tcW w:w="2234"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高重要系统</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Ⅰ级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Ⅰ级</w:t>
            </w:r>
          </w:p>
        </w:tc>
        <w:tc>
          <w:tcPr>
            <w:tcW w:w="1575"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Ⅱ级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Ⅰ级</w:t>
            </w:r>
          </w:p>
        </w:tc>
      </w:tr>
      <w:tr>
        <w:tblPrEx>
          <w:tblCellMar>
            <w:top w:w="0" w:type="dxa"/>
            <w:left w:w="108" w:type="dxa"/>
            <w:bottom w:w="0" w:type="dxa"/>
            <w:right w:w="108" w:type="dxa"/>
          </w:tblCellMar>
        </w:tblPrEx>
        <w:trPr>
          <w:trHeight w:val="380" w:hRule="atLeast"/>
          <w:jc w:val="center"/>
        </w:trPr>
        <w:tc>
          <w:tcPr>
            <w:tcW w:w="2234"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重要系统</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Ⅰ级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Ⅱ级</w:t>
            </w:r>
          </w:p>
        </w:tc>
        <w:tc>
          <w:tcPr>
            <w:tcW w:w="1575"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Ⅱ级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Ⅰ级</w:t>
            </w:r>
          </w:p>
        </w:tc>
      </w:tr>
      <w:tr>
        <w:tblPrEx>
          <w:tblCellMar>
            <w:top w:w="0" w:type="dxa"/>
            <w:left w:w="108" w:type="dxa"/>
            <w:bottom w:w="0" w:type="dxa"/>
            <w:right w:w="108" w:type="dxa"/>
          </w:tblCellMar>
        </w:tblPrEx>
        <w:trPr>
          <w:trHeight w:val="380" w:hRule="atLeast"/>
          <w:jc w:val="center"/>
        </w:trPr>
        <w:tc>
          <w:tcPr>
            <w:tcW w:w="2234"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相对重要系统</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Ⅱ级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Ⅱ级</w:t>
            </w:r>
          </w:p>
        </w:tc>
        <w:tc>
          <w:tcPr>
            <w:tcW w:w="1575"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Ⅲ级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Ⅰ级</w:t>
            </w:r>
          </w:p>
        </w:tc>
      </w:tr>
      <w:tr>
        <w:tblPrEx>
          <w:tblCellMar>
            <w:top w:w="0" w:type="dxa"/>
            <w:left w:w="108" w:type="dxa"/>
            <w:bottom w:w="0" w:type="dxa"/>
            <w:right w:w="108" w:type="dxa"/>
          </w:tblCellMar>
        </w:tblPrEx>
        <w:trPr>
          <w:trHeight w:val="380" w:hRule="atLeast"/>
          <w:jc w:val="center"/>
        </w:trPr>
        <w:tc>
          <w:tcPr>
            <w:tcW w:w="2234"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一般重要系统</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Ⅲ级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Ⅲ级</w:t>
            </w:r>
          </w:p>
        </w:tc>
        <w:tc>
          <w:tcPr>
            <w:tcW w:w="1575"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Ⅳ级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Ⅱ级</w:t>
            </w:r>
          </w:p>
        </w:tc>
      </w:tr>
      <w:tr>
        <w:tblPrEx>
          <w:tblCellMar>
            <w:top w:w="0" w:type="dxa"/>
            <w:left w:w="108" w:type="dxa"/>
            <w:bottom w:w="0" w:type="dxa"/>
            <w:right w:w="108" w:type="dxa"/>
          </w:tblCellMar>
        </w:tblPrEx>
        <w:trPr>
          <w:trHeight w:val="546" w:hRule="atLeast"/>
          <w:jc w:val="center"/>
        </w:trPr>
        <w:tc>
          <w:tcPr>
            <w:tcW w:w="2234"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测试系统</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Ⅳ级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Ⅳ级</w:t>
            </w:r>
          </w:p>
        </w:tc>
        <w:tc>
          <w:tcPr>
            <w:tcW w:w="1575"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Ⅳ级</w:t>
            </w:r>
          </w:p>
        </w:tc>
        <w:tc>
          <w:tcPr>
            <w:tcW w:w="1571" w:type="dxa"/>
            <w:tcBorders>
              <w:top w:val="nil"/>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rPr>
            </w:pPr>
            <w:r>
              <w:rPr>
                <w:rFonts w:hint="eastAsia" w:ascii="宋体" w:hAnsi="宋体" w:eastAsia="宋体"/>
                <w:szCs w:val="21"/>
              </w:rPr>
              <w:t>Ⅳ级</w:t>
            </w:r>
          </w:p>
        </w:tc>
      </w:tr>
    </w:tbl>
    <w:p>
      <w:pPr>
        <w:spacing w:line="360" w:lineRule="auto"/>
        <w:ind w:firstLine="420" w:firstLineChars="200"/>
        <w:rPr>
          <w:rFonts w:ascii="宋体" w:hAnsi="宋体" w:eastAsia="宋体"/>
          <w:szCs w:val="21"/>
          <w:lang w:val="en-GB"/>
        </w:rPr>
      </w:pPr>
    </w:p>
    <w:p>
      <w:pPr>
        <w:spacing w:line="360" w:lineRule="auto"/>
        <w:ind w:firstLine="420" w:firstLineChars="200"/>
        <w:jc w:val="left"/>
        <w:rPr>
          <w:rFonts w:ascii="宋体" w:hAnsi="宋体" w:eastAsia="宋体"/>
          <w:szCs w:val="21"/>
          <w:lang w:val="en-GB"/>
        </w:rPr>
      </w:pPr>
      <w:r>
        <w:rPr>
          <w:rFonts w:hint="eastAsia" w:ascii="宋体" w:hAnsi="宋体" w:eastAsia="宋体"/>
          <w:szCs w:val="21"/>
          <w:lang w:val="en-GB"/>
        </w:rPr>
        <w:t>业务等级按照业务系统的使用范围、系统影响程度等分为5级，各级具体定义如下：</w:t>
      </w:r>
    </w:p>
    <w:tbl>
      <w:tblPr>
        <w:tblStyle w:val="25"/>
        <w:tblW w:w="8642" w:type="dxa"/>
        <w:jc w:val="center"/>
        <w:tblLayout w:type="fixed"/>
        <w:tblCellMar>
          <w:top w:w="0" w:type="dxa"/>
          <w:left w:w="108" w:type="dxa"/>
          <w:bottom w:w="0" w:type="dxa"/>
          <w:right w:w="108" w:type="dxa"/>
        </w:tblCellMar>
      </w:tblPr>
      <w:tblGrid>
        <w:gridCol w:w="871"/>
        <w:gridCol w:w="1263"/>
        <w:gridCol w:w="6508"/>
      </w:tblGrid>
      <w:tr>
        <w:tblPrEx>
          <w:tblCellMar>
            <w:top w:w="0" w:type="dxa"/>
            <w:left w:w="108" w:type="dxa"/>
            <w:bottom w:w="0" w:type="dxa"/>
            <w:right w:w="108" w:type="dxa"/>
          </w:tblCellMar>
        </w:tblPrEx>
        <w:trPr>
          <w:trHeight w:val="330" w:hRule="atLeast"/>
          <w:jc w:val="center"/>
        </w:trPr>
        <w:tc>
          <w:tcPr>
            <w:tcW w:w="87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jc w:val="center"/>
              <w:rPr>
                <w:rFonts w:ascii="宋体" w:hAnsi="宋体" w:eastAsia="宋体"/>
                <w:szCs w:val="21"/>
                <w:lang w:val="en-GB"/>
              </w:rPr>
            </w:pPr>
            <w:r>
              <w:rPr>
                <w:rFonts w:hint="eastAsia" w:ascii="宋体" w:hAnsi="宋体" w:eastAsia="宋体"/>
                <w:szCs w:val="21"/>
                <w:lang w:val="en-GB"/>
              </w:rPr>
              <w:t>分类</w:t>
            </w:r>
          </w:p>
        </w:tc>
        <w:tc>
          <w:tcPr>
            <w:tcW w:w="12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业务等级</w:t>
            </w:r>
          </w:p>
        </w:tc>
        <w:tc>
          <w:tcPr>
            <w:tcW w:w="6508" w:type="dxa"/>
            <w:tcBorders>
              <w:top w:val="single" w:color="auto" w:sz="4" w:space="0"/>
              <w:left w:val="nil"/>
              <w:bottom w:val="single" w:color="auto" w:sz="4" w:space="0"/>
              <w:right w:val="single" w:color="auto" w:sz="4" w:space="0"/>
            </w:tcBorders>
            <w:shd w:val="clear" w:color="auto" w:fill="FFFFFF"/>
            <w:vAlign w:val="center"/>
          </w:tcPr>
          <w:p>
            <w:pPr>
              <w:spacing w:line="360" w:lineRule="auto"/>
              <w:ind w:firstLine="420" w:firstLineChars="200"/>
              <w:jc w:val="left"/>
              <w:rPr>
                <w:rFonts w:ascii="宋体" w:hAnsi="宋体" w:eastAsia="宋体"/>
                <w:szCs w:val="21"/>
                <w:lang w:val="en-GB"/>
              </w:rPr>
            </w:pPr>
            <w:r>
              <w:rPr>
                <w:rFonts w:hint="eastAsia" w:ascii="宋体" w:hAnsi="宋体" w:eastAsia="宋体"/>
                <w:szCs w:val="21"/>
                <w:lang w:val="en-GB"/>
              </w:rPr>
              <w:t>等级描述</w:t>
            </w:r>
          </w:p>
        </w:tc>
      </w:tr>
      <w:tr>
        <w:tblPrEx>
          <w:tblCellMar>
            <w:top w:w="0" w:type="dxa"/>
            <w:left w:w="108" w:type="dxa"/>
            <w:bottom w:w="0" w:type="dxa"/>
            <w:right w:w="108" w:type="dxa"/>
          </w:tblCellMar>
        </w:tblPrEx>
        <w:trPr>
          <w:trHeight w:val="1670"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L0</w:t>
            </w: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高度重要系统</w:t>
            </w:r>
          </w:p>
        </w:tc>
        <w:tc>
          <w:tcPr>
            <w:tcW w:w="6508"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lang w:val="en-GB"/>
              </w:rPr>
            </w:pPr>
            <w:r>
              <w:rPr>
                <w:rFonts w:hint="eastAsia" w:ascii="宋体" w:hAnsi="宋体" w:eastAsia="宋体"/>
                <w:szCs w:val="21"/>
                <w:lang w:val="en-GB"/>
              </w:rPr>
              <w:t>系统无法提供有效服务会对国家安全、社会秩序、经济建设、公共利益的影响非常大；或系统所提供服务的重要性非常高，无法提供服务会对业务的正常运营产生非常大的影响；或系统无法提供有效服务会对非常多的用户和非常大的地区造成影响。技术上实现同城双活。</w:t>
            </w:r>
          </w:p>
        </w:tc>
      </w:tr>
      <w:tr>
        <w:tblPrEx>
          <w:tblCellMar>
            <w:top w:w="0" w:type="dxa"/>
            <w:left w:w="108" w:type="dxa"/>
            <w:bottom w:w="0" w:type="dxa"/>
            <w:right w:w="108" w:type="dxa"/>
          </w:tblCellMar>
        </w:tblPrEx>
        <w:trPr>
          <w:trHeight w:val="1632" w:hRule="atLeast"/>
          <w:jc w:val="center"/>
        </w:trPr>
        <w:tc>
          <w:tcPr>
            <w:tcW w:w="871"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L1</w:t>
            </w:r>
          </w:p>
        </w:tc>
        <w:tc>
          <w:tcPr>
            <w:tcW w:w="126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重要系统</w:t>
            </w:r>
          </w:p>
        </w:tc>
        <w:tc>
          <w:tcPr>
            <w:tcW w:w="6508"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lang w:val="en-GB"/>
              </w:rPr>
            </w:pPr>
            <w:r>
              <w:rPr>
                <w:rFonts w:hint="eastAsia" w:ascii="宋体" w:hAnsi="宋体" w:eastAsia="宋体"/>
                <w:szCs w:val="21"/>
                <w:lang w:val="en-GB"/>
              </w:rPr>
              <w:t>系统无法提供有效服务会对国家安全、社会秩序、经济建设、公共利益的影响很大；或系统所提供服务的重要性很高，无法提供服务会对业务的正常运营产生很大的影响；或系统无法提供有效服务会对很多的用户和很大的地区造成影响。技术上实现应用双活。</w:t>
            </w:r>
          </w:p>
        </w:tc>
      </w:tr>
      <w:tr>
        <w:tblPrEx>
          <w:tblCellMar>
            <w:top w:w="0" w:type="dxa"/>
            <w:left w:w="108" w:type="dxa"/>
            <w:bottom w:w="0" w:type="dxa"/>
            <w:right w:w="108" w:type="dxa"/>
          </w:tblCellMar>
        </w:tblPrEx>
        <w:trPr>
          <w:trHeight w:val="1620" w:hRule="atLeast"/>
          <w:jc w:val="center"/>
        </w:trPr>
        <w:tc>
          <w:tcPr>
            <w:tcW w:w="871"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L2</w:t>
            </w:r>
          </w:p>
        </w:tc>
        <w:tc>
          <w:tcPr>
            <w:tcW w:w="126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相对重要系统</w:t>
            </w:r>
          </w:p>
        </w:tc>
        <w:tc>
          <w:tcPr>
            <w:tcW w:w="6508"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lang w:val="en-GB"/>
              </w:rPr>
            </w:pPr>
            <w:r>
              <w:rPr>
                <w:rFonts w:hint="eastAsia" w:ascii="宋体" w:hAnsi="宋体" w:eastAsia="宋体"/>
                <w:szCs w:val="21"/>
                <w:lang w:val="en-GB"/>
              </w:rPr>
              <w:t>系统无法提供有效服务会对国家安全、社会秩序、经济建设、公共利益的影响较大；或系统所提供服务的重要性较高，无法提供服务会对业务的正常运营产生较大的影响；或系统无法提供有效服务会对较多的用户和较大的地区造成影响。技术上实现应用本地HA,异地灾备。</w:t>
            </w:r>
          </w:p>
        </w:tc>
      </w:tr>
      <w:tr>
        <w:tblPrEx>
          <w:tblCellMar>
            <w:top w:w="0" w:type="dxa"/>
            <w:left w:w="108" w:type="dxa"/>
            <w:bottom w:w="0" w:type="dxa"/>
            <w:right w:w="108" w:type="dxa"/>
          </w:tblCellMar>
        </w:tblPrEx>
        <w:trPr>
          <w:trHeight w:val="644" w:hRule="atLeast"/>
          <w:jc w:val="center"/>
        </w:trPr>
        <w:tc>
          <w:tcPr>
            <w:tcW w:w="871"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L3</w:t>
            </w:r>
          </w:p>
        </w:tc>
        <w:tc>
          <w:tcPr>
            <w:tcW w:w="126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一般系统</w:t>
            </w:r>
          </w:p>
        </w:tc>
        <w:tc>
          <w:tcPr>
            <w:tcW w:w="6508"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lang w:val="en-GB"/>
              </w:rPr>
            </w:pPr>
            <w:r>
              <w:rPr>
                <w:rFonts w:hint="eastAsia" w:ascii="宋体" w:hAnsi="宋体" w:eastAsia="宋体"/>
                <w:szCs w:val="21"/>
                <w:lang w:val="en-GB"/>
              </w:rPr>
              <w:t>系统无法提供有效服务会对国家安全、社会秩序、经济建设、公共利益的影响较小；或系统所提供服务的重要性较低，无法提供服务会对业务的正常运营产生较小的影响；或系统无法提供有效服务会对较少的用户和较小的地区造成影响。技术上应用系统仅部署在本地单机，未采取容灾备份措施。</w:t>
            </w:r>
          </w:p>
        </w:tc>
      </w:tr>
      <w:tr>
        <w:tblPrEx>
          <w:tblCellMar>
            <w:top w:w="0" w:type="dxa"/>
            <w:left w:w="108" w:type="dxa"/>
            <w:bottom w:w="0" w:type="dxa"/>
            <w:right w:w="108" w:type="dxa"/>
          </w:tblCellMar>
        </w:tblPrEx>
        <w:trPr>
          <w:trHeight w:val="870" w:hRule="atLeast"/>
          <w:jc w:val="center"/>
        </w:trPr>
        <w:tc>
          <w:tcPr>
            <w:tcW w:w="871"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L4</w:t>
            </w:r>
          </w:p>
        </w:tc>
        <w:tc>
          <w:tcPr>
            <w:tcW w:w="126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lang w:val="en-GB"/>
              </w:rPr>
            </w:pPr>
            <w:r>
              <w:rPr>
                <w:rFonts w:hint="eastAsia" w:ascii="宋体" w:hAnsi="宋体" w:eastAsia="宋体"/>
                <w:szCs w:val="21"/>
                <w:lang w:val="en-GB"/>
              </w:rPr>
              <w:t>测试类系统</w:t>
            </w:r>
          </w:p>
        </w:tc>
        <w:tc>
          <w:tcPr>
            <w:tcW w:w="6508"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ascii="宋体" w:hAnsi="宋体" w:eastAsia="宋体"/>
                <w:szCs w:val="21"/>
                <w:lang w:val="en-GB"/>
              </w:rPr>
            </w:pPr>
            <w:r>
              <w:rPr>
                <w:rFonts w:hint="eastAsia" w:ascii="宋体" w:hAnsi="宋体" w:eastAsia="宋体"/>
                <w:szCs w:val="21"/>
                <w:lang w:val="en-GB"/>
              </w:rPr>
              <w:t>系统无法提供有效服务会对国家安全、社会秩序、经济建设、公共利益不会产生影响；或系统所提供服务的重要性很低，无法提供服务不会对业务的正常运营产生影响；或系统无法提供有效服务不会对用户和地区造成影响。系统仅用于测试类的业务系统，未在生产环境上部署。</w:t>
            </w:r>
          </w:p>
        </w:tc>
      </w:tr>
    </w:tbl>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违约责任</w:t>
      </w:r>
    </w:p>
    <w:p>
      <w:pPr>
        <w:numPr>
          <w:ilvl w:val="0"/>
          <w:numId w:val="27"/>
        </w:numPr>
        <w:spacing w:line="360" w:lineRule="auto"/>
        <w:ind w:firstLine="420" w:firstLineChars="200"/>
        <w:jc w:val="left"/>
        <w:rPr>
          <w:rFonts w:ascii="宋体" w:hAnsi="宋体" w:eastAsia="宋体"/>
          <w:szCs w:val="21"/>
        </w:rPr>
      </w:pPr>
      <w:r>
        <w:rPr>
          <w:rFonts w:ascii="宋体" w:hAnsi="宋体" w:eastAsia="宋体" w:cs="Times New Roman"/>
          <w:szCs w:val="21"/>
        </w:rPr>
        <w:t>合同签订后</w:t>
      </w:r>
      <w:r>
        <w:rPr>
          <w:rFonts w:ascii="宋体" w:hAnsi="宋体" w:eastAsia="宋体" w:cs="Times New Roman"/>
          <w:szCs w:val="21"/>
          <w:u w:val="single"/>
        </w:rPr>
        <w:t>10</w:t>
      </w:r>
      <w:r>
        <w:rPr>
          <w:rFonts w:ascii="宋体" w:hAnsi="宋体" w:eastAsia="宋体" w:cs="Times New Roman"/>
          <w:szCs w:val="21"/>
        </w:rPr>
        <w:t>个工作日内，</w:t>
      </w:r>
      <w:r>
        <w:rPr>
          <w:rFonts w:hint="eastAsia" w:ascii="宋体" w:hAnsi="宋体" w:eastAsia="宋体" w:cs="Times New Roman"/>
          <w:szCs w:val="21"/>
        </w:rPr>
        <w:t>成交供应商</w:t>
      </w:r>
      <w:r>
        <w:rPr>
          <w:rFonts w:ascii="宋体" w:hAnsi="宋体" w:eastAsia="宋体" w:cs="Times New Roman"/>
          <w:szCs w:val="21"/>
        </w:rPr>
        <w:t>须向</w:t>
      </w:r>
      <w:r>
        <w:rPr>
          <w:rFonts w:hint="eastAsia" w:ascii="宋体" w:hAnsi="宋体" w:eastAsia="宋体" w:cs="Times New Roman"/>
          <w:szCs w:val="21"/>
        </w:rPr>
        <w:t>采购人</w:t>
      </w:r>
      <w:r>
        <w:rPr>
          <w:rFonts w:ascii="宋体" w:hAnsi="宋体" w:eastAsia="宋体" w:cs="Times New Roman"/>
          <w:szCs w:val="21"/>
        </w:rPr>
        <w:t>支付合同金额</w:t>
      </w:r>
      <w:r>
        <w:rPr>
          <w:rFonts w:hint="eastAsia" w:ascii="宋体" w:hAnsi="宋体" w:eastAsia="宋体" w:cs="Times New Roman"/>
          <w:szCs w:val="21"/>
        </w:rPr>
        <w:t>5</w:t>
      </w:r>
      <w:r>
        <w:rPr>
          <w:rFonts w:ascii="宋体" w:hAnsi="宋体" w:eastAsia="宋体" w:cs="Times New Roman"/>
          <w:szCs w:val="21"/>
          <w:u w:val="single"/>
        </w:rPr>
        <w:t>%</w:t>
      </w:r>
      <w:r>
        <w:rPr>
          <w:rFonts w:ascii="宋体" w:hAnsi="宋体" w:eastAsia="宋体" w:cs="Times New Roman"/>
          <w:szCs w:val="21"/>
        </w:rPr>
        <w:t>履约保证金。在</w:t>
      </w:r>
      <w:r>
        <w:rPr>
          <w:rFonts w:hint="eastAsia" w:ascii="宋体" w:hAnsi="宋体" w:eastAsia="宋体" w:cs="Times New Roman"/>
          <w:szCs w:val="21"/>
        </w:rPr>
        <w:t>成交供应商</w:t>
      </w:r>
      <w:r>
        <w:rPr>
          <w:rFonts w:ascii="宋体" w:hAnsi="宋体" w:eastAsia="宋体" w:cs="Times New Roman"/>
          <w:szCs w:val="21"/>
        </w:rPr>
        <w:t>完成合同义务</w:t>
      </w:r>
      <w:r>
        <w:rPr>
          <w:rFonts w:hint="eastAsia" w:ascii="宋体" w:hAnsi="宋体" w:eastAsia="宋体" w:cs="Times New Roman"/>
          <w:szCs w:val="21"/>
        </w:rPr>
        <w:t>2</w:t>
      </w:r>
      <w:r>
        <w:rPr>
          <w:rFonts w:ascii="宋体" w:hAnsi="宋体" w:eastAsia="宋体" w:cs="Times New Roman"/>
          <w:szCs w:val="21"/>
          <w:u w:val="single"/>
        </w:rPr>
        <w:t>0个工作日</w:t>
      </w:r>
      <w:r>
        <w:rPr>
          <w:rFonts w:ascii="宋体" w:hAnsi="宋体" w:eastAsia="宋体" w:cs="Times New Roman"/>
          <w:szCs w:val="21"/>
        </w:rPr>
        <w:t>内，</w:t>
      </w:r>
      <w:r>
        <w:rPr>
          <w:rFonts w:hint="eastAsia" w:ascii="宋体" w:hAnsi="宋体" w:eastAsia="宋体" w:cs="Times New Roman"/>
          <w:szCs w:val="21"/>
        </w:rPr>
        <w:t>采购人</w:t>
      </w:r>
      <w:r>
        <w:rPr>
          <w:rFonts w:ascii="宋体" w:hAnsi="宋体" w:eastAsia="宋体" w:cs="Times New Roman"/>
          <w:szCs w:val="21"/>
        </w:rPr>
        <w:t>一次性无息退还履约保证金。如</w:t>
      </w:r>
      <w:r>
        <w:rPr>
          <w:rFonts w:hint="eastAsia" w:ascii="宋体" w:hAnsi="宋体" w:eastAsia="宋体" w:cs="Times New Roman"/>
          <w:szCs w:val="21"/>
        </w:rPr>
        <w:t>成交供应商</w:t>
      </w:r>
      <w:r>
        <w:rPr>
          <w:rFonts w:ascii="宋体" w:hAnsi="宋体" w:eastAsia="宋体" w:cs="Times New Roman"/>
          <w:szCs w:val="21"/>
        </w:rPr>
        <w:t>逾期未足额缴纳履约保证金的，</w:t>
      </w:r>
      <w:r>
        <w:rPr>
          <w:rFonts w:hint="eastAsia" w:ascii="宋体" w:hAnsi="宋体" w:eastAsia="宋体" w:cs="Times New Roman"/>
          <w:szCs w:val="21"/>
        </w:rPr>
        <w:t>采购人</w:t>
      </w:r>
      <w:r>
        <w:rPr>
          <w:rFonts w:ascii="宋体" w:hAnsi="宋体" w:eastAsia="宋体" w:cs="Times New Roman"/>
          <w:szCs w:val="21"/>
        </w:rPr>
        <w:t>有权立即单方解除本项目合同</w:t>
      </w:r>
      <w:r>
        <w:rPr>
          <w:rFonts w:hint="eastAsia" w:ascii="宋体" w:hAnsi="宋体" w:eastAsia="宋体" w:cs="Times New Roman"/>
          <w:szCs w:val="21"/>
        </w:rPr>
        <w:t>。</w:t>
      </w:r>
    </w:p>
    <w:p>
      <w:pPr>
        <w:numPr>
          <w:ilvl w:val="0"/>
          <w:numId w:val="27"/>
        </w:numPr>
        <w:spacing w:line="360" w:lineRule="auto"/>
        <w:ind w:firstLine="420" w:firstLineChars="200"/>
        <w:jc w:val="left"/>
        <w:rPr>
          <w:rFonts w:ascii="宋体" w:hAnsi="宋体" w:eastAsia="宋体"/>
          <w:szCs w:val="21"/>
        </w:rPr>
      </w:pPr>
      <w:r>
        <w:rPr>
          <w:rFonts w:hint="eastAsia" w:ascii="宋体" w:hAnsi="宋体" w:eastAsia="宋体" w:cs="Times New Roman"/>
          <w:szCs w:val="21"/>
        </w:rPr>
        <w:t>如服务期间因考核不合格，则按考核要求在履约保证金中扣罚对应金额。</w:t>
      </w:r>
    </w:p>
    <w:p>
      <w:pPr>
        <w:numPr>
          <w:ilvl w:val="0"/>
          <w:numId w:val="27"/>
        </w:numPr>
        <w:spacing w:line="360" w:lineRule="auto"/>
        <w:ind w:firstLine="420" w:firstLineChars="200"/>
        <w:jc w:val="left"/>
        <w:rPr>
          <w:rFonts w:ascii="宋体" w:hAnsi="宋体" w:eastAsia="宋体"/>
          <w:szCs w:val="21"/>
        </w:rPr>
      </w:pPr>
      <w:r>
        <w:rPr>
          <w:rFonts w:ascii="宋体" w:hAnsi="宋体" w:eastAsia="宋体" w:cs="Times New Roman"/>
          <w:szCs w:val="21"/>
        </w:rPr>
        <w:t>经</w:t>
      </w:r>
      <w:r>
        <w:rPr>
          <w:rFonts w:ascii="宋体" w:hAnsi="宋体" w:eastAsia="宋体" w:cs="Times New Roman"/>
          <w:szCs w:val="21"/>
          <w:u w:val="single"/>
        </w:rPr>
        <w:t xml:space="preserve"> 3 </w:t>
      </w:r>
      <w:r>
        <w:rPr>
          <w:rFonts w:ascii="宋体" w:hAnsi="宋体" w:eastAsia="宋体" w:cs="Times New Roman"/>
          <w:szCs w:val="21"/>
        </w:rPr>
        <w:t>次</w:t>
      </w:r>
      <w:r>
        <w:rPr>
          <w:rFonts w:hint="eastAsia" w:ascii="宋体" w:hAnsi="宋体" w:eastAsia="宋体" w:cs="Times New Roman"/>
          <w:szCs w:val="21"/>
        </w:rPr>
        <w:t>考核</w:t>
      </w:r>
      <w:r>
        <w:rPr>
          <w:rFonts w:ascii="宋体" w:hAnsi="宋体" w:eastAsia="宋体" w:cs="Times New Roman"/>
          <w:szCs w:val="21"/>
        </w:rPr>
        <w:t>不合格</w:t>
      </w:r>
      <w:r>
        <w:rPr>
          <w:rFonts w:hint="eastAsia" w:ascii="宋体" w:hAnsi="宋体" w:eastAsia="宋体" w:cs="Times New Roman"/>
          <w:szCs w:val="21"/>
        </w:rPr>
        <w:t>进行扣罚履约保证金</w:t>
      </w:r>
      <w:r>
        <w:rPr>
          <w:rFonts w:ascii="宋体" w:hAnsi="宋体" w:eastAsia="宋体" w:cs="Times New Roman"/>
          <w:szCs w:val="21"/>
        </w:rPr>
        <w:t>的，</w:t>
      </w:r>
      <w:r>
        <w:rPr>
          <w:rFonts w:hint="eastAsia" w:ascii="宋体" w:hAnsi="宋体" w:eastAsia="宋体" w:cs="Times New Roman"/>
          <w:szCs w:val="21"/>
        </w:rPr>
        <w:t>视为成交供应商违约，采购人</w:t>
      </w:r>
      <w:r>
        <w:rPr>
          <w:rFonts w:ascii="宋体" w:hAnsi="宋体" w:eastAsia="宋体" w:cs="Times New Roman"/>
          <w:szCs w:val="21"/>
        </w:rPr>
        <w:t>有权单方面解除合同。如因此给</w:t>
      </w:r>
      <w:r>
        <w:rPr>
          <w:rFonts w:hint="eastAsia" w:ascii="宋体" w:hAnsi="宋体" w:eastAsia="宋体" w:cs="Times New Roman"/>
          <w:szCs w:val="21"/>
        </w:rPr>
        <w:t>采购人</w:t>
      </w:r>
      <w:r>
        <w:rPr>
          <w:rFonts w:ascii="宋体" w:hAnsi="宋体" w:eastAsia="宋体" w:cs="Times New Roman"/>
          <w:szCs w:val="21"/>
        </w:rPr>
        <w:t>造成损失的，</w:t>
      </w:r>
      <w:r>
        <w:rPr>
          <w:rFonts w:hint="eastAsia" w:ascii="宋体" w:hAnsi="宋体" w:eastAsia="宋体" w:cs="Times New Roman"/>
          <w:szCs w:val="21"/>
        </w:rPr>
        <w:t>采购人</w:t>
      </w:r>
      <w:r>
        <w:rPr>
          <w:rFonts w:ascii="宋体" w:hAnsi="宋体" w:eastAsia="宋体" w:cs="Times New Roman"/>
          <w:szCs w:val="21"/>
        </w:rPr>
        <w:t>有权向</w:t>
      </w:r>
      <w:r>
        <w:rPr>
          <w:rFonts w:hint="eastAsia" w:ascii="宋体" w:hAnsi="宋体" w:eastAsia="宋体" w:cs="Times New Roman"/>
          <w:szCs w:val="21"/>
        </w:rPr>
        <w:t>成交供应商</w:t>
      </w:r>
      <w:r>
        <w:rPr>
          <w:rFonts w:ascii="宋体" w:hAnsi="宋体" w:eastAsia="宋体" w:cs="Times New Roman"/>
          <w:szCs w:val="21"/>
        </w:rPr>
        <w:t>提出索赔。</w:t>
      </w:r>
    </w:p>
    <w:p>
      <w:pPr>
        <w:pStyle w:val="106"/>
        <w:spacing w:line="360" w:lineRule="auto"/>
        <w:ind w:firstLine="420" w:firstLineChars="200"/>
        <w:rPr>
          <w:rFonts w:hAnsi="宋体"/>
          <w:kern w:val="2"/>
          <w:szCs w:val="21"/>
        </w:rPr>
      </w:pPr>
      <w:r>
        <w:rPr>
          <w:rFonts w:hint="eastAsia" w:hAnsi="宋体"/>
          <w:szCs w:val="21"/>
        </w:rPr>
        <w:t>4.</w:t>
      </w:r>
      <w:r>
        <w:rPr>
          <w:rFonts w:hint="eastAsia" w:hAnsi="宋体"/>
          <w:kern w:val="2"/>
          <w:szCs w:val="21"/>
        </w:rPr>
        <w:t>如成交供应商未达到考核要求， 或成交供应商存在逾期或拒绝提供合同服务等行为， 均视为成交供应商违约， 采购人有权单方解除本项目合同， 并要求成交供应商返还采购人已支付但未发生的合同款项。 如因此造成采购人其他损失的，采购人有权向成交供应商提出索赔。</w:t>
      </w:r>
    </w:p>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 xml:space="preserve">验收标准 </w:t>
      </w:r>
    </w:p>
    <w:p>
      <w:pPr>
        <w:spacing w:line="360" w:lineRule="auto"/>
        <w:ind w:firstLine="420" w:firstLineChars="200"/>
        <w:jc w:val="left"/>
        <w:rPr>
          <w:rFonts w:ascii="宋体" w:hAnsi="宋体" w:eastAsia="宋体"/>
          <w:szCs w:val="21"/>
        </w:rPr>
      </w:pPr>
      <w:r>
        <w:rPr>
          <w:rFonts w:ascii="宋体" w:hAnsi="宋体" w:eastAsia="宋体" w:cs="Times New Roman"/>
          <w:szCs w:val="21"/>
        </w:rPr>
        <w:t>（1）对运维服务质量、时效等进行</w:t>
      </w:r>
      <w:r>
        <w:rPr>
          <w:rFonts w:ascii="宋体" w:hAnsi="宋体" w:eastAsia="宋体" w:cs="Times New Roman"/>
          <w:szCs w:val="21"/>
          <w:u w:val="single"/>
        </w:rPr>
        <w:t>每月考核</w:t>
      </w:r>
      <w:r>
        <w:rPr>
          <w:rFonts w:ascii="宋体" w:hAnsi="宋体" w:eastAsia="宋体" w:cs="Times New Roman"/>
          <w:szCs w:val="21"/>
        </w:rPr>
        <w:t>并形成文档，作为最终验收依据；</w:t>
      </w:r>
    </w:p>
    <w:p>
      <w:pPr>
        <w:spacing w:line="360" w:lineRule="auto"/>
        <w:ind w:firstLine="420" w:firstLineChars="200"/>
        <w:jc w:val="left"/>
        <w:rPr>
          <w:rFonts w:ascii="宋体" w:hAnsi="宋体" w:eastAsia="宋体"/>
          <w:szCs w:val="21"/>
        </w:rPr>
      </w:pPr>
      <w:r>
        <w:rPr>
          <w:rFonts w:ascii="宋体" w:hAnsi="宋体" w:eastAsia="宋体" w:cs="Times New Roman"/>
          <w:szCs w:val="21"/>
        </w:rPr>
        <w:t>（2）对服务团队每日进行考勤并形成文档，出勤率</w:t>
      </w:r>
      <w:r>
        <w:rPr>
          <w:rFonts w:hint="eastAsia" w:ascii="宋体" w:hAnsi="宋体" w:eastAsia="宋体" w:cs="Times New Roman"/>
          <w:szCs w:val="21"/>
        </w:rPr>
        <w:t>（每周6天</w:t>
      </w:r>
      <w:r>
        <w:rPr>
          <w:rFonts w:ascii="宋体" w:hAnsi="宋体" w:eastAsia="宋体" w:cs="Times New Roman"/>
          <w:szCs w:val="21"/>
          <w:u w:val="single"/>
        </w:rPr>
        <w:t>8:</w:t>
      </w:r>
      <w:r>
        <w:rPr>
          <w:rFonts w:hint="eastAsia" w:ascii="宋体" w:hAnsi="宋体" w:eastAsia="宋体" w:cs="Times New Roman"/>
          <w:szCs w:val="21"/>
          <w:u w:val="single"/>
        </w:rPr>
        <w:t>3</w:t>
      </w:r>
      <w:r>
        <w:rPr>
          <w:rFonts w:ascii="宋体" w:hAnsi="宋体" w:eastAsia="宋体" w:cs="Times New Roman"/>
          <w:szCs w:val="21"/>
          <w:u w:val="single"/>
        </w:rPr>
        <w:t>0-18:00</w:t>
      </w:r>
      <w:r>
        <w:rPr>
          <w:rFonts w:hint="eastAsia" w:ascii="宋体" w:hAnsi="宋体" w:eastAsia="宋体" w:cs="Times New Roman"/>
          <w:szCs w:val="21"/>
        </w:rPr>
        <w:t>）</w:t>
      </w:r>
      <w:r>
        <w:rPr>
          <w:rFonts w:ascii="宋体" w:hAnsi="宋体" w:eastAsia="宋体" w:cs="Times New Roman"/>
          <w:szCs w:val="21"/>
        </w:rPr>
        <w:t>作为最终验收依据；</w:t>
      </w:r>
    </w:p>
    <w:p>
      <w:pPr>
        <w:spacing w:line="360" w:lineRule="auto"/>
        <w:ind w:firstLine="420" w:firstLineChars="200"/>
        <w:jc w:val="left"/>
        <w:rPr>
          <w:rFonts w:ascii="宋体" w:hAnsi="宋体" w:eastAsia="宋体"/>
          <w:szCs w:val="21"/>
        </w:rPr>
      </w:pPr>
      <w:r>
        <w:rPr>
          <w:rFonts w:ascii="宋体" w:hAnsi="宋体" w:eastAsia="宋体" w:cs="Times New Roman"/>
          <w:szCs w:val="21"/>
        </w:rPr>
        <w:t>（3）服务终止前，</w:t>
      </w:r>
      <w:r>
        <w:rPr>
          <w:rFonts w:hint="eastAsia" w:ascii="宋体" w:hAnsi="宋体" w:eastAsia="宋体" w:cs="Times New Roman"/>
          <w:szCs w:val="21"/>
        </w:rPr>
        <w:t>成交</w:t>
      </w:r>
      <w:r>
        <w:rPr>
          <w:rFonts w:ascii="宋体" w:hAnsi="宋体" w:eastAsia="宋体" w:cs="Times New Roman"/>
          <w:szCs w:val="21"/>
        </w:rPr>
        <w:t>供应商应提交书面总结，</w:t>
      </w:r>
      <w:r>
        <w:rPr>
          <w:rFonts w:hint="eastAsia" w:ascii="宋体" w:hAnsi="宋体" w:eastAsia="宋体" w:cs="Times New Roman"/>
          <w:szCs w:val="21"/>
        </w:rPr>
        <w:t>采购人</w:t>
      </w:r>
      <w:r>
        <w:rPr>
          <w:rFonts w:ascii="宋体" w:hAnsi="宋体" w:eastAsia="宋体" w:cs="Times New Roman"/>
          <w:szCs w:val="21"/>
        </w:rPr>
        <w:t>参照运维服务各方面的要求进行考核。</w:t>
      </w:r>
    </w:p>
    <w:p>
      <w:pPr>
        <w:spacing w:line="360" w:lineRule="auto"/>
        <w:ind w:firstLine="420" w:firstLineChars="200"/>
        <w:jc w:val="left"/>
        <w:rPr>
          <w:rFonts w:ascii="宋体" w:hAnsi="宋体" w:eastAsia="宋体"/>
          <w:szCs w:val="21"/>
        </w:rPr>
      </w:pPr>
      <w:r>
        <w:rPr>
          <w:rFonts w:ascii="宋体" w:hAnsi="宋体" w:eastAsia="宋体" w:cs="Times New Roman"/>
          <w:szCs w:val="21"/>
        </w:rPr>
        <w:t>（4）提供包括肇庆监狱项目相关验收管理办法所要求的全部文档。</w:t>
      </w:r>
    </w:p>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Ansi="宋体" w:cs="宋体"/>
          <w:b/>
          <w:bCs/>
          <w:color w:val="000000" w:themeColor="text1"/>
          <w:sz w:val="21"/>
          <w14:textFill>
            <w14:solidFill>
              <w14:schemeClr w14:val="tx1"/>
            </w14:solidFill>
          </w14:textFill>
        </w:rPr>
        <w:t>其他要求</w:t>
      </w:r>
    </w:p>
    <w:p>
      <w:pPr>
        <w:rPr>
          <w:b/>
        </w:rPr>
      </w:pPr>
      <w:r>
        <w:rPr>
          <w:b/>
        </w:rPr>
        <w:t>标准规范要求</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1.《广东省“数字政府”建设总体规划（2018-2020年）》（粤府〔2018〕105号）</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以“管运分离”为原则，推行政企深度合作，发挥专业的运维团队技术优势，建立统一的运维标准体系和运维管理系统，为政府已建、在建、拟建的信息化系统长期、稳定、高效运行保驾护航。</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2.《广东省“数字政府”建设总体规划（2018-2020年）实施方案》（粤府办〔2018〕48号）</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3.《广东“数字政府”改革建设方案》（粤府〔2017〕133号）</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4.《关于进一步加强政务部门信息共享建设管理的指导意见》（发改高技〔2013〕733号）</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5. 广东省人民政府办公厅关于印发广东省省级政务信息化项目管理办法的通知（粤府办〔2020〕9号）</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省各有关单位负责</w:t>
      </w:r>
      <w:r>
        <w:rPr>
          <w:rFonts w:hint="eastAsia" w:ascii="宋体" w:hAnsi="宋体" w:eastAsia="宋体"/>
          <w:szCs w:val="21"/>
          <w:lang w:val="en-GB"/>
        </w:rPr>
        <w:t>本单位</w:t>
      </w:r>
      <w:r>
        <w:rPr>
          <w:rFonts w:ascii="宋体" w:hAnsi="宋体" w:eastAsia="宋体"/>
          <w:szCs w:val="21"/>
          <w:lang w:val="en-GB"/>
        </w:rPr>
        <w:t>职责范围内专业类项目（包括专业基础设施服务、专业软件开发服务及相关运行维护服务、系统业务运营服务和第三方服务等项目） 的需求提出、方案编制、预算编报、采购实施、监督执行、组织验收等；负责提出</w:t>
      </w:r>
      <w:r>
        <w:rPr>
          <w:rFonts w:hint="eastAsia" w:ascii="宋体" w:hAnsi="宋体" w:eastAsia="宋体"/>
          <w:szCs w:val="21"/>
          <w:lang w:val="en-GB"/>
        </w:rPr>
        <w:t>本单位</w:t>
      </w:r>
      <w:r>
        <w:rPr>
          <w:rFonts w:ascii="宋体" w:hAnsi="宋体" w:eastAsia="宋体"/>
          <w:szCs w:val="21"/>
          <w:lang w:val="en-GB"/>
        </w:rPr>
        <w:t>对公共基础设施服务的需求。</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第十三条　运行维护服务、第三方服务以及政府采购限额以下的基础设施服务、软件开发服务和系统业务运营服务项目，可采取备案制管理。</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第十七条　基础设施服务、软件开发服务、运行维护服务和公共类系统业务运营服务项目由省政务服务数据管理局牵头联合省各有关单位确定具体采购需求，按照政府采购有关规定组织实施采购，采购结果确定后，分别签订合同。成交供应商承担数字政府建设运营中心的职责，统一提供服务。</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第十八条　第三方服务和专业类系统业务运营服务项目，以及经省政务服务数据管理局确认、属于中央和国家机关部委有特殊要求的或数字政府建设运营中心难以统一集中提供服务的项目，由省各有关单位按政府采购有关规定开展采购。</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6.《广东省政务服务数据管理局关于印发省级政务信息化服务项目立项审批细则的通知》（粤政数〔2020〕12号）</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7. 广东省人民政府办公厅关于做好省政府各部门政务信息系统接管及迁移上云工作的通知</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8. 广东省省级政务信息化服务预算编制标准（运维服务分册）</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9. 司法部关于进一步加强司法行政信息化建设的意见（司发通〔2016〕137号）</w:t>
      </w:r>
    </w:p>
    <w:p>
      <w:pPr>
        <w:spacing w:line="360" w:lineRule="auto"/>
        <w:ind w:firstLine="420" w:firstLineChars="200"/>
        <w:jc w:val="left"/>
        <w:rPr>
          <w:rFonts w:ascii="宋体" w:hAnsi="宋体" w:eastAsia="宋体"/>
          <w:szCs w:val="21"/>
          <w:lang w:val="en-GB"/>
        </w:rPr>
      </w:pPr>
      <w:r>
        <w:rPr>
          <w:rFonts w:ascii="宋体" w:hAnsi="宋体" w:eastAsia="宋体"/>
          <w:szCs w:val="21"/>
          <w:lang w:val="en-GB"/>
        </w:rPr>
        <w:t>要积极协调有关部门，修改完善“司法支出”预算科目，按照不低于信息化软件和硬件资产10%的标准，把信息化运维经费纳入财政预算和经费保障范围。</w:t>
      </w:r>
    </w:p>
    <w:p>
      <w:pPr>
        <w:numPr>
          <w:ilvl w:val="255"/>
          <w:numId w:val="0"/>
        </w:numPr>
        <w:spacing w:line="360" w:lineRule="auto"/>
        <w:ind w:firstLine="420" w:firstLineChars="200"/>
        <w:jc w:val="left"/>
        <w:rPr>
          <w:rFonts w:ascii="宋体" w:hAnsi="宋体" w:eastAsia="宋体"/>
          <w:szCs w:val="21"/>
        </w:rPr>
      </w:pPr>
      <w:r>
        <w:rPr>
          <w:rFonts w:hint="eastAsia" w:ascii="宋体" w:hAnsi="宋体" w:eastAsia="宋体"/>
          <w:szCs w:val="21"/>
        </w:rPr>
        <w:t>10.</w:t>
      </w:r>
      <w:r>
        <w:rPr>
          <w:rFonts w:ascii="宋体" w:hAnsi="宋体" w:eastAsia="宋体"/>
          <w:szCs w:val="21"/>
          <w:lang w:val="en-GB"/>
        </w:rPr>
        <w:t>《广东省监狱管理局运维管理制度》（2020）</w:t>
      </w:r>
    </w:p>
    <w:p>
      <w:pPr>
        <w:numPr>
          <w:ilvl w:val="255"/>
          <w:numId w:val="0"/>
        </w:numPr>
        <w:spacing w:line="360" w:lineRule="auto"/>
        <w:ind w:firstLine="420" w:firstLineChars="200"/>
        <w:jc w:val="left"/>
        <w:rPr>
          <w:rFonts w:ascii="宋体" w:hAnsi="宋体" w:eastAsia="宋体"/>
          <w:szCs w:val="21"/>
        </w:rPr>
      </w:pPr>
      <w:r>
        <w:rPr>
          <w:rFonts w:hint="eastAsia" w:ascii="宋体" w:hAnsi="宋体" w:eastAsia="宋体" w:cs="Times New Roman"/>
          <w:szCs w:val="21"/>
        </w:rPr>
        <w:t>11.</w:t>
      </w:r>
      <w:r>
        <w:rPr>
          <w:rFonts w:ascii="宋体" w:hAnsi="宋体" w:eastAsia="宋体" w:cs="Times New Roman"/>
          <w:szCs w:val="21"/>
        </w:rPr>
        <w:t>SF/T0028—2018《智慧监狱技术规范》。</w:t>
      </w:r>
    </w:p>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Ansi="宋体" w:cs="宋体"/>
          <w:b/>
          <w:bCs/>
          <w:color w:val="000000" w:themeColor="text1"/>
          <w:sz w:val="21"/>
          <w14:textFill>
            <w14:solidFill>
              <w14:schemeClr w14:val="tx1"/>
            </w14:solidFill>
          </w14:textFill>
        </w:rPr>
        <w:t>服务响应要求</w:t>
      </w:r>
    </w:p>
    <w:p>
      <w:pPr>
        <w:spacing w:line="360" w:lineRule="auto"/>
        <w:ind w:firstLine="420" w:firstLineChars="200"/>
        <w:jc w:val="left"/>
        <w:rPr>
          <w:rFonts w:ascii="宋体" w:hAnsi="宋体" w:eastAsia="宋体"/>
          <w:szCs w:val="21"/>
        </w:rPr>
      </w:pPr>
      <w:r>
        <w:rPr>
          <w:rFonts w:ascii="宋体" w:hAnsi="宋体" w:eastAsia="宋体" w:cs="Times New Roman"/>
          <w:szCs w:val="21"/>
        </w:rPr>
        <w:t>每天（含周末、节假日）</w:t>
      </w:r>
      <w:r>
        <w:rPr>
          <w:rFonts w:ascii="宋体" w:hAnsi="宋体" w:eastAsia="宋体" w:cs="Times New Roman"/>
          <w:szCs w:val="21"/>
          <w:u w:val="single"/>
        </w:rPr>
        <w:t>8:</w:t>
      </w:r>
      <w:r>
        <w:rPr>
          <w:rFonts w:hint="eastAsia" w:ascii="宋体" w:hAnsi="宋体" w:eastAsia="宋体" w:cs="Times New Roman"/>
          <w:szCs w:val="21"/>
          <w:u w:val="single"/>
        </w:rPr>
        <w:t>3</w:t>
      </w:r>
      <w:r>
        <w:rPr>
          <w:rFonts w:ascii="宋体" w:hAnsi="宋体" w:eastAsia="宋体" w:cs="Times New Roman"/>
          <w:szCs w:val="21"/>
          <w:u w:val="single"/>
        </w:rPr>
        <w:t>0-18:00</w:t>
      </w:r>
      <w:r>
        <w:rPr>
          <w:rFonts w:ascii="宋体" w:hAnsi="宋体" w:eastAsia="宋体" w:cs="Times New Roman"/>
          <w:szCs w:val="21"/>
        </w:rPr>
        <w:t>运维人员在</w:t>
      </w:r>
      <w:r>
        <w:rPr>
          <w:rFonts w:hint="eastAsia" w:ascii="宋体" w:hAnsi="宋体" w:eastAsia="宋体" w:cs="Times New Roman"/>
          <w:szCs w:val="21"/>
        </w:rPr>
        <w:t>采购人</w:t>
      </w:r>
      <w:r>
        <w:rPr>
          <w:rFonts w:ascii="宋体" w:hAnsi="宋体" w:eastAsia="宋体" w:cs="Times New Roman"/>
          <w:szCs w:val="21"/>
        </w:rPr>
        <w:t>指定的地点待命，其他时间在接到故障报修的通知后，</w:t>
      </w:r>
      <w:r>
        <w:rPr>
          <w:rFonts w:hint="eastAsia" w:ascii="宋体" w:hAnsi="宋体" w:eastAsia="宋体" w:cs="Times New Roman"/>
          <w:szCs w:val="21"/>
          <w:u w:val="single"/>
        </w:rPr>
        <w:t>20</w:t>
      </w:r>
      <w:r>
        <w:rPr>
          <w:rFonts w:ascii="宋体" w:hAnsi="宋体" w:eastAsia="宋体" w:cs="Times New Roman"/>
          <w:szCs w:val="21"/>
          <w:u w:val="single"/>
        </w:rPr>
        <w:t>分钟内</w:t>
      </w:r>
      <w:r>
        <w:rPr>
          <w:rFonts w:ascii="宋体" w:hAnsi="宋体" w:eastAsia="宋体" w:cs="Times New Roman"/>
          <w:szCs w:val="21"/>
        </w:rPr>
        <w:t>到达现场进行处理，并提交故障处理的书面报告。硬件故障排除时间不超过</w:t>
      </w:r>
      <w:r>
        <w:rPr>
          <w:rFonts w:ascii="宋体" w:hAnsi="宋体" w:eastAsia="宋体" w:cs="Times New Roman"/>
          <w:szCs w:val="21"/>
          <w:u w:val="single"/>
        </w:rPr>
        <w:t>4</w:t>
      </w:r>
      <w:r>
        <w:rPr>
          <w:rFonts w:ascii="宋体" w:hAnsi="宋体" w:eastAsia="宋体" w:cs="Times New Roman"/>
          <w:szCs w:val="21"/>
        </w:rPr>
        <w:t>小时，配套软件故障排除时间不超过</w:t>
      </w:r>
      <w:r>
        <w:rPr>
          <w:rFonts w:ascii="宋体" w:hAnsi="宋体" w:eastAsia="宋体" w:cs="Times New Roman"/>
          <w:szCs w:val="21"/>
          <w:u w:val="single"/>
        </w:rPr>
        <w:t>24</w:t>
      </w:r>
      <w:r>
        <w:rPr>
          <w:rFonts w:ascii="宋体" w:hAnsi="宋体" w:eastAsia="宋体" w:cs="Times New Roman"/>
          <w:szCs w:val="21"/>
        </w:rPr>
        <w:t>小时。</w:t>
      </w:r>
    </w:p>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Ansi="宋体" w:cs="宋体"/>
          <w:b/>
          <w:bCs/>
          <w:color w:val="000000" w:themeColor="text1"/>
          <w:sz w:val="21"/>
          <w14:textFill>
            <w14:solidFill>
              <w14:schemeClr w14:val="tx1"/>
            </w14:solidFill>
          </w14:textFill>
        </w:rPr>
        <w:t>资产权属</w:t>
      </w:r>
    </w:p>
    <w:p>
      <w:pPr>
        <w:spacing w:line="360" w:lineRule="auto"/>
        <w:ind w:firstLine="420" w:firstLineChars="200"/>
        <w:jc w:val="left"/>
        <w:rPr>
          <w:rFonts w:ascii="宋体" w:hAnsi="宋体" w:eastAsia="宋体"/>
          <w:szCs w:val="21"/>
        </w:rPr>
      </w:pPr>
      <w:r>
        <w:rPr>
          <w:rFonts w:ascii="宋体" w:hAnsi="宋体" w:eastAsia="宋体" w:cs="Times New Roman"/>
          <w:szCs w:val="21"/>
        </w:rPr>
        <w:t>1.本项目不会引起任何已申请、登记的知识产权所有权的转移。</w:t>
      </w:r>
    </w:p>
    <w:p>
      <w:pPr>
        <w:spacing w:line="360" w:lineRule="auto"/>
        <w:ind w:firstLine="420" w:firstLineChars="200"/>
        <w:jc w:val="left"/>
        <w:rPr>
          <w:rFonts w:ascii="宋体" w:hAnsi="宋体" w:eastAsia="宋体"/>
          <w:szCs w:val="21"/>
        </w:rPr>
      </w:pPr>
      <w:r>
        <w:rPr>
          <w:rFonts w:ascii="宋体" w:hAnsi="宋体" w:eastAsia="宋体" w:cs="Times New Roman"/>
          <w:szCs w:val="21"/>
        </w:rPr>
        <w:t>2.</w:t>
      </w:r>
      <w:r>
        <w:rPr>
          <w:rFonts w:hint="eastAsia" w:ascii="宋体" w:hAnsi="宋体" w:eastAsia="宋体" w:cs="Times New Roman"/>
          <w:szCs w:val="21"/>
        </w:rPr>
        <w:t>成交</w:t>
      </w:r>
      <w:r>
        <w:rPr>
          <w:rFonts w:ascii="宋体" w:hAnsi="宋体" w:eastAsia="宋体" w:cs="Times New Roman"/>
          <w:szCs w:val="21"/>
        </w:rPr>
        <w:t>供应商为履行本项目合同义务所形成的服务成果的知识产权归</w:t>
      </w:r>
      <w:r>
        <w:rPr>
          <w:rFonts w:hint="eastAsia" w:ascii="宋体" w:hAnsi="宋体" w:eastAsia="宋体" w:cs="Times New Roman"/>
          <w:szCs w:val="21"/>
        </w:rPr>
        <w:t>采购人</w:t>
      </w:r>
      <w:r>
        <w:rPr>
          <w:rFonts w:ascii="宋体" w:hAnsi="宋体" w:eastAsia="宋体" w:cs="Times New Roman"/>
          <w:szCs w:val="21"/>
        </w:rPr>
        <w:t>所有。</w:t>
      </w:r>
    </w:p>
    <w:p>
      <w:pPr>
        <w:spacing w:line="360" w:lineRule="auto"/>
        <w:ind w:firstLine="420" w:firstLineChars="200"/>
        <w:jc w:val="left"/>
        <w:rPr>
          <w:rFonts w:ascii="宋体" w:hAnsi="宋体" w:eastAsia="宋体"/>
          <w:szCs w:val="21"/>
        </w:rPr>
      </w:pPr>
      <w:r>
        <w:rPr>
          <w:rFonts w:ascii="宋体" w:hAnsi="宋体" w:eastAsia="宋体" w:cs="Times New Roman"/>
          <w:szCs w:val="21"/>
        </w:rPr>
        <w:t>3.本项目所涉及的数据所有权归政府所有。</w:t>
      </w:r>
      <w:r>
        <w:rPr>
          <w:rFonts w:hint="eastAsia" w:ascii="宋体" w:hAnsi="宋体" w:eastAsia="宋体" w:cs="Times New Roman"/>
          <w:szCs w:val="21"/>
        </w:rPr>
        <w:t>成交</w:t>
      </w:r>
      <w:r>
        <w:rPr>
          <w:rFonts w:ascii="宋体" w:hAnsi="宋体" w:eastAsia="宋体" w:cs="Times New Roman"/>
          <w:szCs w:val="21"/>
        </w:rPr>
        <w:t>供应商只能用于履行本项目之义务。</w:t>
      </w:r>
    </w:p>
    <w:p>
      <w:pPr>
        <w:spacing w:line="360" w:lineRule="auto"/>
        <w:ind w:firstLine="420" w:firstLineChars="200"/>
        <w:jc w:val="left"/>
        <w:rPr>
          <w:rFonts w:ascii="宋体" w:hAnsi="宋体" w:eastAsia="宋体"/>
          <w:szCs w:val="21"/>
        </w:rPr>
      </w:pPr>
      <w:r>
        <w:rPr>
          <w:rFonts w:ascii="宋体" w:hAnsi="宋体" w:eastAsia="宋体" w:cs="Times New Roman"/>
          <w:szCs w:val="21"/>
        </w:rPr>
        <w:t>4.</w:t>
      </w:r>
      <w:r>
        <w:rPr>
          <w:rFonts w:hint="eastAsia" w:ascii="宋体" w:hAnsi="宋体" w:eastAsia="宋体" w:cs="Times New Roman"/>
          <w:szCs w:val="21"/>
        </w:rPr>
        <w:t>成交</w:t>
      </w:r>
      <w:r>
        <w:rPr>
          <w:rFonts w:ascii="宋体" w:hAnsi="宋体" w:eastAsia="宋体" w:cs="Times New Roman"/>
          <w:szCs w:val="21"/>
        </w:rPr>
        <w:t>供应商提供的相关软件应是自行开发的产品或具备合法、合规授权，满足知识产权、安全等保三级等方面的有关规定和要求。</w:t>
      </w:r>
    </w:p>
    <w:p>
      <w:pPr>
        <w:spacing w:line="360" w:lineRule="auto"/>
        <w:ind w:firstLine="420" w:firstLineChars="200"/>
        <w:jc w:val="left"/>
        <w:rPr>
          <w:rFonts w:ascii="宋体" w:hAnsi="宋体" w:eastAsia="宋体"/>
          <w:szCs w:val="21"/>
        </w:rPr>
      </w:pPr>
      <w:r>
        <w:rPr>
          <w:rFonts w:ascii="宋体" w:hAnsi="宋体" w:eastAsia="宋体" w:cs="Times New Roman"/>
          <w:szCs w:val="21"/>
        </w:rPr>
        <w:t>5.</w:t>
      </w:r>
      <w:r>
        <w:rPr>
          <w:rFonts w:hint="eastAsia" w:ascii="宋体" w:hAnsi="宋体" w:eastAsia="宋体" w:cs="Times New Roman"/>
          <w:szCs w:val="21"/>
        </w:rPr>
        <w:t>成交</w:t>
      </w:r>
      <w:r>
        <w:rPr>
          <w:rFonts w:ascii="宋体" w:hAnsi="宋体" w:eastAsia="宋体" w:cs="Times New Roman"/>
          <w:szCs w:val="21"/>
        </w:rPr>
        <w:t>供应商保证向</w:t>
      </w:r>
      <w:r>
        <w:rPr>
          <w:rFonts w:hint="eastAsia" w:ascii="宋体" w:hAnsi="宋体" w:eastAsia="宋体" w:cs="Times New Roman"/>
          <w:szCs w:val="21"/>
        </w:rPr>
        <w:t>采购人</w:t>
      </w:r>
      <w:r>
        <w:rPr>
          <w:rFonts w:ascii="宋体" w:hAnsi="宋体" w:eastAsia="宋体" w:cs="Times New Roman"/>
          <w:szCs w:val="21"/>
        </w:rPr>
        <w:t>提供的服务成果是其独立实施完成，不存在任何侵犯第三方专利权、商标权、著作权等合法权益。如因</w:t>
      </w:r>
      <w:r>
        <w:rPr>
          <w:rFonts w:hint="eastAsia" w:ascii="宋体" w:hAnsi="宋体" w:eastAsia="宋体" w:cs="Times New Roman"/>
          <w:szCs w:val="21"/>
        </w:rPr>
        <w:t>成交</w:t>
      </w:r>
      <w:r>
        <w:rPr>
          <w:rFonts w:ascii="宋体" w:hAnsi="宋体" w:eastAsia="宋体" w:cs="Times New Roman"/>
          <w:szCs w:val="21"/>
        </w:rPr>
        <w:t>供应商提供的服务成果侵犯任何第三方的合法权益，导致该第三方追究采购人责任的，</w:t>
      </w:r>
      <w:r>
        <w:rPr>
          <w:rFonts w:hint="eastAsia" w:ascii="宋体" w:hAnsi="宋体" w:eastAsia="宋体" w:cs="Times New Roman"/>
          <w:szCs w:val="21"/>
        </w:rPr>
        <w:t>成交</w:t>
      </w:r>
      <w:r>
        <w:rPr>
          <w:rFonts w:ascii="宋体" w:hAnsi="宋体" w:eastAsia="宋体" w:cs="Times New Roman"/>
          <w:szCs w:val="21"/>
        </w:rPr>
        <w:t>供应商应负责解决并赔偿因此给</w:t>
      </w:r>
      <w:r>
        <w:rPr>
          <w:rFonts w:hint="eastAsia" w:ascii="宋体" w:hAnsi="宋体" w:eastAsia="宋体" w:cs="Times New Roman"/>
          <w:szCs w:val="21"/>
        </w:rPr>
        <w:t>采购人</w:t>
      </w:r>
      <w:r>
        <w:rPr>
          <w:rFonts w:ascii="宋体" w:hAnsi="宋体" w:eastAsia="宋体" w:cs="Times New Roman"/>
          <w:szCs w:val="21"/>
        </w:rPr>
        <w:t>造成的全部损失。</w:t>
      </w:r>
    </w:p>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Ansi="宋体" w:cs="宋体"/>
          <w:b/>
          <w:bCs/>
          <w:color w:val="000000" w:themeColor="text1"/>
          <w:sz w:val="21"/>
          <w14:textFill>
            <w14:solidFill>
              <w14:schemeClr w14:val="tx1"/>
            </w14:solidFill>
          </w14:textFill>
        </w:rPr>
        <w:t>保密要求</w:t>
      </w:r>
    </w:p>
    <w:p>
      <w:pPr>
        <w:spacing w:line="360" w:lineRule="auto"/>
        <w:ind w:firstLine="420" w:firstLineChars="200"/>
        <w:jc w:val="left"/>
        <w:rPr>
          <w:rFonts w:ascii="宋体" w:hAnsi="宋体" w:eastAsia="宋体"/>
          <w:szCs w:val="21"/>
        </w:rPr>
      </w:pPr>
      <w:r>
        <w:rPr>
          <w:rFonts w:ascii="宋体" w:hAnsi="宋体" w:eastAsia="宋体" w:cs="Times New Roman"/>
          <w:szCs w:val="21"/>
        </w:rPr>
        <w:t>1.成交供应商应签订保密协议，对其因身份、职务、职业或技术关系而知悉的</w:t>
      </w:r>
      <w:r>
        <w:rPr>
          <w:rFonts w:hint="eastAsia" w:ascii="宋体" w:hAnsi="宋体" w:eastAsia="宋体" w:cs="Times New Roman"/>
          <w:szCs w:val="21"/>
        </w:rPr>
        <w:t>采购人</w:t>
      </w:r>
      <w:r>
        <w:rPr>
          <w:rFonts w:ascii="宋体" w:hAnsi="宋体" w:eastAsia="宋体" w:cs="Times New Roman"/>
          <w:szCs w:val="21"/>
        </w:rPr>
        <w:t>商业秘密和党政机关保密信息应严格保守，保证不被披露或使用，包括意外或过失。</w:t>
      </w:r>
    </w:p>
    <w:p>
      <w:pPr>
        <w:spacing w:line="360" w:lineRule="auto"/>
        <w:ind w:firstLine="420" w:firstLineChars="200"/>
        <w:jc w:val="left"/>
        <w:rPr>
          <w:rFonts w:ascii="宋体" w:hAnsi="宋体" w:eastAsia="宋体"/>
          <w:szCs w:val="21"/>
        </w:rPr>
      </w:pPr>
      <w:r>
        <w:rPr>
          <w:rFonts w:ascii="宋体" w:hAnsi="宋体" w:eastAsia="宋体" w:cs="Times New Roman"/>
          <w:szCs w:val="21"/>
        </w:rPr>
        <w:t>2.成交供应商不得以竞争为目的、或出于私利、或为第三人谋利而擅自保存、披露、使用</w:t>
      </w:r>
      <w:r>
        <w:rPr>
          <w:rFonts w:hint="eastAsia" w:ascii="宋体" w:hAnsi="宋体" w:eastAsia="宋体" w:cs="Times New Roman"/>
          <w:szCs w:val="21"/>
        </w:rPr>
        <w:t>采购人</w:t>
      </w:r>
      <w:r>
        <w:rPr>
          <w:rFonts w:ascii="宋体" w:hAnsi="宋体" w:eastAsia="宋体" w:cs="Times New Roman"/>
          <w:szCs w:val="21"/>
        </w:rPr>
        <w:t>商业秘密和党政机关保密信息；不得直接或间接地向无关人员泄露</w:t>
      </w:r>
      <w:r>
        <w:rPr>
          <w:rFonts w:hint="eastAsia" w:ascii="宋体" w:hAnsi="宋体" w:eastAsia="宋体" w:cs="Times New Roman"/>
          <w:szCs w:val="21"/>
        </w:rPr>
        <w:t>采购人</w:t>
      </w:r>
      <w:r>
        <w:rPr>
          <w:rFonts w:ascii="宋体" w:hAnsi="宋体" w:eastAsia="宋体" w:cs="Times New Roman"/>
          <w:szCs w:val="21"/>
        </w:rPr>
        <w:t>的商业秘密和党政机关保密信息；不得向不承担保密义务的任何第三人披露</w:t>
      </w:r>
      <w:r>
        <w:rPr>
          <w:rFonts w:hint="eastAsia" w:ascii="宋体" w:hAnsi="宋体" w:eastAsia="宋体" w:cs="Times New Roman"/>
          <w:szCs w:val="21"/>
        </w:rPr>
        <w:t>采购人</w:t>
      </w:r>
      <w:r>
        <w:rPr>
          <w:rFonts w:ascii="宋体" w:hAnsi="宋体" w:eastAsia="宋体" w:cs="Times New Roman"/>
          <w:szCs w:val="21"/>
        </w:rPr>
        <w:t>的商业秘密和党政机关保密信息。成交供应商在从事政府项目时，不得擅自记录、复制、拍摄、摘抄、收藏在工作中涉及的保密信息，严禁将涉及政府项目的任何资料、数据透露或以其他方式提供给项目以外的其他方或成交供应商内部与该项目无关的任何人员。</w:t>
      </w:r>
    </w:p>
    <w:p>
      <w:pPr>
        <w:spacing w:line="360" w:lineRule="auto"/>
        <w:ind w:firstLine="420" w:firstLineChars="200"/>
        <w:jc w:val="left"/>
        <w:rPr>
          <w:rFonts w:ascii="宋体" w:hAnsi="宋体" w:eastAsia="宋体"/>
          <w:szCs w:val="21"/>
        </w:rPr>
      </w:pPr>
      <w:r>
        <w:rPr>
          <w:rFonts w:ascii="宋体" w:hAnsi="宋体" w:eastAsia="宋体" w:cs="Times New Roman"/>
          <w:szCs w:val="21"/>
        </w:rPr>
        <w:t>3.成交供应商对于工作期间知悉</w:t>
      </w:r>
      <w:r>
        <w:rPr>
          <w:rFonts w:hint="eastAsia" w:ascii="宋体" w:hAnsi="宋体" w:eastAsia="宋体" w:cs="Times New Roman"/>
          <w:szCs w:val="21"/>
        </w:rPr>
        <w:t>采购人</w:t>
      </w:r>
      <w:r>
        <w:rPr>
          <w:rFonts w:ascii="宋体" w:hAnsi="宋体" w:eastAsia="宋体" w:cs="Times New Roman"/>
          <w:szCs w:val="21"/>
        </w:rPr>
        <w:t>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w:t>
      </w:r>
    </w:p>
    <w:p>
      <w:pPr>
        <w:spacing w:line="360" w:lineRule="auto"/>
        <w:ind w:firstLine="420" w:firstLineChars="200"/>
        <w:jc w:val="left"/>
        <w:rPr>
          <w:rFonts w:ascii="宋体" w:hAnsi="宋体" w:eastAsia="宋体"/>
          <w:szCs w:val="21"/>
        </w:rPr>
      </w:pPr>
      <w:r>
        <w:rPr>
          <w:rFonts w:ascii="宋体" w:hAnsi="宋体" w:eastAsia="宋体" w:cs="Times New Roman"/>
          <w:szCs w:val="21"/>
        </w:rPr>
        <w:t>4.严禁泄露在工作中接触到的政府机关科技研究、发明、装备器材及其技术资料和政府工作信息。</w:t>
      </w:r>
    </w:p>
    <w:p>
      <w:pPr>
        <w:pStyle w:val="12"/>
        <w:numPr>
          <w:ilvl w:val="0"/>
          <w:numId w:val="15"/>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Ansi="宋体" w:cs="宋体"/>
          <w:b/>
          <w:bCs/>
          <w:color w:val="000000" w:themeColor="text1"/>
          <w:sz w:val="21"/>
          <w14:textFill>
            <w14:solidFill>
              <w14:schemeClr w14:val="tx1"/>
            </w14:solidFill>
          </w14:textFill>
        </w:rPr>
        <w:t>付款方式</w:t>
      </w:r>
    </w:p>
    <w:p>
      <w:pPr>
        <w:spacing w:line="360" w:lineRule="auto"/>
        <w:ind w:left="279" w:leftChars="133" w:firstLine="420" w:firstLineChars="200"/>
        <w:jc w:val="left"/>
        <w:rPr>
          <w:rFonts w:ascii="宋体" w:hAnsi="宋体" w:eastAsia="宋体"/>
          <w:szCs w:val="21"/>
        </w:rPr>
      </w:pPr>
      <w:r>
        <w:rPr>
          <w:rFonts w:hint="eastAsia" w:ascii="宋体" w:hAnsi="宋体" w:eastAsia="宋体" w:cs="Times New Roman"/>
          <w:szCs w:val="21"/>
        </w:rPr>
        <w:t>1.</w:t>
      </w:r>
      <w:r>
        <w:rPr>
          <w:rFonts w:ascii="宋体" w:hAnsi="宋体" w:eastAsia="宋体" w:cs="Times New Roman"/>
          <w:szCs w:val="21"/>
        </w:rPr>
        <w:t>合同签订后</w:t>
      </w:r>
      <w:r>
        <w:rPr>
          <w:rFonts w:ascii="宋体" w:hAnsi="宋体" w:eastAsia="宋体" w:cs="Times New Roman"/>
          <w:szCs w:val="21"/>
          <w:u w:val="single"/>
        </w:rPr>
        <w:t>10</w:t>
      </w:r>
      <w:r>
        <w:rPr>
          <w:rFonts w:ascii="宋体" w:hAnsi="宋体" w:eastAsia="宋体" w:cs="Times New Roman"/>
          <w:szCs w:val="21"/>
        </w:rPr>
        <w:t>个工作日内，</w:t>
      </w:r>
      <w:r>
        <w:rPr>
          <w:rFonts w:hint="eastAsia" w:ascii="宋体" w:hAnsi="宋体" w:eastAsia="宋体" w:cs="Times New Roman"/>
          <w:szCs w:val="21"/>
        </w:rPr>
        <w:t>成交供应商</w:t>
      </w:r>
      <w:r>
        <w:rPr>
          <w:rFonts w:ascii="宋体" w:hAnsi="宋体" w:eastAsia="宋体" w:cs="Times New Roman"/>
          <w:szCs w:val="21"/>
        </w:rPr>
        <w:t>须向</w:t>
      </w:r>
      <w:r>
        <w:rPr>
          <w:rFonts w:hint="eastAsia" w:ascii="宋体" w:hAnsi="宋体" w:eastAsia="宋体" w:cs="Times New Roman"/>
          <w:szCs w:val="21"/>
        </w:rPr>
        <w:t>采购人</w:t>
      </w:r>
      <w:r>
        <w:rPr>
          <w:rFonts w:ascii="宋体" w:hAnsi="宋体" w:eastAsia="宋体" w:cs="Times New Roman"/>
          <w:szCs w:val="21"/>
        </w:rPr>
        <w:t>支付合同金额</w:t>
      </w:r>
      <w:r>
        <w:rPr>
          <w:rFonts w:hint="eastAsia" w:ascii="宋体" w:hAnsi="宋体" w:eastAsia="宋体" w:cs="Times New Roman"/>
          <w:szCs w:val="21"/>
        </w:rPr>
        <w:t xml:space="preserve"> </w:t>
      </w:r>
      <w:r>
        <w:rPr>
          <w:rFonts w:hint="eastAsia" w:ascii="宋体" w:hAnsi="宋体" w:eastAsia="宋体" w:cs="Times New Roman"/>
          <w:szCs w:val="21"/>
          <w:u w:val="single"/>
        </w:rPr>
        <w:t>5</w:t>
      </w:r>
      <w:r>
        <w:rPr>
          <w:rFonts w:ascii="宋体" w:hAnsi="宋体" w:eastAsia="宋体" w:cs="Times New Roman"/>
          <w:szCs w:val="21"/>
          <w:u w:val="single"/>
        </w:rPr>
        <w:t>%</w:t>
      </w:r>
      <w:r>
        <w:rPr>
          <w:rFonts w:ascii="宋体" w:hAnsi="宋体" w:eastAsia="宋体" w:cs="Times New Roman"/>
          <w:szCs w:val="21"/>
        </w:rPr>
        <w:t>履约保证金。在</w:t>
      </w:r>
      <w:r>
        <w:rPr>
          <w:rFonts w:hint="eastAsia" w:ascii="宋体" w:hAnsi="宋体" w:eastAsia="宋体" w:cs="Times New Roman"/>
          <w:szCs w:val="21"/>
        </w:rPr>
        <w:t>成交供应商</w:t>
      </w:r>
      <w:r>
        <w:rPr>
          <w:rFonts w:ascii="宋体" w:hAnsi="宋体" w:eastAsia="宋体" w:cs="Times New Roman"/>
          <w:szCs w:val="21"/>
        </w:rPr>
        <w:t>完成合同义务</w:t>
      </w:r>
      <w:r>
        <w:rPr>
          <w:rFonts w:hint="eastAsia" w:ascii="宋体" w:hAnsi="宋体" w:eastAsia="宋体" w:cs="Times New Roman"/>
          <w:szCs w:val="21"/>
        </w:rPr>
        <w:t>2</w:t>
      </w:r>
      <w:r>
        <w:rPr>
          <w:rFonts w:ascii="宋体" w:hAnsi="宋体" w:eastAsia="宋体" w:cs="Times New Roman"/>
          <w:szCs w:val="21"/>
          <w:u w:val="single"/>
        </w:rPr>
        <w:t>0个工作日</w:t>
      </w:r>
      <w:r>
        <w:rPr>
          <w:rFonts w:ascii="宋体" w:hAnsi="宋体" w:eastAsia="宋体" w:cs="Times New Roman"/>
          <w:szCs w:val="21"/>
        </w:rPr>
        <w:t>内，</w:t>
      </w:r>
      <w:r>
        <w:rPr>
          <w:rFonts w:hint="eastAsia" w:ascii="宋体" w:hAnsi="宋体" w:eastAsia="宋体" w:cs="Times New Roman"/>
          <w:szCs w:val="21"/>
        </w:rPr>
        <w:t>采购人</w:t>
      </w:r>
      <w:r>
        <w:rPr>
          <w:rFonts w:ascii="宋体" w:hAnsi="宋体" w:eastAsia="宋体" w:cs="Times New Roman"/>
          <w:szCs w:val="21"/>
        </w:rPr>
        <w:t>一次性无息退还保证金。如</w:t>
      </w:r>
      <w:r>
        <w:rPr>
          <w:rFonts w:hint="eastAsia" w:ascii="宋体" w:hAnsi="宋体" w:eastAsia="宋体" w:cs="Times New Roman"/>
          <w:szCs w:val="21"/>
        </w:rPr>
        <w:t>成交供应商</w:t>
      </w:r>
      <w:r>
        <w:rPr>
          <w:rFonts w:ascii="宋体" w:hAnsi="宋体" w:eastAsia="宋体" w:cs="Times New Roman"/>
          <w:szCs w:val="21"/>
        </w:rPr>
        <w:t>逾期未足额缴纳履约保证金的，</w:t>
      </w:r>
      <w:r>
        <w:rPr>
          <w:rFonts w:hint="eastAsia" w:ascii="宋体" w:hAnsi="宋体" w:eastAsia="宋体" w:cs="Times New Roman"/>
          <w:szCs w:val="21"/>
        </w:rPr>
        <w:t>采购人</w:t>
      </w:r>
      <w:r>
        <w:rPr>
          <w:rFonts w:ascii="宋体" w:hAnsi="宋体" w:eastAsia="宋体" w:cs="Times New Roman"/>
          <w:szCs w:val="21"/>
        </w:rPr>
        <w:t>有权立即单方解除本项目合同</w:t>
      </w:r>
      <w:r>
        <w:rPr>
          <w:rFonts w:hint="eastAsia" w:ascii="宋体" w:hAnsi="宋体" w:eastAsia="宋体" w:cs="Times New Roman"/>
          <w:szCs w:val="21"/>
        </w:rPr>
        <w:t>。</w:t>
      </w:r>
    </w:p>
    <w:p>
      <w:pPr>
        <w:spacing w:line="360" w:lineRule="auto"/>
        <w:ind w:firstLine="420" w:firstLineChars="200"/>
        <w:jc w:val="left"/>
        <w:rPr>
          <w:rFonts w:ascii="宋体" w:hAnsi="宋体" w:eastAsia="宋体"/>
          <w:szCs w:val="21"/>
        </w:rPr>
      </w:pPr>
      <w:r>
        <w:rPr>
          <w:rFonts w:hint="eastAsia" w:ascii="宋体" w:hAnsi="宋体" w:eastAsia="宋体"/>
          <w:szCs w:val="21"/>
        </w:rPr>
        <w:t>2.</w:t>
      </w:r>
      <w:r>
        <w:rPr>
          <w:rFonts w:ascii="宋体" w:hAnsi="宋体" w:eastAsia="宋体"/>
          <w:szCs w:val="21"/>
        </w:rPr>
        <w:t>本项目计划分</w:t>
      </w:r>
      <w:r>
        <w:rPr>
          <w:rFonts w:ascii="宋体" w:hAnsi="宋体" w:eastAsia="宋体"/>
          <w:szCs w:val="21"/>
          <w:u w:val="single"/>
        </w:rPr>
        <w:t xml:space="preserve"> 3  </w:t>
      </w:r>
      <w:r>
        <w:rPr>
          <w:rFonts w:ascii="宋体" w:hAnsi="宋体" w:eastAsia="宋体"/>
          <w:szCs w:val="21"/>
        </w:rPr>
        <w:t>期支付，具体支付方式和时间如下：</w:t>
      </w:r>
    </w:p>
    <w:p>
      <w:pPr>
        <w:numPr>
          <w:ilvl w:val="255"/>
          <w:numId w:val="0"/>
        </w:numPr>
        <w:spacing w:line="360" w:lineRule="auto"/>
        <w:ind w:firstLine="420" w:firstLineChars="200"/>
        <w:jc w:val="left"/>
        <w:rPr>
          <w:rFonts w:ascii="宋体" w:hAnsi="宋体" w:eastAsia="宋体"/>
          <w:szCs w:val="21"/>
        </w:rPr>
      </w:pPr>
      <w:r>
        <w:rPr>
          <w:rFonts w:ascii="宋体" w:hAnsi="宋体" w:eastAsia="宋体"/>
          <w:szCs w:val="21"/>
        </w:rPr>
        <w:t>首期款：签订合同后</w:t>
      </w:r>
      <w:bookmarkStart w:id="0" w:name="_Hlk7423949"/>
      <w:r>
        <w:rPr>
          <w:rFonts w:ascii="宋体" w:hAnsi="宋体" w:eastAsia="宋体"/>
          <w:szCs w:val="21"/>
          <w:u w:val="single"/>
        </w:rPr>
        <w:t xml:space="preserve">  10  </w:t>
      </w:r>
      <w:r>
        <w:rPr>
          <w:rFonts w:ascii="宋体" w:hAnsi="宋体" w:eastAsia="宋体"/>
          <w:szCs w:val="21"/>
        </w:rPr>
        <w:t>个工作日内</w:t>
      </w:r>
      <w:bookmarkEnd w:id="0"/>
      <w:r>
        <w:rPr>
          <w:rFonts w:ascii="宋体" w:hAnsi="宋体" w:eastAsia="宋体"/>
          <w:szCs w:val="21"/>
        </w:rPr>
        <w:t>，</w:t>
      </w:r>
      <w:r>
        <w:rPr>
          <w:rFonts w:hint="eastAsia" w:ascii="宋体" w:hAnsi="宋体" w:eastAsia="宋体"/>
          <w:szCs w:val="21"/>
        </w:rPr>
        <w:t>成交供应商</w:t>
      </w:r>
      <w:r>
        <w:rPr>
          <w:rFonts w:ascii="宋体" w:hAnsi="宋体" w:eastAsia="宋体"/>
          <w:szCs w:val="21"/>
        </w:rPr>
        <w:t>书面提出支付申请函及拟支付金额等额的符合</w:t>
      </w:r>
      <w:r>
        <w:rPr>
          <w:rFonts w:hint="eastAsia" w:ascii="宋体" w:hAnsi="宋体" w:eastAsia="宋体"/>
          <w:szCs w:val="21"/>
        </w:rPr>
        <w:t>采购人</w:t>
      </w:r>
      <w:r>
        <w:rPr>
          <w:rFonts w:ascii="宋体" w:hAnsi="宋体" w:eastAsia="宋体"/>
          <w:szCs w:val="21"/>
        </w:rPr>
        <w:t>财务管理要求的相应发票，</w:t>
      </w:r>
      <w:r>
        <w:rPr>
          <w:rFonts w:hint="eastAsia" w:ascii="宋体" w:hAnsi="宋体" w:eastAsia="宋体"/>
          <w:szCs w:val="21"/>
        </w:rPr>
        <w:t>采购人</w:t>
      </w:r>
      <w:r>
        <w:rPr>
          <w:rFonts w:ascii="宋体" w:hAnsi="宋体" w:eastAsia="宋体"/>
          <w:szCs w:val="21"/>
        </w:rPr>
        <w:t>确认后启动首期款支付流程，占合同总金额的</w:t>
      </w:r>
      <w:r>
        <w:rPr>
          <w:rFonts w:ascii="宋体" w:hAnsi="宋体" w:eastAsia="宋体"/>
          <w:szCs w:val="21"/>
          <w:u w:val="single"/>
        </w:rPr>
        <w:t xml:space="preserve"> </w:t>
      </w:r>
      <w:r>
        <w:rPr>
          <w:rFonts w:hint="eastAsia" w:ascii="宋体" w:hAnsi="宋体" w:eastAsia="宋体" w:cs="Times New Roman"/>
          <w:szCs w:val="21"/>
          <w:u w:val="single"/>
        </w:rPr>
        <w:t xml:space="preserve"> </w:t>
      </w:r>
      <w:r>
        <w:rPr>
          <w:rFonts w:ascii="宋体" w:hAnsi="宋体" w:eastAsia="宋体"/>
          <w:szCs w:val="21"/>
          <w:u w:val="single"/>
        </w:rPr>
        <w:t xml:space="preserve">30 </w:t>
      </w:r>
      <w:r>
        <w:rPr>
          <w:rFonts w:hint="eastAsia" w:ascii="宋体" w:hAnsi="宋体" w:eastAsia="宋体" w:cs="Times New Roman"/>
          <w:szCs w:val="21"/>
          <w:u w:val="single"/>
        </w:rPr>
        <w:t xml:space="preserve"> </w:t>
      </w:r>
      <w:r>
        <w:rPr>
          <w:rFonts w:ascii="宋体" w:hAnsi="宋体" w:eastAsia="宋体"/>
          <w:szCs w:val="21"/>
        </w:rPr>
        <w:t>%。</w:t>
      </w:r>
    </w:p>
    <w:p>
      <w:pPr>
        <w:numPr>
          <w:ilvl w:val="255"/>
          <w:numId w:val="0"/>
        </w:numPr>
        <w:spacing w:line="360" w:lineRule="auto"/>
        <w:ind w:firstLine="420" w:firstLineChars="200"/>
        <w:jc w:val="left"/>
        <w:rPr>
          <w:rFonts w:ascii="宋体" w:hAnsi="宋体" w:eastAsia="宋体"/>
          <w:szCs w:val="21"/>
        </w:rPr>
      </w:pPr>
      <w:r>
        <w:rPr>
          <w:rFonts w:ascii="宋体" w:hAnsi="宋体" w:eastAsia="宋体"/>
          <w:szCs w:val="21"/>
        </w:rPr>
        <w:t>进度款：按照项目服务周期</w:t>
      </w:r>
      <w:r>
        <w:rPr>
          <w:rFonts w:hint="eastAsia" w:ascii="宋体" w:hAnsi="宋体" w:eastAsia="宋体"/>
          <w:szCs w:val="21"/>
        </w:rPr>
        <w:t>过半</w:t>
      </w:r>
      <w:r>
        <w:rPr>
          <w:rFonts w:ascii="宋体" w:hAnsi="宋体" w:eastAsia="宋体"/>
          <w:szCs w:val="21"/>
        </w:rPr>
        <w:t>后的</w:t>
      </w:r>
      <w:r>
        <w:rPr>
          <w:rFonts w:ascii="宋体" w:hAnsi="宋体" w:eastAsia="宋体"/>
          <w:szCs w:val="21"/>
          <w:u w:val="single"/>
        </w:rPr>
        <w:t xml:space="preserve">  10  </w:t>
      </w:r>
      <w:r>
        <w:rPr>
          <w:rFonts w:ascii="宋体" w:hAnsi="宋体" w:eastAsia="宋体"/>
          <w:szCs w:val="21"/>
        </w:rPr>
        <w:t>个工作日内，</w:t>
      </w:r>
      <w:r>
        <w:rPr>
          <w:rFonts w:hint="eastAsia" w:ascii="宋体" w:hAnsi="宋体" w:eastAsia="宋体"/>
          <w:szCs w:val="21"/>
        </w:rPr>
        <w:t>成交供应商</w:t>
      </w:r>
      <w:r>
        <w:rPr>
          <w:rFonts w:ascii="宋体" w:hAnsi="宋体" w:eastAsia="宋体"/>
          <w:szCs w:val="21"/>
        </w:rPr>
        <w:t>书面提出支付申请函及拟支付金额等额的符合</w:t>
      </w:r>
      <w:r>
        <w:rPr>
          <w:rFonts w:hint="eastAsia" w:ascii="宋体" w:hAnsi="宋体" w:eastAsia="宋体"/>
          <w:szCs w:val="21"/>
        </w:rPr>
        <w:t>采购人</w:t>
      </w:r>
      <w:r>
        <w:rPr>
          <w:rFonts w:ascii="宋体" w:hAnsi="宋体" w:eastAsia="宋体"/>
          <w:szCs w:val="21"/>
        </w:rPr>
        <w:t>财务管理要求的相应发票，</w:t>
      </w:r>
      <w:r>
        <w:rPr>
          <w:rFonts w:hint="eastAsia" w:ascii="宋体" w:hAnsi="宋体" w:eastAsia="宋体"/>
          <w:szCs w:val="21"/>
        </w:rPr>
        <w:t>采购人</w:t>
      </w:r>
      <w:r>
        <w:rPr>
          <w:rFonts w:ascii="宋体" w:hAnsi="宋体" w:eastAsia="宋体"/>
          <w:szCs w:val="21"/>
        </w:rPr>
        <w:t>确认后启动进度款支付流程，占合同总金额的</w:t>
      </w:r>
      <w:r>
        <w:rPr>
          <w:rFonts w:ascii="宋体" w:hAnsi="宋体" w:eastAsia="宋体"/>
          <w:szCs w:val="21"/>
          <w:u w:val="single"/>
        </w:rPr>
        <w:t xml:space="preserve"> 35</w:t>
      </w:r>
      <w:r>
        <w:rPr>
          <w:rFonts w:hint="eastAsia" w:ascii="宋体" w:hAnsi="宋体" w:eastAsia="宋体" w:cs="Times New Roman"/>
          <w:szCs w:val="21"/>
          <w:u w:val="single"/>
        </w:rPr>
        <w:t xml:space="preserve"> </w:t>
      </w:r>
      <w:r>
        <w:rPr>
          <w:rFonts w:ascii="宋体" w:hAnsi="宋体" w:eastAsia="宋体"/>
          <w:szCs w:val="21"/>
          <w:u w:val="single"/>
        </w:rPr>
        <w:t xml:space="preserve"> </w:t>
      </w:r>
      <w:r>
        <w:rPr>
          <w:rFonts w:ascii="宋体" w:hAnsi="宋体" w:eastAsia="宋体"/>
          <w:szCs w:val="21"/>
        </w:rPr>
        <w:t>%。</w:t>
      </w:r>
    </w:p>
    <w:p>
      <w:pPr>
        <w:spacing w:line="360" w:lineRule="auto"/>
        <w:ind w:firstLine="420" w:firstLineChars="200"/>
        <w:jc w:val="left"/>
        <w:rPr>
          <w:rFonts w:ascii="宋体" w:hAnsi="宋体" w:eastAsia="宋体"/>
          <w:szCs w:val="21"/>
        </w:rPr>
      </w:pPr>
      <w:r>
        <w:rPr>
          <w:rFonts w:ascii="宋体" w:hAnsi="宋体" w:eastAsia="宋体"/>
          <w:szCs w:val="21"/>
        </w:rPr>
        <w:t>3．尾款：项目验收后</w:t>
      </w:r>
      <w:r>
        <w:rPr>
          <w:rFonts w:ascii="宋体" w:hAnsi="宋体" w:eastAsia="宋体"/>
          <w:szCs w:val="21"/>
          <w:u w:val="single"/>
        </w:rPr>
        <w:t xml:space="preserve">  10  </w:t>
      </w:r>
      <w:r>
        <w:rPr>
          <w:rFonts w:ascii="宋体" w:hAnsi="宋体" w:eastAsia="宋体"/>
          <w:szCs w:val="21"/>
        </w:rPr>
        <w:t>个工作日内，</w:t>
      </w:r>
      <w:r>
        <w:rPr>
          <w:rFonts w:hint="eastAsia" w:ascii="宋体" w:hAnsi="宋体" w:eastAsia="宋体"/>
          <w:szCs w:val="21"/>
        </w:rPr>
        <w:t>成交供应商</w:t>
      </w:r>
      <w:r>
        <w:rPr>
          <w:rFonts w:ascii="宋体" w:hAnsi="宋体" w:eastAsia="宋体"/>
          <w:szCs w:val="21"/>
        </w:rPr>
        <w:t>书面提出支付申请函及拟支付金额等额的符合</w:t>
      </w:r>
      <w:r>
        <w:rPr>
          <w:rFonts w:hint="eastAsia" w:ascii="宋体" w:hAnsi="宋体" w:eastAsia="宋体"/>
          <w:szCs w:val="21"/>
        </w:rPr>
        <w:t>采购人</w:t>
      </w:r>
      <w:r>
        <w:rPr>
          <w:rFonts w:ascii="宋体" w:hAnsi="宋体" w:eastAsia="宋体"/>
          <w:szCs w:val="21"/>
        </w:rPr>
        <w:t>财务管理要求的相应发票，</w:t>
      </w:r>
      <w:r>
        <w:rPr>
          <w:rFonts w:hint="eastAsia" w:ascii="宋体" w:hAnsi="宋体" w:eastAsia="宋体"/>
          <w:szCs w:val="21"/>
        </w:rPr>
        <w:t>采购人</w:t>
      </w:r>
      <w:r>
        <w:rPr>
          <w:rFonts w:ascii="宋体" w:hAnsi="宋体" w:eastAsia="宋体"/>
          <w:szCs w:val="21"/>
        </w:rPr>
        <w:t>确认后启动尾款支付流程，占合同总金额的</w:t>
      </w:r>
      <w:r>
        <w:rPr>
          <w:rFonts w:ascii="宋体" w:hAnsi="宋体" w:eastAsia="宋体"/>
          <w:szCs w:val="21"/>
          <w:u w:val="single"/>
        </w:rPr>
        <w:t xml:space="preserve"> </w:t>
      </w:r>
      <w:r>
        <w:rPr>
          <w:rFonts w:hint="eastAsia" w:ascii="宋体" w:hAnsi="宋体" w:eastAsia="宋体"/>
          <w:szCs w:val="21"/>
          <w:u w:val="single"/>
        </w:rPr>
        <w:t>35</w:t>
      </w:r>
      <w:r>
        <w:rPr>
          <w:rFonts w:hint="eastAsia" w:ascii="宋体" w:hAnsi="宋体" w:eastAsia="宋体" w:cs="Times New Roman"/>
          <w:szCs w:val="21"/>
          <w:u w:val="single"/>
        </w:rPr>
        <w:t xml:space="preserve"> </w:t>
      </w:r>
      <w:r>
        <w:rPr>
          <w:rFonts w:ascii="宋体" w:hAnsi="宋体" w:eastAsia="宋体"/>
          <w:szCs w:val="21"/>
          <w:u w:val="single"/>
        </w:rPr>
        <w:t xml:space="preserve"> </w:t>
      </w:r>
      <w:r>
        <w:rPr>
          <w:rFonts w:ascii="宋体" w:hAnsi="宋体" w:eastAsia="宋体"/>
          <w:szCs w:val="21"/>
        </w:rPr>
        <w:t>%。</w:t>
      </w:r>
    </w:p>
    <w:p>
      <w:pPr>
        <w:spacing w:line="360" w:lineRule="auto"/>
        <w:ind w:firstLine="420" w:firstLineChars="200"/>
        <w:jc w:val="left"/>
        <w:rPr>
          <w:rFonts w:ascii="宋体" w:hAnsi="宋体" w:eastAsia="宋体"/>
          <w:szCs w:val="21"/>
        </w:rPr>
      </w:pPr>
      <w:r>
        <w:rPr>
          <w:rFonts w:ascii="宋体" w:hAnsi="宋体" w:eastAsia="宋体"/>
          <w:szCs w:val="21"/>
        </w:rPr>
        <w:t>项目实际支付总金额按采购成交总金额计算，项目支付计划按合同约定执行，对于满足合同约定支付条件的，</w:t>
      </w:r>
      <w:r>
        <w:rPr>
          <w:rFonts w:hint="eastAsia" w:ascii="宋体" w:hAnsi="宋体" w:eastAsia="宋体"/>
          <w:szCs w:val="21"/>
        </w:rPr>
        <w:t>采购人</w:t>
      </w:r>
      <w:r>
        <w:rPr>
          <w:rFonts w:ascii="宋体" w:hAnsi="宋体" w:eastAsia="宋体"/>
          <w:szCs w:val="21"/>
        </w:rPr>
        <w:t>应当自收到发票后</w:t>
      </w:r>
      <w:r>
        <w:rPr>
          <w:rFonts w:hint="eastAsia" w:ascii="宋体" w:hAnsi="宋体" w:eastAsia="宋体" w:cs="Times New Roman"/>
          <w:szCs w:val="21"/>
          <w:u w:val="single"/>
        </w:rPr>
        <w:t xml:space="preserve"> </w:t>
      </w:r>
      <w:r>
        <w:rPr>
          <w:rFonts w:ascii="宋体" w:hAnsi="宋体" w:eastAsia="宋体"/>
          <w:szCs w:val="21"/>
          <w:u w:val="single"/>
        </w:rPr>
        <w:t>30</w:t>
      </w:r>
      <w:r>
        <w:rPr>
          <w:rFonts w:ascii="宋体" w:hAnsi="宋体" w:eastAsia="宋体"/>
          <w:szCs w:val="21"/>
        </w:rPr>
        <w:t>日内将资金支付到合同约定的</w:t>
      </w:r>
      <w:r>
        <w:rPr>
          <w:rFonts w:hint="eastAsia" w:ascii="宋体" w:hAnsi="宋体" w:eastAsia="宋体"/>
          <w:szCs w:val="21"/>
        </w:rPr>
        <w:t>成交供应商</w:t>
      </w:r>
      <w:r>
        <w:rPr>
          <w:rFonts w:ascii="宋体" w:hAnsi="宋体" w:eastAsia="宋体"/>
          <w:szCs w:val="21"/>
        </w:rPr>
        <w:t>账户，不得以机构变动、人员更替、政策调整等为由延迟付款，不得将采购文件和合同中未规定的义务作为向</w:t>
      </w:r>
      <w:r>
        <w:rPr>
          <w:rFonts w:hint="eastAsia" w:ascii="宋体" w:hAnsi="宋体" w:eastAsia="宋体"/>
          <w:szCs w:val="21"/>
        </w:rPr>
        <w:t>成交供应商</w:t>
      </w:r>
      <w:r>
        <w:rPr>
          <w:rFonts w:ascii="宋体" w:hAnsi="宋体" w:eastAsia="宋体"/>
          <w:szCs w:val="21"/>
        </w:rPr>
        <w:t>付款的条件。</w:t>
      </w:r>
    </w:p>
    <w:p>
      <w:pPr>
        <w:pStyle w:val="21"/>
        <w:spacing w:before="0" w:after="0"/>
        <w:rPr>
          <w:rFonts w:ascii="宋体" w:hAnsi="宋体" w:cs="宋体"/>
          <w:color w:val="000000" w:themeColor="text1"/>
          <w:lang w:val="zh-CN"/>
          <w14:textFill>
            <w14:solidFill>
              <w14:schemeClr w14:val="tx1"/>
            </w14:solidFill>
          </w14:textFill>
        </w:rPr>
      </w:pPr>
      <w:r>
        <w:rPr>
          <w:rFonts w:ascii="宋体" w:hAnsi="宋体" w:cs="宋体"/>
          <w:color w:val="000000" w:themeColor="text1"/>
          <w:lang w:val="zh-CN"/>
          <w14:textFill>
            <w14:solidFill>
              <w14:schemeClr w14:val="tx1"/>
            </w14:solidFill>
          </w14:textFill>
        </w:rPr>
        <w:br w:type="page"/>
      </w:r>
    </w:p>
    <w:p>
      <w:pPr>
        <w:pStyle w:val="21"/>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3"/>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p>
      <w:pPr>
        <w:spacing w:line="500" w:lineRule="exact"/>
        <w:rPr>
          <w:rFonts w:ascii="宋体" w:hAnsi="宋体" w:eastAsia="宋体" w:cs="宋体"/>
          <w:b/>
          <w:color w:val="000000" w:themeColor="text1"/>
          <w:spacing w:val="4"/>
          <w:szCs w:val="21"/>
          <w14:textFill>
            <w14:solidFill>
              <w14:schemeClr w14:val="tx1"/>
            </w14:solidFill>
          </w14:textFill>
        </w:rPr>
      </w:pPr>
    </w:p>
    <w:tbl>
      <w:tblPr>
        <w:tblStyle w:val="25"/>
        <w:tblW w:w="100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804"/>
        <w:gridCol w:w="2118"/>
        <w:gridCol w:w="2174"/>
        <w:gridCol w:w="12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86"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804" w:type="dxa"/>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szCs w:val="21"/>
              </w:rPr>
            </w:pPr>
            <w:r>
              <w:rPr>
                <w:rFonts w:hint="eastAsia" w:ascii="宋体" w:hAnsi="宋体" w:eastAsia="宋体" w:cs="宋体"/>
                <w:b/>
                <w:szCs w:val="21"/>
              </w:rPr>
              <w:t>数量</w:t>
            </w:r>
          </w:p>
        </w:tc>
        <w:tc>
          <w:tcPr>
            <w:tcW w:w="2118" w:type="dxa"/>
            <w:tcBorders>
              <w:top w:val="single" w:color="auto" w:sz="12" w:space="0"/>
              <w:bottom w:val="single" w:color="auto" w:sz="2" w:space="0"/>
            </w:tcBorders>
            <w:shd w:val="clear" w:color="auto" w:fill="EEECE1"/>
            <w:vAlign w:val="center"/>
          </w:tcPr>
          <w:p>
            <w:pPr>
              <w:jc w:val="center"/>
              <w:rPr>
                <w:rFonts w:ascii="宋体" w:hAnsi="宋体" w:eastAsia="宋体" w:cs="宋体"/>
                <w:b/>
                <w:szCs w:val="21"/>
              </w:rPr>
            </w:pPr>
            <w:r>
              <w:rPr>
                <w:rFonts w:hint="eastAsia" w:ascii="宋体" w:hAnsi="宋体" w:eastAsia="宋体" w:cs="宋体"/>
                <w:b/>
                <w:szCs w:val="21"/>
              </w:rPr>
              <w:t>最高限价</w:t>
            </w:r>
          </w:p>
        </w:tc>
        <w:tc>
          <w:tcPr>
            <w:tcW w:w="2174" w:type="dxa"/>
            <w:tcBorders>
              <w:top w:val="single" w:color="auto" w:sz="12" w:space="0"/>
              <w:bottom w:val="single" w:color="auto" w:sz="2" w:space="0"/>
            </w:tcBorders>
            <w:shd w:val="clear" w:color="auto" w:fill="EEECE1"/>
            <w:vAlign w:val="center"/>
          </w:tcPr>
          <w:p>
            <w:pPr>
              <w:jc w:val="center"/>
              <w:rPr>
                <w:rFonts w:ascii="宋体" w:hAnsi="宋体" w:eastAsia="宋体" w:cs="宋体"/>
                <w:b/>
                <w:szCs w:val="21"/>
              </w:rPr>
            </w:pPr>
            <w:r>
              <w:rPr>
                <w:rFonts w:hint="eastAsia" w:ascii="宋体" w:hAnsi="宋体" w:eastAsia="宋体" w:cs="宋体"/>
                <w:b/>
                <w:szCs w:val="21"/>
              </w:rPr>
              <w:t>总价报价</w:t>
            </w:r>
          </w:p>
          <w:p>
            <w:pPr>
              <w:jc w:val="center"/>
              <w:rPr>
                <w:rFonts w:ascii="宋体" w:hAnsi="宋体" w:eastAsia="宋体" w:cs="宋体"/>
                <w:b/>
                <w:szCs w:val="21"/>
              </w:rPr>
            </w:pPr>
            <w:r>
              <w:rPr>
                <w:rFonts w:hint="eastAsia" w:ascii="宋体" w:hAnsi="宋体" w:eastAsia="宋体" w:cs="宋体"/>
                <w:b/>
                <w:szCs w:val="21"/>
              </w:rPr>
              <w:t>（人民币/元）</w:t>
            </w:r>
          </w:p>
        </w:tc>
        <w:tc>
          <w:tcPr>
            <w:tcW w:w="1237" w:type="dxa"/>
            <w:tcBorders>
              <w:top w:val="single" w:color="auto" w:sz="12" w:space="0"/>
              <w:bottom w:val="single" w:color="auto" w:sz="2" w:space="0"/>
            </w:tcBorders>
            <w:shd w:val="clear" w:color="auto" w:fill="EEECE1"/>
            <w:vAlign w:val="center"/>
          </w:tcPr>
          <w:p>
            <w:pPr>
              <w:jc w:val="center"/>
              <w:rPr>
                <w:rFonts w:ascii="宋体" w:hAnsi="宋体" w:eastAsia="宋体" w:cs="宋体"/>
                <w:b/>
                <w:szCs w:val="21"/>
              </w:rPr>
            </w:pPr>
            <w:r>
              <w:rPr>
                <w:rFonts w:hint="eastAsia" w:ascii="宋体" w:hAnsi="宋体" w:eastAsia="宋体" w:cs="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86" w:type="dxa"/>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广东省肇庆监狱办公系统及设备运维人员驻场服务采购项目</w:t>
            </w:r>
          </w:p>
        </w:tc>
        <w:tc>
          <w:tcPr>
            <w:tcW w:w="804" w:type="dxa"/>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1项</w:t>
            </w:r>
          </w:p>
        </w:tc>
        <w:tc>
          <w:tcPr>
            <w:tcW w:w="2118" w:type="dxa"/>
            <w:tcBorders>
              <w:top w:val="single" w:color="auto" w:sz="2" w:space="0"/>
              <w:bottom w:val="single" w:color="auto" w:sz="2" w:space="0"/>
            </w:tcBorders>
            <w:vAlign w:val="center"/>
          </w:tcPr>
          <w:p>
            <w:pPr>
              <w:spacing w:line="360" w:lineRule="auto"/>
              <w:jc w:val="center"/>
              <w:rPr>
                <w:rFonts w:ascii="宋体" w:hAnsi="宋体" w:eastAsia="宋体" w:cs="宋体"/>
                <w:szCs w:val="21"/>
              </w:rPr>
            </w:pPr>
            <w:r>
              <w:rPr>
                <w:rFonts w:ascii="宋体" w:hAnsi="宋体" w:eastAsia="宋体" w:cs="宋体"/>
                <w:color w:val="000000" w:themeColor="text1"/>
                <w:szCs w:val="21"/>
                <w14:textFill>
                  <w14:solidFill>
                    <w14:schemeClr w14:val="tx1"/>
                  </w14:solidFill>
                </w14:textFill>
              </w:rPr>
              <w:t>人民币</w:t>
            </w:r>
            <w:r>
              <w:rPr>
                <w:rFonts w:hint="eastAsia" w:ascii="宋体" w:hAnsi="宋体" w:eastAsia="宋体" w:cs="Times New Roman"/>
                <w:szCs w:val="21"/>
              </w:rPr>
              <w:t>144000</w:t>
            </w:r>
            <w:r>
              <w:rPr>
                <w:rFonts w:ascii="宋体" w:hAnsi="宋体" w:eastAsia="宋体" w:cs="Times New Roman"/>
                <w:szCs w:val="21"/>
              </w:rPr>
              <w:t>元</w:t>
            </w:r>
          </w:p>
        </w:tc>
        <w:tc>
          <w:tcPr>
            <w:tcW w:w="2174" w:type="dxa"/>
            <w:tcBorders>
              <w:top w:val="single" w:color="auto" w:sz="2" w:space="0"/>
              <w:bottom w:val="single" w:color="auto" w:sz="2" w:space="0"/>
            </w:tcBorders>
          </w:tcPr>
          <w:p>
            <w:pPr>
              <w:spacing w:line="360" w:lineRule="auto"/>
              <w:jc w:val="center"/>
              <w:rPr>
                <w:rFonts w:ascii="宋体" w:hAnsi="宋体" w:eastAsia="宋体" w:cs="宋体"/>
                <w:color w:val="000000" w:themeColor="text1"/>
                <w:szCs w:val="21"/>
                <w14:textFill>
                  <w14:solidFill>
                    <w14:schemeClr w14:val="tx1"/>
                  </w14:solidFill>
                </w14:textFill>
              </w:rPr>
            </w:pPr>
          </w:p>
        </w:tc>
        <w:tc>
          <w:tcPr>
            <w:tcW w:w="1237" w:type="dxa"/>
            <w:tcBorders>
              <w:top w:val="single" w:color="auto" w:sz="2" w:space="0"/>
              <w:bottom w:val="single" w:color="auto" w:sz="2" w:space="0"/>
            </w:tcBorders>
          </w:tcPr>
          <w:p>
            <w:pPr>
              <w:spacing w:line="360" w:lineRule="auto"/>
              <w:jc w:val="center"/>
              <w:rPr>
                <w:rFonts w:ascii="宋体" w:hAnsi="宋体" w:eastAsia="宋体" w:cs="宋体"/>
                <w:color w:val="000000" w:themeColor="text1"/>
                <w:szCs w:val="21"/>
                <w14:textFill>
                  <w14:solidFill>
                    <w14:schemeClr w14:val="tx1"/>
                  </w14:solidFill>
                </w14:textFill>
              </w:rPr>
            </w:pPr>
          </w:p>
        </w:tc>
      </w:tr>
    </w:tbl>
    <w:p>
      <w:pPr>
        <w:spacing w:line="500" w:lineRule="exact"/>
        <w:rPr>
          <w:rFonts w:ascii="宋体" w:hAnsi="宋体" w:eastAsia="宋体" w:cs="宋体"/>
          <w:b/>
          <w:color w:val="000000" w:themeColor="text1"/>
          <w:spacing w:val="4"/>
          <w:szCs w:val="21"/>
          <w14:textFill>
            <w14:solidFill>
              <w14:schemeClr w14:val="tx1"/>
            </w14:solidFill>
          </w14:textFill>
        </w:rPr>
      </w:pPr>
    </w:p>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20"/>
        <w:numPr>
          <w:ilvl w:val="0"/>
          <w:numId w:val="28"/>
        </w:numPr>
        <w:shd w:val="clear" w:color="auto" w:fill="FFFFFF"/>
        <w:spacing w:before="0" w:beforeAutospacing="0" w:after="0" w:afterAutospacing="0" w:line="276"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20"/>
        <w:numPr>
          <w:ilvl w:val="0"/>
          <w:numId w:val="28"/>
        </w:numPr>
        <w:shd w:val="clear" w:color="auto" w:fill="FFFFFF"/>
        <w:spacing w:before="0" w:beforeAutospacing="0" w:after="0" w:afterAutospacing="0" w:line="276"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20"/>
        <w:numPr>
          <w:ilvl w:val="0"/>
          <w:numId w:val="28"/>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r>
        <w:rPr>
          <w:rFonts w:hint="eastAsia"/>
          <w:b/>
          <w:bCs/>
          <w:color w:val="000000"/>
          <w:sz w:val="21"/>
          <w:szCs w:val="21"/>
          <w:u w:val="single"/>
          <w:shd w:val="clear" w:color="auto" w:fill="FFFFFF"/>
        </w:rPr>
        <w:t>。</w:t>
      </w: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
        <w:spacing w:before="0" w:after="0"/>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采购需求书响应声明函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致：广东省肇庆监狱、</w:t>
      </w:r>
      <w:r>
        <w:rPr>
          <w:rFonts w:hint="eastAsia" w:ascii="宋体" w:hAnsi="宋体" w:eastAsia="宋体" w:cs="宋体"/>
          <w:b/>
          <w:color w:val="000000" w:themeColor="text1"/>
          <w14:textFill>
            <w14:solidFill>
              <w14:schemeClr w14:val="tx1"/>
            </w14:solidFill>
          </w14:textFill>
        </w:rPr>
        <w:t>云采链（广州）信息科技有限公司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广东省肇庆监狱办公系统及设备运维人员驻场服务采购项目</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42"/>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书各项条款存在任意一条负偏离或不响应的情况，不被推荐为成交候选人的要求。</w:t>
      </w:r>
    </w:p>
    <w:p>
      <w:pPr>
        <w:pStyle w:val="42"/>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2"/>
        <w:numPr>
          <w:ilvl w:val="0"/>
          <w:numId w:val="29"/>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2"/>
        <w:numPr>
          <w:ilvl w:val="0"/>
          <w:numId w:val="29"/>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广东省肇庆监狱、</w:t>
      </w:r>
      <w:r>
        <w:rPr>
          <w:rFonts w:hint="eastAsia" w:ascii="宋体" w:hAnsi="宋体" w:eastAsia="宋体" w:cs="宋体"/>
          <w:b/>
          <w:color w:val="000000" w:themeColor="text1"/>
          <w14:textFill>
            <w14:solidFill>
              <w14:schemeClr w14:val="tx1"/>
            </w14:solidFill>
          </w14:textFill>
        </w:rPr>
        <w:t>云采链（广州）信息科技有限公司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14:textFill>
            <w14:solidFill>
              <w14:schemeClr w14:val="tx1"/>
            </w14:solidFill>
          </w14:textFill>
        </w:rPr>
        <w:t>广东省肇庆监狱办公系统及设备运维人员驻场服务采购项目</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snapToGrid w:val="0"/>
        <w:spacing w:line="360" w:lineRule="auto"/>
        <w:ind w:firstLine="420" w:firstLineChars="200"/>
        <w:rPr>
          <w:rFonts w:ascii="宋体" w:hAnsi="宋体" w:eastAsia="宋体"/>
          <w:bCs/>
          <w:szCs w:val="20"/>
        </w:rPr>
      </w:pPr>
      <w:r>
        <w:rPr>
          <w:rFonts w:hint="eastAsia" w:ascii="宋体" w:hAnsi="宋体" w:eastAsia="宋体"/>
          <w:szCs w:val="24"/>
        </w:rPr>
        <w:t>一、本公司（企业）</w:t>
      </w:r>
      <w:r>
        <w:rPr>
          <w:rFonts w:hint="eastAsia" w:ascii="宋体" w:hAnsi="宋体" w:eastAsia="宋体"/>
          <w:bCs/>
          <w:szCs w:val="20"/>
        </w:rPr>
        <w:t>具备：</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（一）具有独立承担民事责任的能力；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（二）具有良好的商业信誉和健全的财务会计制度；</w:t>
      </w:r>
      <w:r>
        <w:rPr>
          <w:rFonts w:ascii="宋体" w:hAnsi="宋体" w:eastAsia="宋体" w:cs="宋体"/>
          <w:kern w:val="0"/>
          <w:szCs w:val="21"/>
        </w:rPr>
        <w:t xml:space="preserve"> </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（三）具有履行合同所必需的设备和专业技术能力；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（四）有依法缴纳税收和社会保障资金的良好记录；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hint="eastAsia" w:ascii="宋体" w:hAnsi="宋体" w:eastAsia="宋体" w:cs="宋体"/>
          <w:kern w:val="0"/>
          <w:szCs w:val="21"/>
        </w:rPr>
        <w:t>；</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（六）法律、行政法规规定的其他条件。</w:t>
      </w:r>
    </w:p>
    <w:p>
      <w:pPr>
        <w:snapToGrid w:val="0"/>
        <w:spacing w:line="360" w:lineRule="auto"/>
        <w:ind w:firstLine="424" w:firstLineChars="202"/>
        <w:rPr>
          <w:rFonts w:ascii="宋体" w:hAnsi="宋体" w:eastAsia="宋体"/>
          <w:szCs w:val="24"/>
        </w:rPr>
      </w:pPr>
      <w:r>
        <w:rPr>
          <w:rFonts w:hint="eastAsia" w:ascii="宋体" w:hAnsi="宋体" w:eastAsia="宋体"/>
          <w:szCs w:val="24"/>
        </w:rPr>
        <w:t>二、本公司（企业）的法定代表人或单位负责人与所参投的本项目其他供应商的法定代表人或单位负责人不为同一人且与其他供应商之间不存在直接控股、管理关系。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eastAsia="宋体"/>
          <w:szCs w:val="24"/>
        </w:rPr>
      </w:pPr>
      <w:r>
        <w:rPr>
          <w:rFonts w:hint="eastAsia" w:ascii="宋体" w:hAnsi="宋体" w:eastAsia="宋体"/>
          <w:szCs w:val="24"/>
        </w:rPr>
        <w:t>三、本公司（企业）</w:t>
      </w:r>
      <w:r>
        <w:rPr>
          <w:rFonts w:ascii="宋体" w:hAnsi="宋体" w:eastAsia="宋体"/>
          <w:szCs w:val="24"/>
        </w:rPr>
        <w:t>在本项目中不转包分包且不联合竞价。</w:t>
      </w:r>
    </w:p>
    <w:p>
      <w:pPr>
        <w:snapToGrid w:val="0"/>
        <w:spacing w:line="360" w:lineRule="auto"/>
        <w:ind w:firstLine="424" w:firstLineChars="202"/>
        <w:rPr>
          <w:rFonts w:ascii="宋体" w:hAnsi="宋体" w:eastAsia="宋体"/>
          <w:szCs w:val="21"/>
        </w:rPr>
      </w:pPr>
      <w:r>
        <w:rPr>
          <w:rFonts w:hint="eastAsia" w:ascii="宋体" w:hAnsi="宋体" w:eastAsia="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eastAsia="宋体"/>
          <w:szCs w:val="21"/>
        </w:rPr>
      </w:pPr>
      <w:r>
        <w:rPr>
          <w:rFonts w:hint="eastAsia" w:ascii="宋体" w:hAnsi="宋体" w:eastAsia="宋体"/>
          <w:szCs w:val="21"/>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32"/>
        <w:numPr>
          <w:ilvl w:val="0"/>
          <w:numId w:val="30"/>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32"/>
        <w:numPr>
          <w:ilvl w:val="0"/>
          <w:numId w:val="30"/>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32"/>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32"/>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s="宋体"/>
          <w:color w:val="000000" w:themeColor="text1"/>
          <w14:textFill>
            <w14:solidFill>
              <w14:schemeClr w14:val="tx1"/>
            </w14:solidFill>
          </w14:textFill>
        </w:rPr>
      </w:pPr>
    </w:p>
    <w:sectPr>
      <w:headerReference r:id="rId4" w:type="first"/>
      <w:headerReference r:id="rId3"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8046C"/>
    <w:multiLevelType w:val="singleLevel"/>
    <w:tmpl w:val="9CB8046C"/>
    <w:lvl w:ilvl="0" w:tentative="0">
      <w:start w:val="1"/>
      <w:numFmt w:val="decimal"/>
      <w:lvlText w:val="%1."/>
      <w:lvlJc w:val="left"/>
      <w:pPr>
        <w:tabs>
          <w:tab w:val="left" w:pos="312"/>
        </w:tabs>
      </w:pPr>
    </w:lvl>
  </w:abstractNum>
  <w:abstractNum w:abstractNumId="1">
    <w:nsid w:val="A63CE0D2"/>
    <w:multiLevelType w:val="singleLevel"/>
    <w:tmpl w:val="A63CE0D2"/>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3">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4">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5">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41"/>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8">
    <w:nsid w:val="04544B4D"/>
    <w:multiLevelType w:val="multilevel"/>
    <w:tmpl w:val="04544B4D"/>
    <w:lvl w:ilvl="0" w:tentative="0">
      <w:start w:val="1"/>
      <w:numFmt w:val="decimal"/>
      <w:pStyle w:val="111"/>
      <w:lvlText w:val="%1."/>
      <w:lvlJc w:val="left"/>
      <w:pPr>
        <w:ind w:left="425" w:hanging="425"/>
      </w:pPr>
      <w:rPr>
        <w:rFonts w:hint="default" w:ascii="Times New Roman" w:hAnsi="Times New Roman" w:cs="Times New Roman"/>
      </w:rPr>
    </w:lvl>
    <w:lvl w:ilvl="1" w:tentative="0">
      <w:start w:val="1"/>
      <w:numFmt w:val="decimal"/>
      <w:pStyle w:val="112"/>
      <w:lvlText w:val="%1.%2."/>
      <w:lvlJc w:val="left"/>
      <w:pPr>
        <w:ind w:left="567" w:hanging="567"/>
      </w:pPr>
      <w:rPr>
        <w:rFonts w:hint="default" w:ascii="Times New Roman" w:hAnsi="Times New Roman" w:cs="Times New Roman"/>
      </w:rPr>
    </w:lvl>
    <w:lvl w:ilvl="2" w:tentative="0">
      <w:start w:val="1"/>
      <w:numFmt w:val="decimal"/>
      <w:lvlText w:val="%3."/>
      <w:lvlJc w:val="left"/>
      <w:pPr>
        <w:ind w:left="709" w:hanging="709"/>
      </w:pPr>
      <w:rPr>
        <w:rFonts w:hint="default"/>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04AD10DA"/>
    <w:multiLevelType w:val="multilevel"/>
    <w:tmpl w:val="04AD10DA"/>
    <w:lvl w:ilvl="0" w:tentative="0">
      <w:start w:val="1"/>
      <w:numFmt w:val="lowerLetter"/>
      <w:suff w:val="nothing"/>
      <w:lvlText w:val="%1)"/>
      <w:lvlJc w:val="left"/>
      <w:pPr>
        <w:ind w:left="2121" w:hanging="420"/>
      </w:pPr>
      <w:rPr>
        <w:rFonts w:hint="eastAsia"/>
      </w:r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abstractNum w:abstractNumId="10">
    <w:nsid w:val="114A0679"/>
    <w:multiLevelType w:val="multilevel"/>
    <w:tmpl w:val="114A067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2">
    <w:nsid w:val="17EB717D"/>
    <w:multiLevelType w:val="singleLevel"/>
    <w:tmpl w:val="17EB717D"/>
    <w:lvl w:ilvl="0" w:tentative="0">
      <w:start w:val="1"/>
      <w:numFmt w:val="decimal"/>
      <w:lvlText w:val="%1."/>
      <w:lvlJc w:val="left"/>
      <w:pPr>
        <w:ind w:left="420" w:hanging="420"/>
      </w:pPr>
    </w:lvl>
  </w:abstractNum>
  <w:abstractNum w:abstractNumId="13">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4">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6">
    <w:nsid w:val="3068438F"/>
    <w:multiLevelType w:val="multilevel"/>
    <w:tmpl w:val="3068438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3B880345"/>
    <w:multiLevelType w:val="multilevel"/>
    <w:tmpl w:val="3B88034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2806897"/>
    <w:multiLevelType w:val="multilevel"/>
    <w:tmpl w:val="42806897"/>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A6D6DFA"/>
    <w:multiLevelType w:val="multilevel"/>
    <w:tmpl w:val="4A6D6D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ADE6A7B"/>
    <w:multiLevelType w:val="multilevel"/>
    <w:tmpl w:val="4ADE6A7B"/>
    <w:lvl w:ilvl="0" w:tentative="0">
      <w:start w:val="1"/>
      <w:numFmt w:val="chineseCountingThousand"/>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22">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23">
    <w:nsid w:val="57B913E4"/>
    <w:multiLevelType w:val="multilevel"/>
    <w:tmpl w:val="57B913E4"/>
    <w:lvl w:ilvl="0" w:tentative="0">
      <w:start w:val="1"/>
      <w:numFmt w:val="chineseCountingThousand"/>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5">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5A12BE9"/>
    <w:multiLevelType w:val="multilevel"/>
    <w:tmpl w:val="65A12BE9"/>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62019E5"/>
    <w:multiLevelType w:val="multilevel"/>
    <w:tmpl w:val="662019E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6604DCC"/>
    <w:multiLevelType w:val="singleLevel"/>
    <w:tmpl w:val="66604DCC"/>
    <w:lvl w:ilvl="0" w:tentative="0">
      <w:start w:val="1"/>
      <w:numFmt w:val="decimal"/>
      <w:lvlText w:val="%1."/>
      <w:lvlJc w:val="left"/>
      <w:pPr>
        <w:ind w:left="420" w:hanging="420"/>
      </w:pPr>
    </w:lvl>
  </w:abstractNum>
  <w:abstractNum w:abstractNumId="29">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25"/>
  </w:num>
  <w:num w:numId="4">
    <w:abstractNumId w:val="4"/>
  </w:num>
  <w:num w:numId="5">
    <w:abstractNumId w:val="21"/>
  </w:num>
  <w:num w:numId="6">
    <w:abstractNumId w:val="2"/>
  </w:num>
  <w:num w:numId="7">
    <w:abstractNumId w:val="7"/>
  </w:num>
  <w:num w:numId="8">
    <w:abstractNumId w:val="11"/>
  </w:num>
  <w:num w:numId="9">
    <w:abstractNumId w:val="24"/>
  </w:num>
  <w:num w:numId="10">
    <w:abstractNumId w:val="13"/>
  </w:num>
  <w:num w:numId="11">
    <w:abstractNumId w:val="3"/>
  </w:num>
  <w:num w:numId="12">
    <w:abstractNumId w:val="1"/>
  </w:num>
  <w:num w:numId="13">
    <w:abstractNumId w:val="9"/>
  </w:num>
  <w:num w:numId="14">
    <w:abstractNumId w:val="14"/>
  </w:num>
  <w:num w:numId="15">
    <w:abstractNumId w:val="5"/>
  </w:num>
  <w:num w:numId="16">
    <w:abstractNumId w:val="10"/>
  </w:num>
  <w:num w:numId="17">
    <w:abstractNumId w:val="23"/>
  </w:num>
  <w:num w:numId="18">
    <w:abstractNumId w:val="27"/>
  </w:num>
  <w:num w:numId="19">
    <w:abstractNumId w:val="19"/>
  </w:num>
  <w:num w:numId="20">
    <w:abstractNumId w:val="12"/>
  </w:num>
  <w:num w:numId="21">
    <w:abstractNumId w:val="28"/>
  </w:num>
  <w:num w:numId="22">
    <w:abstractNumId w:val="16"/>
  </w:num>
  <w:num w:numId="23">
    <w:abstractNumId w:val="20"/>
  </w:num>
  <w:num w:numId="24">
    <w:abstractNumId w:val="26"/>
  </w:num>
  <w:num w:numId="25">
    <w:abstractNumId w:val="17"/>
  </w:num>
  <w:num w:numId="26">
    <w:abstractNumId w:val="18"/>
  </w:num>
  <w:num w:numId="27">
    <w:abstractNumId w:val="0"/>
  </w:num>
  <w:num w:numId="28">
    <w:abstractNumId w:val="29"/>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YzY5MzAyNjVjZjgyYmZhNzY3NjFiOWFkNThiZmIifQ=="/>
  </w:docVars>
  <w:rsids>
    <w:rsidRoot w:val="00603670"/>
    <w:rsid w:val="00001DD9"/>
    <w:rsid w:val="000020F5"/>
    <w:rsid w:val="0000298A"/>
    <w:rsid w:val="00011A82"/>
    <w:rsid w:val="000126C5"/>
    <w:rsid w:val="000163AB"/>
    <w:rsid w:val="00026DD2"/>
    <w:rsid w:val="00027036"/>
    <w:rsid w:val="00042B6B"/>
    <w:rsid w:val="000431C9"/>
    <w:rsid w:val="00045B91"/>
    <w:rsid w:val="00045E6F"/>
    <w:rsid w:val="00050534"/>
    <w:rsid w:val="00053978"/>
    <w:rsid w:val="000565F1"/>
    <w:rsid w:val="0006472A"/>
    <w:rsid w:val="00064E21"/>
    <w:rsid w:val="00072D57"/>
    <w:rsid w:val="000749D9"/>
    <w:rsid w:val="00075391"/>
    <w:rsid w:val="00082CDE"/>
    <w:rsid w:val="00083BE6"/>
    <w:rsid w:val="00086BDC"/>
    <w:rsid w:val="000B040C"/>
    <w:rsid w:val="000B3F59"/>
    <w:rsid w:val="000B74EA"/>
    <w:rsid w:val="000C4F0F"/>
    <w:rsid w:val="000C5ABD"/>
    <w:rsid w:val="000E1199"/>
    <w:rsid w:val="000E2971"/>
    <w:rsid w:val="000E4C42"/>
    <w:rsid w:val="000F1249"/>
    <w:rsid w:val="000F423D"/>
    <w:rsid w:val="000F5CD4"/>
    <w:rsid w:val="0010235B"/>
    <w:rsid w:val="00107E2D"/>
    <w:rsid w:val="00110D31"/>
    <w:rsid w:val="00111B57"/>
    <w:rsid w:val="00112326"/>
    <w:rsid w:val="0011556A"/>
    <w:rsid w:val="00116EDF"/>
    <w:rsid w:val="001200BB"/>
    <w:rsid w:val="00123BEA"/>
    <w:rsid w:val="001304CF"/>
    <w:rsid w:val="00135715"/>
    <w:rsid w:val="00140AD2"/>
    <w:rsid w:val="00142ED9"/>
    <w:rsid w:val="00143DFC"/>
    <w:rsid w:val="00145AE8"/>
    <w:rsid w:val="00151C55"/>
    <w:rsid w:val="00152A8B"/>
    <w:rsid w:val="00153377"/>
    <w:rsid w:val="0016171E"/>
    <w:rsid w:val="00173222"/>
    <w:rsid w:val="00175ECB"/>
    <w:rsid w:val="001775AE"/>
    <w:rsid w:val="00180F91"/>
    <w:rsid w:val="001821A2"/>
    <w:rsid w:val="00182BE9"/>
    <w:rsid w:val="001863E0"/>
    <w:rsid w:val="00192F15"/>
    <w:rsid w:val="001938B3"/>
    <w:rsid w:val="001976BF"/>
    <w:rsid w:val="001A0DDF"/>
    <w:rsid w:val="001A769F"/>
    <w:rsid w:val="001B0A70"/>
    <w:rsid w:val="001B7077"/>
    <w:rsid w:val="001B74DB"/>
    <w:rsid w:val="001C071E"/>
    <w:rsid w:val="001C2A57"/>
    <w:rsid w:val="001C3D61"/>
    <w:rsid w:val="001C43C7"/>
    <w:rsid w:val="001C6BE3"/>
    <w:rsid w:val="001C706F"/>
    <w:rsid w:val="001D0B02"/>
    <w:rsid w:val="001D1026"/>
    <w:rsid w:val="001D33E6"/>
    <w:rsid w:val="001D3E3B"/>
    <w:rsid w:val="001E48AC"/>
    <w:rsid w:val="001E5C33"/>
    <w:rsid w:val="001F3F8C"/>
    <w:rsid w:val="002056C6"/>
    <w:rsid w:val="00215EF1"/>
    <w:rsid w:val="00215FE5"/>
    <w:rsid w:val="00220312"/>
    <w:rsid w:val="00220DEC"/>
    <w:rsid w:val="0022215D"/>
    <w:rsid w:val="002379C7"/>
    <w:rsid w:val="0024390D"/>
    <w:rsid w:val="00251790"/>
    <w:rsid w:val="00253352"/>
    <w:rsid w:val="00262DAA"/>
    <w:rsid w:val="0026399A"/>
    <w:rsid w:val="00264A95"/>
    <w:rsid w:val="002674A4"/>
    <w:rsid w:val="00270E13"/>
    <w:rsid w:val="00274FF8"/>
    <w:rsid w:val="00283853"/>
    <w:rsid w:val="00283A1B"/>
    <w:rsid w:val="002920CA"/>
    <w:rsid w:val="00292756"/>
    <w:rsid w:val="002A1D82"/>
    <w:rsid w:val="002A1FE5"/>
    <w:rsid w:val="002A29ED"/>
    <w:rsid w:val="002A50F6"/>
    <w:rsid w:val="002B2992"/>
    <w:rsid w:val="002B4DF8"/>
    <w:rsid w:val="002B6EEB"/>
    <w:rsid w:val="002C2CC8"/>
    <w:rsid w:val="002C42D5"/>
    <w:rsid w:val="002C4D08"/>
    <w:rsid w:val="002C7CC8"/>
    <w:rsid w:val="002D08D3"/>
    <w:rsid w:val="002D4EBD"/>
    <w:rsid w:val="002D5B83"/>
    <w:rsid w:val="002E0263"/>
    <w:rsid w:val="002E5F86"/>
    <w:rsid w:val="002E5FC8"/>
    <w:rsid w:val="002E61D3"/>
    <w:rsid w:val="002E66A9"/>
    <w:rsid w:val="002F0591"/>
    <w:rsid w:val="002F352E"/>
    <w:rsid w:val="002F4A33"/>
    <w:rsid w:val="002F5E67"/>
    <w:rsid w:val="0031356B"/>
    <w:rsid w:val="00327C22"/>
    <w:rsid w:val="003326FA"/>
    <w:rsid w:val="00332AF3"/>
    <w:rsid w:val="00336F07"/>
    <w:rsid w:val="0034118F"/>
    <w:rsid w:val="00342E19"/>
    <w:rsid w:val="00353BC1"/>
    <w:rsid w:val="00355F34"/>
    <w:rsid w:val="00360E20"/>
    <w:rsid w:val="00361074"/>
    <w:rsid w:val="00366797"/>
    <w:rsid w:val="0036688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D62BE"/>
    <w:rsid w:val="003E273C"/>
    <w:rsid w:val="003F265C"/>
    <w:rsid w:val="003F38D5"/>
    <w:rsid w:val="003F475D"/>
    <w:rsid w:val="003F5030"/>
    <w:rsid w:val="003F71EC"/>
    <w:rsid w:val="00403AB2"/>
    <w:rsid w:val="00412749"/>
    <w:rsid w:val="00420AFB"/>
    <w:rsid w:val="004211A3"/>
    <w:rsid w:val="00423B87"/>
    <w:rsid w:val="00425F66"/>
    <w:rsid w:val="00431BF0"/>
    <w:rsid w:val="00431DBE"/>
    <w:rsid w:val="004339F3"/>
    <w:rsid w:val="00433B9F"/>
    <w:rsid w:val="00456ED5"/>
    <w:rsid w:val="0045760A"/>
    <w:rsid w:val="004610D7"/>
    <w:rsid w:val="004613B9"/>
    <w:rsid w:val="0047081D"/>
    <w:rsid w:val="00473854"/>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4F3C62"/>
    <w:rsid w:val="00501334"/>
    <w:rsid w:val="00501F2E"/>
    <w:rsid w:val="00511025"/>
    <w:rsid w:val="00516292"/>
    <w:rsid w:val="00521996"/>
    <w:rsid w:val="00522280"/>
    <w:rsid w:val="005316BD"/>
    <w:rsid w:val="00533B92"/>
    <w:rsid w:val="00534F6E"/>
    <w:rsid w:val="00535EEC"/>
    <w:rsid w:val="005370D2"/>
    <w:rsid w:val="005456E9"/>
    <w:rsid w:val="005462F7"/>
    <w:rsid w:val="005512B9"/>
    <w:rsid w:val="005521A5"/>
    <w:rsid w:val="005537EE"/>
    <w:rsid w:val="005556CE"/>
    <w:rsid w:val="00555B34"/>
    <w:rsid w:val="00557489"/>
    <w:rsid w:val="00565168"/>
    <w:rsid w:val="005656FE"/>
    <w:rsid w:val="005678E8"/>
    <w:rsid w:val="00570040"/>
    <w:rsid w:val="00577172"/>
    <w:rsid w:val="005842B3"/>
    <w:rsid w:val="00585A83"/>
    <w:rsid w:val="00591BC0"/>
    <w:rsid w:val="00593C7A"/>
    <w:rsid w:val="005963C5"/>
    <w:rsid w:val="00596757"/>
    <w:rsid w:val="005B1D70"/>
    <w:rsid w:val="005B3711"/>
    <w:rsid w:val="005B711E"/>
    <w:rsid w:val="005C064C"/>
    <w:rsid w:val="005C3A40"/>
    <w:rsid w:val="005C7FD3"/>
    <w:rsid w:val="005D0B0F"/>
    <w:rsid w:val="005D4A57"/>
    <w:rsid w:val="005D4E01"/>
    <w:rsid w:val="005D72B7"/>
    <w:rsid w:val="005D796C"/>
    <w:rsid w:val="005E2511"/>
    <w:rsid w:val="005E33E1"/>
    <w:rsid w:val="005E4015"/>
    <w:rsid w:val="005E70A2"/>
    <w:rsid w:val="005E748F"/>
    <w:rsid w:val="005F00ED"/>
    <w:rsid w:val="005F3536"/>
    <w:rsid w:val="005F4F7A"/>
    <w:rsid w:val="005F6D53"/>
    <w:rsid w:val="005F7E9F"/>
    <w:rsid w:val="00603670"/>
    <w:rsid w:val="006037D5"/>
    <w:rsid w:val="006042CE"/>
    <w:rsid w:val="00616532"/>
    <w:rsid w:val="00616AE3"/>
    <w:rsid w:val="00620F2C"/>
    <w:rsid w:val="00625BC4"/>
    <w:rsid w:val="00627F1C"/>
    <w:rsid w:val="00631641"/>
    <w:rsid w:val="00632D27"/>
    <w:rsid w:val="006333E3"/>
    <w:rsid w:val="00645320"/>
    <w:rsid w:val="0064715C"/>
    <w:rsid w:val="00653613"/>
    <w:rsid w:val="00655177"/>
    <w:rsid w:val="0066018A"/>
    <w:rsid w:val="0066051F"/>
    <w:rsid w:val="00662408"/>
    <w:rsid w:val="00673379"/>
    <w:rsid w:val="00673452"/>
    <w:rsid w:val="0067437D"/>
    <w:rsid w:val="006779F7"/>
    <w:rsid w:val="00680244"/>
    <w:rsid w:val="006817FD"/>
    <w:rsid w:val="006923B3"/>
    <w:rsid w:val="00693772"/>
    <w:rsid w:val="006948F2"/>
    <w:rsid w:val="006A61C8"/>
    <w:rsid w:val="006B07B5"/>
    <w:rsid w:val="006B1BFB"/>
    <w:rsid w:val="006B20C7"/>
    <w:rsid w:val="006B764E"/>
    <w:rsid w:val="006C6250"/>
    <w:rsid w:val="006D213E"/>
    <w:rsid w:val="006D5FC6"/>
    <w:rsid w:val="006D7E04"/>
    <w:rsid w:val="00700C51"/>
    <w:rsid w:val="00704006"/>
    <w:rsid w:val="00704031"/>
    <w:rsid w:val="00704043"/>
    <w:rsid w:val="007044E0"/>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40B0"/>
    <w:rsid w:val="007470DA"/>
    <w:rsid w:val="00750EF9"/>
    <w:rsid w:val="00756575"/>
    <w:rsid w:val="00757586"/>
    <w:rsid w:val="00760BB9"/>
    <w:rsid w:val="00761C9A"/>
    <w:rsid w:val="00762179"/>
    <w:rsid w:val="00766BD6"/>
    <w:rsid w:val="00772ED2"/>
    <w:rsid w:val="00781170"/>
    <w:rsid w:val="00781957"/>
    <w:rsid w:val="00783B9B"/>
    <w:rsid w:val="00786D28"/>
    <w:rsid w:val="00793437"/>
    <w:rsid w:val="0079465B"/>
    <w:rsid w:val="007970B7"/>
    <w:rsid w:val="007B5567"/>
    <w:rsid w:val="007B645B"/>
    <w:rsid w:val="007C5792"/>
    <w:rsid w:val="007E26FA"/>
    <w:rsid w:val="007E3EDE"/>
    <w:rsid w:val="007F26F4"/>
    <w:rsid w:val="007F35AB"/>
    <w:rsid w:val="007F6B25"/>
    <w:rsid w:val="007F6B65"/>
    <w:rsid w:val="007F6FD6"/>
    <w:rsid w:val="0080065E"/>
    <w:rsid w:val="008034FC"/>
    <w:rsid w:val="00803518"/>
    <w:rsid w:val="00811E08"/>
    <w:rsid w:val="00812470"/>
    <w:rsid w:val="008124C1"/>
    <w:rsid w:val="0082229E"/>
    <w:rsid w:val="00822940"/>
    <w:rsid w:val="00825FF0"/>
    <w:rsid w:val="00830919"/>
    <w:rsid w:val="00837C42"/>
    <w:rsid w:val="00847407"/>
    <w:rsid w:val="008537C7"/>
    <w:rsid w:val="008556E4"/>
    <w:rsid w:val="00856F2F"/>
    <w:rsid w:val="00875023"/>
    <w:rsid w:val="00881257"/>
    <w:rsid w:val="00882269"/>
    <w:rsid w:val="00895782"/>
    <w:rsid w:val="008A131D"/>
    <w:rsid w:val="008A5110"/>
    <w:rsid w:val="008A7093"/>
    <w:rsid w:val="008A75A4"/>
    <w:rsid w:val="008B2E54"/>
    <w:rsid w:val="008B5A7F"/>
    <w:rsid w:val="008B7BAC"/>
    <w:rsid w:val="008B7C71"/>
    <w:rsid w:val="008B7E88"/>
    <w:rsid w:val="008C2AB1"/>
    <w:rsid w:val="008C3917"/>
    <w:rsid w:val="008C7245"/>
    <w:rsid w:val="008D0A5A"/>
    <w:rsid w:val="008D1A5C"/>
    <w:rsid w:val="008D522B"/>
    <w:rsid w:val="008D7DFF"/>
    <w:rsid w:val="008E3CD8"/>
    <w:rsid w:val="008E49E5"/>
    <w:rsid w:val="008E6EDC"/>
    <w:rsid w:val="008F3BD8"/>
    <w:rsid w:val="008F3E0F"/>
    <w:rsid w:val="008F3F79"/>
    <w:rsid w:val="008F480D"/>
    <w:rsid w:val="008F4909"/>
    <w:rsid w:val="008F65FE"/>
    <w:rsid w:val="00901B6A"/>
    <w:rsid w:val="00903F1D"/>
    <w:rsid w:val="00904D13"/>
    <w:rsid w:val="009227C3"/>
    <w:rsid w:val="0092421F"/>
    <w:rsid w:val="009256F3"/>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31DD"/>
    <w:rsid w:val="009D4FC9"/>
    <w:rsid w:val="009E5075"/>
    <w:rsid w:val="009E5F7B"/>
    <w:rsid w:val="009F0430"/>
    <w:rsid w:val="009F22AA"/>
    <w:rsid w:val="00A042E3"/>
    <w:rsid w:val="00A0472A"/>
    <w:rsid w:val="00A04EE0"/>
    <w:rsid w:val="00A13934"/>
    <w:rsid w:val="00A16824"/>
    <w:rsid w:val="00A16C1A"/>
    <w:rsid w:val="00A202CE"/>
    <w:rsid w:val="00A258AD"/>
    <w:rsid w:val="00A30C64"/>
    <w:rsid w:val="00A35A63"/>
    <w:rsid w:val="00A40C23"/>
    <w:rsid w:val="00A444BF"/>
    <w:rsid w:val="00A45A6D"/>
    <w:rsid w:val="00A464C4"/>
    <w:rsid w:val="00A82740"/>
    <w:rsid w:val="00AA2719"/>
    <w:rsid w:val="00AA4A01"/>
    <w:rsid w:val="00AB0155"/>
    <w:rsid w:val="00AB0E1B"/>
    <w:rsid w:val="00AB5A81"/>
    <w:rsid w:val="00AB5DB2"/>
    <w:rsid w:val="00AB6105"/>
    <w:rsid w:val="00AC2AF9"/>
    <w:rsid w:val="00AD08E8"/>
    <w:rsid w:val="00AD3C05"/>
    <w:rsid w:val="00AD6219"/>
    <w:rsid w:val="00AD7A3F"/>
    <w:rsid w:val="00AE270A"/>
    <w:rsid w:val="00AE2F48"/>
    <w:rsid w:val="00AF1D6C"/>
    <w:rsid w:val="00AF4372"/>
    <w:rsid w:val="00AF449F"/>
    <w:rsid w:val="00B0099A"/>
    <w:rsid w:val="00B06AE0"/>
    <w:rsid w:val="00B141DC"/>
    <w:rsid w:val="00B16927"/>
    <w:rsid w:val="00B26C6D"/>
    <w:rsid w:val="00B408E8"/>
    <w:rsid w:val="00B4687C"/>
    <w:rsid w:val="00B5406D"/>
    <w:rsid w:val="00B617FE"/>
    <w:rsid w:val="00B6725F"/>
    <w:rsid w:val="00B8446A"/>
    <w:rsid w:val="00B85FC9"/>
    <w:rsid w:val="00B9732A"/>
    <w:rsid w:val="00B976FC"/>
    <w:rsid w:val="00BA1245"/>
    <w:rsid w:val="00BA5022"/>
    <w:rsid w:val="00BA578C"/>
    <w:rsid w:val="00BA6D2C"/>
    <w:rsid w:val="00BB45E3"/>
    <w:rsid w:val="00BB566D"/>
    <w:rsid w:val="00BB5881"/>
    <w:rsid w:val="00BB67EB"/>
    <w:rsid w:val="00BC08CD"/>
    <w:rsid w:val="00BC1A85"/>
    <w:rsid w:val="00BC4505"/>
    <w:rsid w:val="00BC697C"/>
    <w:rsid w:val="00BD3301"/>
    <w:rsid w:val="00BD441B"/>
    <w:rsid w:val="00BD4CD9"/>
    <w:rsid w:val="00BF04FE"/>
    <w:rsid w:val="00BF568B"/>
    <w:rsid w:val="00BF66FD"/>
    <w:rsid w:val="00C00098"/>
    <w:rsid w:val="00C00F04"/>
    <w:rsid w:val="00C02598"/>
    <w:rsid w:val="00C05846"/>
    <w:rsid w:val="00C15D16"/>
    <w:rsid w:val="00C163A2"/>
    <w:rsid w:val="00C2026A"/>
    <w:rsid w:val="00C21B82"/>
    <w:rsid w:val="00C31252"/>
    <w:rsid w:val="00C316F1"/>
    <w:rsid w:val="00C368FE"/>
    <w:rsid w:val="00C40805"/>
    <w:rsid w:val="00C43FA5"/>
    <w:rsid w:val="00C455DD"/>
    <w:rsid w:val="00C476C2"/>
    <w:rsid w:val="00C5033D"/>
    <w:rsid w:val="00C541C5"/>
    <w:rsid w:val="00C56A1C"/>
    <w:rsid w:val="00C65789"/>
    <w:rsid w:val="00C72F90"/>
    <w:rsid w:val="00C734A3"/>
    <w:rsid w:val="00C776A4"/>
    <w:rsid w:val="00C83E6E"/>
    <w:rsid w:val="00C84BEC"/>
    <w:rsid w:val="00C90DA1"/>
    <w:rsid w:val="00C96754"/>
    <w:rsid w:val="00C97F20"/>
    <w:rsid w:val="00CA090A"/>
    <w:rsid w:val="00CA0CCB"/>
    <w:rsid w:val="00CA0FD7"/>
    <w:rsid w:val="00CA3228"/>
    <w:rsid w:val="00CA6D2F"/>
    <w:rsid w:val="00CC17D4"/>
    <w:rsid w:val="00CC1DAC"/>
    <w:rsid w:val="00CD039B"/>
    <w:rsid w:val="00CD143C"/>
    <w:rsid w:val="00CD57F2"/>
    <w:rsid w:val="00CE011F"/>
    <w:rsid w:val="00CE71FC"/>
    <w:rsid w:val="00CF1563"/>
    <w:rsid w:val="00CF2666"/>
    <w:rsid w:val="00CF59AA"/>
    <w:rsid w:val="00CF6FBA"/>
    <w:rsid w:val="00CF740A"/>
    <w:rsid w:val="00D002F2"/>
    <w:rsid w:val="00D015A2"/>
    <w:rsid w:val="00D10E67"/>
    <w:rsid w:val="00D149A2"/>
    <w:rsid w:val="00D2020D"/>
    <w:rsid w:val="00D221F4"/>
    <w:rsid w:val="00D24487"/>
    <w:rsid w:val="00D30631"/>
    <w:rsid w:val="00D30F45"/>
    <w:rsid w:val="00D32910"/>
    <w:rsid w:val="00D42D56"/>
    <w:rsid w:val="00D4308A"/>
    <w:rsid w:val="00D467C0"/>
    <w:rsid w:val="00D513AF"/>
    <w:rsid w:val="00D533FC"/>
    <w:rsid w:val="00D61271"/>
    <w:rsid w:val="00D638E3"/>
    <w:rsid w:val="00D70EEE"/>
    <w:rsid w:val="00D7179D"/>
    <w:rsid w:val="00D71805"/>
    <w:rsid w:val="00D72607"/>
    <w:rsid w:val="00D8277B"/>
    <w:rsid w:val="00D82EF0"/>
    <w:rsid w:val="00D834B2"/>
    <w:rsid w:val="00D834DC"/>
    <w:rsid w:val="00D83BBC"/>
    <w:rsid w:val="00D91FD6"/>
    <w:rsid w:val="00D9501D"/>
    <w:rsid w:val="00D953AB"/>
    <w:rsid w:val="00D95437"/>
    <w:rsid w:val="00D95FC8"/>
    <w:rsid w:val="00D96CBE"/>
    <w:rsid w:val="00DA5447"/>
    <w:rsid w:val="00DA5ECC"/>
    <w:rsid w:val="00DA677A"/>
    <w:rsid w:val="00DA7D13"/>
    <w:rsid w:val="00DD1F0C"/>
    <w:rsid w:val="00DD2C2A"/>
    <w:rsid w:val="00DD3557"/>
    <w:rsid w:val="00DD4221"/>
    <w:rsid w:val="00DE0BAD"/>
    <w:rsid w:val="00DF706C"/>
    <w:rsid w:val="00E01F9F"/>
    <w:rsid w:val="00E053B2"/>
    <w:rsid w:val="00E06F98"/>
    <w:rsid w:val="00E07AB9"/>
    <w:rsid w:val="00E127FA"/>
    <w:rsid w:val="00E255DD"/>
    <w:rsid w:val="00E300EB"/>
    <w:rsid w:val="00E33E2A"/>
    <w:rsid w:val="00E3421A"/>
    <w:rsid w:val="00E34EB3"/>
    <w:rsid w:val="00E37829"/>
    <w:rsid w:val="00E40D9B"/>
    <w:rsid w:val="00E4552F"/>
    <w:rsid w:val="00E456ED"/>
    <w:rsid w:val="00E46F4E"/>
    <w:rsid w:val="00E52B0C"/>
    <w:rsid w:val="00E63355"/>
    <w:rsid w:val="00E70313"/>
    <w:rsid w:val="00E737BB"/>
    <w:rsid w:val="00E81F84"/>
    <w:rsid w:val="00E827E2"/>
    <w:rsid w:val="00E84F37"/>
    <w:rsid w:val="00E872EF"/>
    <w:rsid w:val="00E94445"/>
    <w:rsid w:val="00E96562"/>
    <w:rsid w:val="00EA08B8"/>
    <w:rsid w:val="00EA1D68"/>
    <w:rsid w:val="00EA6C46"/>
    <w:rsid w:val="00EB0F51"/>
    <w:rsid w:val="00EB3E5D"/>
    <w:rsid w:val="00EC6A4D"/>
    <w:rsid w:val="00EC6B71"/>
    <w:rsid w:val="00ED5181"/>
    <w:rsid w:val="00EE154B"/>
    <w:rsid w:val="00EE203B"/>
    <w:rsid w:val="00EE22B8"/>
    <w:rsid w:val="00EE582B"/>
    <w:rsid w:val="00EE6332"/>
    <w:rsid w:val="00EE7439"/>
    <w:rsid w:val="00EF1B95"/>
    <w:rsid w:val="00EF3265"/>
    <w:rsid w:val="00EF5F21"/>
    <w:rsid w:val="00F0761E"/>
    <w:rsid w:val="00F124EF"/>
    <w:rsid w:val="00F14926"/>
    <w:rsid w:val="00F14A8B"/>
    <w:rsid w:val="00F15985"/>
    <w:rsid w:val="00F1651A"/>
    <w:rsid w:val="00F16A55"/>
    <w:rsid w:val="00F20BBF"/>
    <w:rsid w:val="00F21DD8"/>
    <w:rsid w:val="00F2484C"/>
    <w:rsid w:val="00F264F6"/>
    <w:rsid w:val="00F31DBA"/>
    <w:rsid w:val="00F31E19"/>
    <w:rsid w:val="00F3488B"/>
    <w:rsid w:val="00F461FE"/>
    <w:rsid w:val="00F4747C"/>
    <w:rsid w:val="00F5165D"/>
    <w:rsid w:val="00F523A2"/>
    <w:rsid w:val="00F52796"/>
    <w:rsid w:val="00F61DA9"/>
    <w:rsid w:val="00F67ABD"/>
    <w:rsid w:val="00F705B7"/>
    <w:rsid w:val="00F71BEE"/>
    <w:rsid w:val="00F743B8"/>
    <w:rsid w:val="00F74919"/>
    <w:rsid w:val="00F82197"/>
    <w:rsid w:val="00FA5D03"/>
    <w:rsid w:val="00FB58C3"/>
    <w:rsid w:val="00FC04A0"/>
    <w:rsid w:val="00FC353C"/>
    <w:rsid w:val="00FD12C6"/>
    <w:rsid w:val="00FD28E2"/>
    <w:rsid w:val="00FD56B9"/>
    <w:rsid w:val="00FE1170"/>
    <w:rsid w:val="00FE1648"/>
    <w:rsid w:val="00FE1C63"/>
    <w:rsid w:val="00FE3A2F"/>
    <w:rsid w:val="00FF04E2"/>
    <w:rsid w:val="00FF0ED7"/>
    <w:rsid w:val="00FF424F"/>
    <w:rsid w:val="00FF737A"/>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2E651A7"/>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8F3261"/>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qFormat="1"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7"/>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7"/>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3"/>
    <w:semiHidden/>
    <w:unhideWhenUsed/>
    <w:qFormat/>
    <w:uiPriority w:val="9"/>
    <w:pPr>
      <w:keepNext/>
      <w:keepLines/>
      <w:spacing w:before="260" w:after="260" w:line="413" w:lineRule="auto"/>
      <w:outlineLvl w:val="2"/>
    </w:pPr>
    <w:rPr>
      <w:b/>
      <w:sz w:val="32"/>
    </w:rPr>
  </w:style>
  <w:style w:type="paragraph" w:styleId="5">
    <w:name w:val="heading 4"/>
    <w:basedOn w:val="1"/>
    <w:next w:val="1"/>
    <w:link w:val="11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6">
    <w:name w:val="Normal Indent"/>
    <w:basedOn w:val="1"/>
    <w:unhideWhenUsed/>
    <w:qFormat/>
    <w:uiPriority w:val="0"/>
    <w:pPr>
      <w:spacing w:line="60" w:lineRule="auto"/>
      <w:ind w:firstLine="420" w:firstLineChars="200"/>
    </w:pPr>
    <w:rPr>
      <w:rFonts w:ascii="Times New Roman" w:hAnsi="Times New Roman" w:eastAsia="宋体" w:cs="Times New Roman"/>
      <w:szCs w:val="24"/>
    </w:rPr>
  </w:style>
  <w:style w:type="paragraph" w:styleId="7">
    <w:name w:val="caption"/>
    <w:basedOn w:val="1"/>
    <w:next w:val="1"/>
    <w:qFormat/>
    <w:uiPriority w:val="0"/>
    <w:pPr>
      <w:spacing w:after="50" w:afterLines="50"/>
      <w:ind w:firstLine="200" w:firstLineChars="200"/>
      <w:jc w:val="center"/>
    </w:pPr>
    <w:rPr>
      <w:rFonts w:ascii="Times New Roman" w:hAnsi="Times New Roman" w:eastAsia="宋体" w:cs="Times New Roman"/>
      <w:szCs w:val="24"/>
    </w:rPr>
  </w:style>
  <w:style w:type="paragraph" w:styleId="8">
    <w:name w:val="annotation text"/>
    <w:basedOn w:val="1"/>
    <w:link w:val="88"/>
    <w:unhideWhenUsed/>
    <w:qFormat/>
    <w:uiPriority w:val="99"/>
    <w:pPr>
      <w:jc w:val="left"/>
    </w:pPr>
    <w:rPr>
      <w:rFonts w:ascii="Times New Roman" w:hAnsi="Times New Roman" w:eastAsia="宋体" w:cs="Times New Roman"/>
      <w:szCs w:val="24"/>
    </w:rPr>
  </w:style>
  <w:style w:type="paragraph" w:styleId="9">
    <w:name w:val="Body Text"/>
    <w:basedOn w:val="1"/>
    <w:link w:val="93"/>
    <w:semiHidden/>
    <w:unhideWhenUsed/>
    <w:qFormat/>
    <w:uiPriority w:val="99"/>
    <w:pPr>
      <w:spacing w:after="120"/>
    </w:pPr>
  </w:style>
  <w:style w:type="paragraph" w:styleId="10">
    <w:name w:val="Body Text Indent"/>
    <w:basedOn w:val="1"/>
    <w:next w:val="11"/>
    <w:link w:val="90"/>
    <w:semiHidden/>
    <w:unhideWhenUsed/>
    <w:qFormat/>
    <w:uiPriority w:val="99"/>
    <w:pPr>
      <w:spacing w:after="120"/>
      <w:ind w:left="420" w:leftChars="200"/>
    </w:pPr>
  </w:style>
  <w:style w:type="paragraph" w:styleId="11">
    <w:name w:val="envelope return"/>
    <w:basedOn w:val="1"/>
    <w:qFormat/>
    <w:uiPriority w:val="0"/>
    <w:pPr>
      <w:snapToGrid w:val="0"/>
    </w:pPr>
    <w:rPr>
      <w:rFonts w:ascii="Arial" w:hAnsi="Arial"/>
    </w:rPr>
  </w:style>
  <w:style w:type="paragraph" w:styleId="12">
    <w:name w:val="Plain Text"/>
    <w:basedOn w:val="1"/>
    <w:link w:val="62"/>
    <w:qFormat/>
    <w:uiPriority w:val="0"/>
    <w:rPr>
      <w:rFonts w:ascii="宋体" w:hAnsi="Courier New" w:eastAsia="宋体" w:cs="Times New Roman"/>
      <w:kern w:val="0"/>
      <w:sz w:val="20"/>
      <w:szCs w:val="21"/>
    </w:rPr>
  </w:style>
  <w:style w:type="paragraph" w:styleId="13">
    <w:name w:val="Balloon Text"/>
    <w:basedOn w:val="1"/>
    <w:link w:val="34"/>
    <w:semiHidden/>
    <w:unhideWhenUsed/>
    <w:qFormat/>
    <w:uiPriority w:val="99"/>
    <w:rPr>
      <w:sz w:val="18"/>
      <w:szCs w:val="18"/>
    </w:rPr>
  </w:style>
  <w:style w:type="paragraph" w:styleId="14">
    <w:name w:val="footer"/>
    <w:basedOn w:val="1"/>
    <w:link w:val="58"/>
    <w:unhideWhenUsed/>
    <w:qFormat/>
    <w:uiPriority w:val="0"/>
    <w:pPr>
      <w:tabs>
        <w:tab w:val="center" w:pos="4153"/>
        <w:tab w:val="right" w:pos="8306"/>
      </w:tabs>
      <w:snapToGrid w:val="0"/>
      <w:jc w:val="left"/>
    </w:pPr>
    <w:rPr>
      <w:sz w:val="18"/>
      <w:szCs w:val="18"/>
    </w:rPr>
  </w:style>
  <w:style w:type="paragraph" w:styleId="15">
    <w:name w:val="header"/>
    <w:basedOn w:val="1"/>
    <w:link w:val="10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nhideWhenUsed/>
    <w:qFormat/>
    <w:uiPriority w:val="39"/>
    <w:pPr>
      <w:spacing w:line="400" w:lineRule="exact"/>
      <w:jc w:val="center"/>
    </w:pPr>
    <w:rPr>
      <w:rFonts w:hint="eastAsia" w:ascii="宋体" w:hAnsi="宋体" w:eastAsia="宋体" w:cs="Times New Roman"/>
      <w:b/>
      <w:bCs/>
    </w:rPr>
  </w:style>
  <w:style w:type="paragraph" w:styleId="17">
    <w:name w:val="footnote text"/>
    <w:basedOn w:val="1"/>
    <w:link w:val="75"/>
    <w:semiHidden/>
    <w:unhideWhenUsed/>
    <w:qFormat/>
    <w:uiPriority w:val="99"/>
    <w:pPr>
      <w:snapToGrid w:val="0"/>
      <w:jc w:val="left"/>
    </w:pPr>
    <w:rPr>
      <w:sz w:val="18"/>
    </w:rPr>
  </w:style>
  <w:style w:type="paragraph" w:styleId="18">
    <w:name w:val="Body Text Indent 3"/>
    <w:basedOn w:val="1"/>
    <w:link w:val="95"/>
    <w:semiHidden/>
    <w:unhideWhenUsed/>
    <w:qFormat/>
    <w:uiPriority w:val="99"/>
    <w:pPr>
      <w:spacing w:after="120"/>
      <w:ind w:left="420" w:leftChars="200"/>
    </w:pPr>
    <w:rPr>
      <w:rFonts w:hint="eastAsia" w:ascii="等线" w:hAnsi="等线" w:eastAsia="等线" w:cs="Times New Roman"/>
      <w:sz w:val="16"/>
      <w:szCs w:val="16"/>
    </w:rPr>
  </w:style>
  <w:style w:type="paragraph" w:styleId="19">
    <w:name w:val="toc 2"/>
    <w:basedOn w:val="1"/>
    <w:next w:val="1"/>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20">
    <w:name w:val="Normal (Web)"/>
    <w:basedOn w:val="1"/>
    <w:link w:val="89"/>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Title"/>
    <w:basedOn w:val="1"/>
    <w:next w:val="1"/>
    <w:link w:val="74"/>
    <w:qFormat/>
    <w:uiPriority w:val="0"/>
    <w:pPr>
      <w:spacing w:before="240" w:after="60"/>
      <w:jc w:val="center"/>
      <w:outlineLvl w:val="0"/>
    </w:pPr>
    <w:rPr>
      <w:rFonts w:eastAsia="宋体" w:asciiTheme="majorHAnsi" w:hAnsiTheme="majorHAnsi" w:cstheme="majorBidi"/>
      <w:b/>
      <w:bCs/>
      <w:sz w:val="32"/>
      <w:szCs w:val="32"/>
    </w:rPr>
  </w:style>
  <w:style w:type="paragraph" w:styleId="22">
    <w:name w:val="annotation subject"/>
    <w:basedOn w:val="8"/>
    <w:next w:val="8"/>
    <w:link w:val="35"/>
    <w:semiHidden/>
    <w:unhideWhenUsed/>
    <w:qFormat/>
    <w:uiPriority w:val="99"/>
    <w:rPr>
      <w:b/>
      <w:bCs/>
    </w:rPr>
  </w:style>
  <w:style w:type="paragraph" w:styleId="23">
    <w:name w:val="Body Text First Indent"/>
    <w:basedOn w:val="9"/>
    <w:link w:val="96"/>
    <w:unhideWhenUsed/>
    <w:qFormat/>
    <w:uiPriority w:val="99"/>
    <w:pPr>
      <w:ind w:firstLine="420" w:firstLineChars="100"/>
    </w:pPr>
    <w:rPr>
      <w:rFonts w:ascii="Calibri" w:hAnsi="Calibri" w:eastAsia="宋体" w:cs="Times New Roman"/>
    </w:rPr>
  </w:style>
  <w:style w:type="paragraph" w:styleId="24">
    <w:name w:val="Body Text First Indent 2"/>
    <w:basedOn w:val="10"/>
    <w:next w:val="1"/>
    <w:link w:val="49"/>
    <w:semiHidden/>
    <w:unhideWhenUsed/>
    <w:qFormat/>
    <w:uiPriority w:val="99"/>
    <w:pPr>
      <w:ind w:firstLine="420" w:firstLineChars="200"/>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8">
    <w:name w:val="Strong"/>
    <w:basedOn w:val="27"/>
    <w:qFormat/>
    <w:uiPriority w:val="22"/>
    <w:rPr>
      <w:b/>
      <w:bCs/>
    </w:rPr>
  </w:style>
  <w:style w:type="character" w:styleId="29">
    <w:name w:val="annotation reference"/>
    <w:basedOn w:val="27"/>
    <w:unhideWhenUsed/>
    <w:qFormat/>
    <w:uiPriority w:val="99"/>
    <w:rPr>
      <w:sz w:val="21"/>
      <w:szCs w:val="21"/>
    </w:rPr>
  </w:style>
  <w:style w:type="character" w:customStyle="1" w:styleId="30">
    <w:name w:val="页眉 字符"/>
    <w:basedOn w:val="27"/>
    <w:qFormat/>
    <w:uiPriority w:val="99"/>
    <w:rPr>
      <w:sz w:val="18"/>
      <w:szCs w:val="18"/>
    </w:rPr>
  </w:style>
  <w:style w:type="character" w:customStyle="1" w:styleId="31">
    <w:name w:val="页脚 字符"/>
    <w:basedOn w:val="27"/>
    <w:qFormat/>
    <w:uiPriority w:val="99"/>
    <w:rPr>
      <w:sz w:val="18"/>
      <w:szCs w:val="18"/>
    </w:rPr>
  </w:style>
  <w:style w:type="paragraph" w:styleId="32">
    <w:name w:val="List Paragraph"/>
    <w:basedOn w:val="1"/>
    <w:link w:val="40"/>
    <w:qFormat/>
    <w:uiPriority w:val="99"/>
    <w:pPr>
      <w:ind w:firstLine="420" w:firstLineChars="200"/>
    </w:pPr>
  </w:style>
  <w:style w:type="character" w:customStyle="1" w:styleId="33">
    <w:name w:val="批注文字 字符"/>
    <w:basedOn w:val="27"/>
    <w:qFormat/>
    <w:uiPriority w:val="0"/>
  </w:style>
  <w:style w:type="character" w:customStyle="1" w:styleId="34">
    <w:name w:val="批注框文本 Char"/>
    <w:basedOn w:val="27"/>
    <w:link w:val="13"/>
    <w:semiHidden/>
    <w:qFormat/>
    <w:uiPriority w:val="99"/>
    <w:rPr>
      <w:sz w:val="18"/>
      <w:szCs w:val="18"/>
    </w:rPr>
  </w:style>
  <w:style w:type="character" w:customStyle="1" w:styleId="35">
    <w:name w:val="批注主题 Char"/>
    <w:basedOn w:val="33"/>
    <w:link w:val="22"/>
    <w:semiHidden/>
    <w:qFormat/>
    <w:uiPriority w:val="99"/>
    <w:rPr>
      <w:b/>
      <w:bCs/>
    </w:rPr>
  </w:style>
  <w:style w:type="character" w:customStyle="1" w:styleId="36">
    <w:name w:val="标题 Char"/>
    <w:basedOn w:val="27"/>
    <w:qFormat/>
    <w:uiPriority w:val="0"/>
    <w:rPr>
      <w:rFonts w:eastAsia="宋体" w:asciiTheme="majorHAnsi" w:hAnsiTheme="majorHAnsi" w:cstheme="majorBidi"/>
      <w:b/>
      <w:bCs/>
      <w:sz w:val="32"/>
      <w:szCs w:val="32"/>
    </w:rPr>
  </w:style>
  <w:style w:type="character" w:customStyle="1" w:styleId="37">
    <w:name w:val="标题 2 字符"/>
    <w:basedOn w:val="27"/>
    <w:qFormat/>
    <w:uiPriority w:val="0"/>
    <w:rPr>
      <w:rFonts w:ascii="Arial" w:hAnsi="Arial" w:eastAsia="黑体" w:cs="Times New Roman"/>
      <w:b/>
      <w:bCs/>
      <w:sz w:val="32"/>
      <w:szCs w:val="32"/>
    </w:rPr>
  </w:style>
  <w:style w:type="character" w:customStyle="1" w:styleId="38">
    <w:name w:val="纯文本 字符"/>
    <w:basedOn w:val="27"/>
    <w:qFormat/>
    <w:uiPriority w:val="0"/>
    <w:rPr>
      <w:rFonts w:ascii="宋体" w:hAnsi="Courier New" w:eastAsia="宋体" w:cs="Times New Roman"/>
      <w:kern w:val="0"/>
      <w:sz w:val="20"/>
      <w:szCs w:val="21"/>
    </w:rPr>
  </w:style>
  <w:style w:type="paragraph" w:customStyle="1" w:styleId="3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40">
    <w:name w:val="列出段落 Char3"/>
    <w:link w:val="32"/>
    <w:qFormat/>
    <w:uiPriority w:val="99"/>
  </w:style>
  <w:style w:type="paragraph" w:customStyle="1" w:styleId="41">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2">
    <w:name w:val="列出段落1"/>
    <w:basedOn w:val="1"/>
    <w:link w:val="43"/>
    <w:qFormat/>
    <w:uiPriority w:val="99"/>
    <w:pPr>
      <w:ind w:firstLine="420" w:firstLineChars="200"/>
    </w:pPr>
    <w:rPr>
      <w:rFonts w:ascii="Times New Roman" w:hAnsi="Times New Roman" w:eastAsia="宋体" w:cs="Times New Roman"/>
      <w:szCs w:val="21"/>
    </w:rPr>
  </w:style>
  <w:style w:type="character" w:customStyle="1" w:styleId="43">
    <w:name w:val="List Paragraph Char"/>
    <w:link w:val="42"/>
    <w:qFormat/>
    <w:locked/>
    <w:uiPriority w:val="99"/>
    <w:rPr>
      <w:rFonts w:ascii="Times New Roman" w:hAnsi="Times New Roman" w:eastAsia="宋体" w:cs="Times New Roman"/>
      <w:szCs w:val="21"/>
    </w:rPr>
  </w:style>
  <w:style w:type="paragraph" w:customStyle="1" w:styleId="44">
    <w:name w:val="_Style 121"/>
    <w:basedOn w:val="1"/>
    <w:next w:val="32"/>
    <w:qFormat/>
    <w:uiPriority w:val="34"/>
    <w:pPr>
      <w:ind w:firstLine="420" w:firstLineChars="200"/>
    </w:pPr>
    <w:rPr>
      <w:rFonts w:ascii="Calibri" w:hAnsi="Calibri" w:eastAsia="宋体" w:cs="Times New Roman"/>
    </w:rPr>
  </w:style>
  <w:style w:type="paragraph" w:customStyle="1" w:styleId="45">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7">
    <w:name w:val="纯文本 Char1"/>
    <w:qFormat/>
    <w:uiPriority w:val="0"/>
    <w:rPr>
      <w:rFonts w:ascii="宋体" w:hAnsi="Courier New" w:eastAsia="宋体" w:cs="Times New Roman"/>
      <w:kern w:val="0"/>
      <w:sz w:val="20"/>
      <w:szCs w:val="21"/>
    </w:rPr>
  </w:style>
  <w:style w:type="character" w:customStyle="1" w:styleId="48">
    <w:name w:val="正文文本缩进 字符"/>
    <w:basedOn w:val="27"/>
    <w:qFormat/>
    <w:uiPriority w:val="0"/>
    <w:rPr>
      <w:kern w:val="2"/>
      <w:sz w:val="21"/>
      <w:szCs w:val="24"/>
    </w:rPr>
  </w:style>
  <w:style w:type="character" w:customStyle="1" w:styleId="49">
    <w:name w:val="正文首行缩进 2 Char"/>
    <w:basedOn w:val="48"/>
    <w:link w:val="24"/>
    <w:qFormat/>
    <w:uiPriority w:val="0"/>
    <w:rPr>
      <w:kern w:val="2"/>
      <w:sz w:val="21"/>
      <w:szCs w:val="24"/>
    </w:rPr>
  </w:style>
  <w:style w:type="paragraph" w:customStyle="1" w:styleId="50">
    <w:name w:val="msolistparagraph"/>
    <w:basedOn w:val="1"/>
    <w:qFormat/>
    <w:uiPriority w:val="0"/>
    <w:pPr>
      <w:ind w:firstLine="420" w:firstLineChars="200"/>
    </w:pPr>
    <w:rPr>
      <w:rFonts w:ascii="Times New Roman" w:hAnsi="Times New Roman" w:eastAsia="宋体" w:cs="Times New Roman"/>
    </w:rPr>
  </w:style>
  <w:style w:type="character" w:customStyle="1" w:styleId="51">
    <w:name w:val="列出段落 Char"/>
    <w:basedOn w:val="27"/>
    <w:qFormat/>
    <w:uiPriority w:val="34"/>
    <w:rPr>
      <w:kern w:val="2"/>
      <w:sz w:val="21"/>
      <w:szCs w:val="22"/>
    </w:rPr>
  </w:style>
  <w:style w:type="character" w:customStyle="1" w:styleId="52">
    <w:name w:val="正文文本 字符"/>
    <w:basedOn w:val="27"/>
    <w:qFormat/>
    <w:uiPriority w:val="0"/>
    <w:rPr>
      <w:rFonts w:hint="default" w:ascii="Calibri" w:hAnsi="Calibri" w:eastAsia="宋体" w:cs="Times New Roman"/>
      <w:kern w:val="2"/>
      <w:sz w:val="21"/>
      <w:szCs w:val="22"/>
    </w:rPr>
  </w:style>
  <w:style w:type="character" w:customStyle="1" w:styleId="53">
    <w:name w:val="纯文本 Char"/>
    <w:basedOn w:val="27"/>
    <w:qFormat/>
    <w:uiPriority w:val="0"/>
    <w:rPr>
      <w:rFonts w:hint="eastAsia" w:ascii="宋体" w:hAnsi="Courier New" w:eastAsia="宋体" w:cs="宋体"/>
      <w:szCs w:val="21"/>
    </w:rPr>
  </w:style>
  <w:style w:type="paragraph" w:customStyle="1" w:styleId="54">
    <w:name w:val="_Style 116"/>
    <w:basedOn w:val="1"/>
    <w:next w:val="32"/>
    <w:qFormat/>
    <w:uiPriority w:val="99"/>
    <w:pPr>
      <w:ind w:firstLine="420" w:firstLineChars="200"/>
    </w:pPr>
    <w:rPr>
      <w:kern w:val="0"/>
      <w:sz w:val="20"/>
      <w:szCs w:val="20"/>
    </w:rPr>
  </w:style>
  <w:style w:type="character" w:customStyle="1" w:styleId="55">
    <w:name w:val="普通(网站) 字符"/>
    <w:basedOn w:val="27"/>
    <w:qFormat/>
    <w:uiPriority w:val="0"/>
    <w:rPr>
      <w:rFonts w:hint="eastAsia" w:ascii="宋体" w:hAnsi="宋体" w:eastAsia="宋体" w:cs="宋体"/>
      <w:sz w:val="24"/>
      <w:szCs w:val="24"/>
    </w:rPr>
  </w:style>
  <w:style w:type="character" w:customStyle="1" w:styleId="56">
    <w:name w:val="批注文字 Char"/>
    <w:basedOn w:val="27"/>
    <w:qFormat/>
    <w:uiPriority w:val="99"/>
    <w:rPr>
      <w:kern w:val="2"/>
      <w:sz w:val="21"/>
      <w:szCs w:val="24"/>
    </w:rPr>
  </w:style>
  <w:style w:type="character" w:customStyle="1" w:styleId="57">
    <w:name w:val="标题 1 Char"/>
    <w:basedOn w:val="27"/>
    <w:link w:val="2"/>
    <w:qFormat/>
    <w:uiPriority w:val="0"/>
    <w:rPr>
      <w:b/>
      <w:bCs/>
      <w:kern w:val="44"/>
      <w:sz w:val="44"/>
      <w:szCs w:val="44"/>
    </w:rPr>
  </w:style>
  <w:style w:type="character" w:customStyle="1" w:styleId="58">
    <w:name w:val="页脚 Char"/>
    <w:basedOn w:val="27"/>
    <w:link w:val="14"/>
    <w:qFormat/>
    <w:uiPriority w:val="0"/>
    <w:rPr>
      <w:kern w:val="2"/>
      <w:sz w:val="18"/>
      <w:szCs w:val="18"/>
    </w:rPr>
  </w:style>
  <w:style w:type="character" w:customStyle="1" w:styleId="59">
    <w:name w:val="页眉 字符1"/>
    <w:basedOn w:val="27"/>
    <w:qFormat/>
    <w:uiPriority w:val="0"/>
    <w:rPr>
      <w:kern w:val="2"/>
      <w:sz w:val="18"/>
      <w:szCs w:val="18"/>
    </w:rPr>
  </w:style>
  <w:style w:type="character" w:customStyle="1" w:styleId="60">
    <w:name w:val="标题 2 字符1"/>
    <w:basedOn w:val="27"/>
    <w:qFormat/>
    <w:uiPriority w:val="0"/>
    <w:rPr>
      <w:rFonts w:hint="default" w:ascii="Cambria" w:hAnsi="Cambria" w:eastAsia="Cambria" w:cs="Cambria"/>
      <w:b/>
      <w:bCs/>
      <w:kern w:val="2"/>
      <w:sz w:val="32"/>
      <w:szCs w:val="32"/>
    </w:rPr>
  </w:style>
  <w:style w:type="character" w:customStyle="1" w:styleId="61">
    <w:name w:val="列出段落 Char1"/>
    <w:basedOn w:val="27"/>
    <w:qFormat/>
    <w:uiPriority w:val="99"/>
    <w:rPr>
      <w:rFonts w:hint="default" w:ascii="Calibri" w:hAnsi="Calibri" w:cs="Calibri"/>
      <w:kern w:val="2"/>
      <w:sz w:val="21"/>
      <w:szCs w:val="22"/>
    </w:rPr>
  </w:style>
  <w:style w:type="character" w:customStyle="1" w:styleId="62">
    <w:name w:val="纯文本 Char2"/>
    <w:basedOn w:val="27"/>
    <w:link w:val="12"/>
    <w:qFormat/>
    <w:uiPriority w:val="0"/>
    <w:rPr>
      <w:rFonts w:hint="eastAsia" w:ascii="宋体" w:hAnsi="Courier New" w:eastAsia="宋体" w:cs="宋体"/>
      <w:szCs w:val="21"/>
      <w:lang w:val="zh-CN"/>
    </w:rPr>
  </w:style>
  <w:style w:type="character" w:customStyle="1" w:styleId="63">
    <w:name w:val="标题 3 Char"/>
    <w:basedOn w:val="27"/>
    <w:link w:val="4"/>
    <w:qFormat/>
    <w:uiPriority w:val="0"/>
    <w:rPr>
      <w:b/>
      <w:bCs/>
      <w:kern w:val="2"/>
      <w:sz w:val="32"/>
      <w:szCs w:val="32"/>
    </w:rPr>
  </w:style>
  <w:style w:type="paragraph" w:customStyle="1" w:styleId="64">
    <w:name w:val="列表段落2"/>
    <w:basedOn w:val="1"/>
    <w:qFormat/>
    <w:uiPriority w:val="0"/>
    <w:pPr>
      <w:ind w:firstLine="420" w:firstLineChars="200"/>
    </w:pPr>
    <w:rPr>
      <w:rFonts w:ascii="Times New Roman" w:hAnsi="Times New Roman" w:eastAsia="宋体" w:cs="Times New Roman"/>
      <w:szCs w:val="24"/>
    </w:rPr>
  </w:style>
  <w:style w:type="character" w:customStyle="1" w:styleId="65">
    <w:name w:val="正文文本首行缩进 字符"/>
    <w:qFormat/>
    <w:uiPriority w:val="0"/>
    <w:rPr>
      <w:rFonts w:hint="default" w:ascii="Calibri" w:hAnsi="Calibri" w:eastAsia="宋体" w:cs="Times New Roman"/>
      <w:kern w:val="2"/>
      <w:sz w:val="21"/>
      <w:szCs w:val="22"/>
    </w:rPr>
  </w:style>
  <w:style w:type="paragraph" w:customStyle="1" w:styleId="66">
    <w:name w:val="p0"/>
    <w:basedOn w:val="1"/>
    <w:qFormat/>
    <w:uiPriority w:val="0"/>
    <w:pPr>
      <w:widowControl/>
    </w:pPr>
    <w:rPr>
      <w:rFonts w:ascii="Calibri" w:hAnsi="Calibri" w:eastAsia="宋体" w:cs="Times New Roman"/>
      <w:kern w:val="0"/>
      <w:szCs w:val="21"/>
    </w:rPr>
  </w:style>
  <w:style w:type="character" w:customStyle="1" w:styleId="67">
    <w:name w:val="font51"/>
    <w:basedOn w:val="27"/>
    <w:qFormat/>
    <w:uiPriority w:val="0"/>
    <w:rPr>
      <w:rFonts w:hint="eastAsia" w:ascii="宋体" w:hAnsi="宋体" w:eastAsia="宋体" w:cs="宋体"/>
      <w:color w:val="000000"/>
      <w:sz w:val="21"/>
      <w:szCs w:val="21"/>
      <w:u w:val="none"/>
    </w:rPr>
  </w:style>
  <w:style w:type="character" w:customStyle="1" w:styleId="68">
    <w:name w:val="列表段落 字符2"/>
    <w:basedOn w:val="27"/>
    <w:qFormat/>
    <w:uiPriority w:val="0"/>
  </w:style>
  <w:style w:type="character" w:customStyle="1" w:styleId="69">
    <w:name w:val="NormalCharacter"/>
    <w:basedOn w:val="27"/>
    <w:qFormat/>
    <w:uiPriority w:val="0"/>
  </w:style>
  <w:style w:type="character" w:customStyle="1" w:styleId="70">
    <w:name w:val="font31"/>
    <w:basedOn w:val="27"/>
    <w:qFormat/>
    <w:uiPriority w:val="0"/>
    <w:rPr>
      <w:rFonts w:hint="default" w:ascii="Times New Roman" w:hAnsi="Times New Roman" w:cs="Times New Roman"/>
      <w:color w:val="000000"/>
      <w:sz w:val="21"/>
      <w:szCs w:val="21"/>
      <w:u w:val="none"/>
    </w:rPr>
  </w:style>
  <w:style w:type="character" w:customStyle="1" w:styleId="71">
    <w:name w:val="font21"/>
    <w:basedOn w:val="27"/>
    <w:qFormat/>
    <w:uiPriority w:val="0"/>
    <w:rPr>
      <w:rFonts w:hint="eastAsia" w:ascii="宋体" w:hAnsi="宋体" w:eastAsia="宋体" w:cs="宋体"/>
      <w:color w:val="000000"/>
      <w:sz w:val="24"/>
      <w:szCs w:val="24"/>
      <w:u w:val="none"/>
    </w:rPr>
  </w:style>
  <w:style w:type="character" w:customStyle="1" w:styleId="72">
    <w:name w:val="font11"/>
    <w:basedOn w:val="27"/>
    <w:qFormat/>
    <w:uiPriority w:val="0"/>
    <w:rPr>
      <w:rFonts w:hint="eastAsia" w:ascii="宋体" w:hAnsi="宋体" w:eastAsia="宋体" w:cs="宋体"/>
      <w:color w:val="000000"/>
      <w:sz w:val="21"/>
      <w:szCs w:val="21"/>
      <w:u w:val="none"/>
    </w:rPr>
  </w:style>
  <w:style w:type="character" w:customStyle="1" w:styleId="73">
    <w:name w:val="纯文本 字符1"/>
    <w:basedOn w:val="27"/>
    <w:qFormat/>
    <w:uiPriority w:val="0"/>
    <w:rPr>
      <w:rFonts w:hint="eastAsia" w:ascii="宋体" w:hAnsi="Courier New" w:eastAsia="宋体" w:cs="宋体"/>
      <w:szCs w:val="21"/>
    </w:rPr>
  </w:style>
  <w:style w:type="character" w:customStyle="1" w:styleId="74">
    <w:name w:val="标题 Char1"/>
    <w:basedOn w:val="27"/>
    <w:link w:val="21"/>
    <w:qFormat/>
    <w:uiPriority w:val="0"/>
    <w:rPr>
      <w:rFonts w:hint="default" w:ascii="Cambria" w:hAnsi="Cambria" w:eastAsia="Cambria" w:cs="Times New Roman"/>
      <w:b/>
      <w:bCs/>
      <w:kern w:val="2"/>
      <w:sz w:val="32"/>
      <w:szCs w:val="32"/>
    </w:rPr>
  </w:style>
  <w:style w:type="character" w:customStyle="1" w:styleId="75">
    <w:name w:val="脚注文本 Char"/>
    <w:basedOn w:val="27"/>
    <w:link w:val="17"/>
    <w:qFormat/>
    <w:uiPriority w:val="0"/>
    <w:rPr>
      <w:rFonts w:hint="eastAsia" w:ascii="宋体" w:hAnsi="宋体" w:eastAsia="宋体" w:cs="Times New Roman"/>
      <w:kern w:val="2"/>
      <w:sz w:val="24"/>
      <w:szCs w:val="18"/>
    </w:rPr>
  </w:style>
  <w:style w:type="character" w:customStyle="1" w:styleId="76">
    <w:name w:val="脚注文本 Char1"/>
    <w:basedOn w:val="27"/>
    <w:qFormat/>
    <w:uiPriority w:val="0"/>
    <w:rPr>
      <w:rFonts w:hint="default" w:ascii="Calibri" w:hAnsi="Calibri" w:eastAsia="宋体" w:cs="Times New Roman"/>
      <w:kern w:val="2"/>
      <w:sz w:val="18"/>
      <w:szCs w:val="18"/>
    </w:rPr>
  </w:style>
  <w:style w:type="character" w:customStyle="1" w:styleId="77">
    <w:name w:val="列表段落 字符1"/>
    <w:basedOn w:val="27"/>
    <w:qFormat/>
    <w:uiPriority w:val="0"/>
  </w:style>
  <w:style w:type="paragraph" w:customStyle="1" w:styleId="78">
    <w:name w:val="Table Paragraph"/>
    <w:basedOn w:val="1"/>
    <w:qFormat/>
    <w:uiPriority w:val="0"/>
    <w:rPr>
      <w:rFonts w:hint="eastAsia" w:ascii="宋体" w:hAnsi="宋体" w:eastAsia="宋体" w:cs="Times New Roman"/>
      <w:szCs w:val="24"/>
    </w:rPr>
  </w:style>
  <w:style w:type="character" w:customStyle="1" w:styleId="79">
    <w:name w:val="font41"/>
    <w:basedOn w:val="27"/>
    <w:qFormat/>
    <w:uiPriority w:val="0"/>
    <w:rPr>
      <w:rFonts w:hint="eastAsia" w:ascii="宋体" w:hAnsi="宋体" w:eastAsia="宋体" w:cs="宋体"/>
      <w:color w:val="FF0000"/>
      <w:sz w:val="24"/>
      <w:szCs w:val="24"/>
      <w:u w:val="none"/>
    </w:rPr>
  </w:style>
  <w:style w:type="character" w:customStyle="1" w:styleId="80">
    <w:name w:val="font91"/>
    <w:basedOn w:val="27"/>
    <w:qFormat/>
    <w:uiPriority w:val="0"/>
    <w:rPr>
      <w:rFonts w:hint="default" w:ascii="Times New Roman" w:hAnsi="Times New Roman" w:cs="Times New Roman"/>
      <w:color w:val="000000"/>
      <w:sz w:val="21"/>
      <w:szCs w:val="21"/>
      <w:u w:val="none"/>
    </w:rPr>
  </w:style>
  <w:style w:type="paragraph" w:customStyle="1" w:styleId="81">
    <w:name w:val="正文_0_0"/>
    <w:basedOn w:val="1"/>
    <w:qFormat/>
    <w:uiPriority w:val="0"/>
    <w:rPr>
      <w:rFonts w:ascii="Calibri" w:hAnsi="Calibri" w:eastAsia="宋体" w:cs="Times New Roman"/>
    </w:rPr>
  </w:style>
  <w:style w:type="character" w:customStyle="1" w:styleId="82">
    <w:name w:val="批注文字 字符1"/>
    <w:basedOn w:val="27"/>
    <w:qFormat/>
    <w:uiPriority w:val="0"/>
    <w:rPr>
      <w:szCs w:val="24"/>
    </w:rPr>
  </w:style>
  <w:style w:type="character" w:customStyle="1" w:styleId="83">
    <w:name w:val="列表段落 字符"/>
    <w:basedOn w:val="27"/>
    <w:qFormat/>
    <w:uiPriority w:val="0"/>
    <w:rPr>
      <w:rFonts w:hint="default" w:ascii="Calibri" w:hAnsi="Calibri" w:cs="Calibri"/>
      <w:kern w:val="2"/>
      <w:sz w:val="21"/>
      <w:szCs w:val="22"/>
    </w:rPr>
  </w:style>
  <w:style w:type="paragraph" w:customStyle="1" w:styleId="84">
    <w:name w:val="_Style 24"/>
    <w:basedOn w:val="1"/>
    <w:qFormat/>
    <w:uiPriority w:val="0"/>
    <w:pPr>
      <w:ind w:firstLine="420" w:firstLineChars="200"/>
    </w:pPr>
    <w:rPr>
      <w:rFonts w:ascii="Calibri" w:hAnsi="Calibri" w:eastAsia="宋体" w:cs="Times New Roman"/>
    </w:rPr>
  </w:style>
  <w:style w:type="character" w:customStyle="1" w:styleId="85">
    <w:name w:val="列表段落 字符3"/>
    <w:basedOn w:val="27"/>
    <w:qFormat/>
    <w:uiPriority w:val="0"/>
    <w:rPr>
      <w:rFonts w:hint="default" w:ascii="Calibri" w:hAnsi="Calibri" w:eastAsia="宋体" w:cs="Times New Roman"/>
      <w:kern w:val="2"/>
      <w:sz w:val="21"/>
      <w:szCs w:val="22"/>
    </w:rPr>
  </w:style>
  <w:style w:type="character" w:customStyle="1" w:styleId="86">
    <w:name w:val="列出段落 Char2"/>
    <w:basedOn w:val="27"/>
    <w:qFormat/>
    <w:uiPriority w:val="0"/>
    <w:rPr>
      <w:rFonts w:hint="default" w:ascii="Calibri" w:hAnsi="Calibri" w:eastAsia="宋体" w:cs="Times New Roman"/>
      <w:kern w:val="2"/>
      <w:sz w:val="21"/>
      <w:szCs w:val="22"/>
    </w:rPr>
  </w:style>
  <w:style w:type="character" w:customStyle="1" w:styleId="87">
    <w:name w:val="标题 2 Char1"/>
    <w:basedOn w:val="27"/>
    <w:link w:val="3"/>
    <w:qFormat/>
    <w:uiPriority w:val="0"/>
    <w:rPr>
      <w:rFonts w:hint="default" w:ascii="Arial" w:hAnsi="Arial" w:eastAsia="黑体" w:cs="Arial"/>
      <w:b/>
      <w:bCs/>
      <w:kern w:val="2"/>
      <w:sz w:val="32"/>
      <w:szCs w:val="32"/>
    </w:rPr>
  </w:style>
  <w:style w:type="character" w:customStyle="1" w:styleId="88">
    <w:name w:val="批注文字 Char1"/>
    <w:basedOn w:val="27"/>
    <w:link w:val="8"/>
    <w:qFormat/>
    <w:uiPriority w:val="99"/>
    <w:rPr>
      <w:kern w:val="2"/>
      <w:sz w:val="21"/>
      <w:szCs w:val="24"/>
    </w:rPr>
  </w:style>
  <w:style w:type="character" w:customStyle="1" w:styleId="89">
    <w:name w:val="普通(网站) Char"/>
    <w:basedOn w:val="27"/>
    <w:link w:val="20"/>
    <w:qFormat/>
    <w:uiPriority w:val="0"/>
    <w:rPr>
      <w:rFonts w:hint="eastAsia" w:ascii="宋体" w:hAnsi="宋体" w:eastAsia="宋体" w:cs="宋体"/>
      <w:sz w:val="24"/>
      <w:szCs w:val="24"/>
    </w:rPr>
  </w:style>
  <w:style w:type="character" w:customStyle="1" w:styleId="90">
    <w:name w:val="正文文本缩进 Char"/>
    <w:basedOn w:val="27"/>
    <w:link w:val="10"/>
    <w:qFormat/>
    <w:uiPriority w:val="0"/>
    <w:rPr>
      <w:kern w:val="2"/>
      <w:sz w:val="21"/>
      <w:szCs w:val="22"/>
    </w:rPr>
  </w:style>
  <w:style w:type="paragraph" w:customStyle="1" w:styleId="91">
    <w:name w:val="正文文本首行缩进 21"/>
    <w:basedOn w:val="10"/>
    <w:qFormat/>
    <w:uiPriority w:val="0"/>
    <w:pPr>
      <w:ind w:firstLine="420" w:firstLineChars="200"/>
    </w:pPr>
    <w:rPr>
      <w:rFonts w:ascii="Times New Roman" w:hAnsi="Times New Roman" w:eastAsia="宋体" w:cs="Times New Roman"/>
      <w:kern w:val="0"/>
      <w:sz w:val="20"/>
      <w:szCs w:val="20"/>
    </w:rPr>
  </w:style>
  <w:style w:type="paragraph" w:customStyle="1" w:styleId="92">
    <w:name w:val="_Style 5"/>
    <w:basedOn w:val="1"/>
    <w:next w:val="1"/>
    <w:qFormat/>
    <w:uiPriority w:val="0"/>
    <w:pPr>
      <w:ind w:firstLine="420" w:firstLineChars="200"/>
    </w:pPr>
    <w:rPr>
      <w:rFonts w:ascii="Times New Roman" w:hAnsi="Times New Roman" w:eastAsia="宋体" w:cs="Times New Roman"/>
    </w:rPr>
  </w:style>
  <w:style w:type="character" w:customStyle="1" w:styleId="93">
    <w:name w:val="正文文本 Char"/>
    <w:basedOn w:val="27"/>
    <w:link w:val="9"/>
    <w:qFormat/>
    <w:uiPriority w:val="0"/>
    <w:rPr>
      <w:rFonts w:hint="default" w:ascii="Calibri" w:hAnsi="Calibri" w:eastAsia="宋体" w:cs="Times New Roman"/>
      <w:kern w:val="2"/>
      <w:sz w:val="21"/>
      <w:szCs w:val="22"/>
    </w:rPr>
  </w:style>
  <w:style w:type="paragraph" w:customStyle="1" w:styleId="94">
    <w:name w:val="列表段落1"/>
    <w:basedOn w:val="1"/>
    <w:qFormat/>
    <w:uiPriority w:val="0"/>
    <w:pPr>
      <w:ind w:firstLine="420" w:firstLineChars="200"/>
    </w:pPr>
    <w:rPr>
      <w:rFonts w:hint="eastAsia" w:ascii="等线" w:hAnsi="等线" w:eastAsia="等线" w:cs="Times New Roman"/>
    </w:rPr>
  </w:style>
  <w:style w:type="character" w:customStyle="1" w:styleId="95">
    <w:name w:val="正文文本缩进 3 Char"/>
    <w:basedOn w:val="27"/>
    <w:link w:val="18"/>
    <w:qFormat/>
    <w:uiPriority w:val="0"/>
    <w:rPr>
      <w:rFonts w:hint="eastAsia" w:ascii="等线" w:hAnsi="等线" w:eastAsia="等线" w:cs="等线"/>
      <w:kern w:val="2"/>
      <w:sz w:val="16"/>
      <w:szCs w:val="16"/>
    </w:rPr>
  </w:style>
  <w:style w:type="character" w:customStyle="1" w:styleId="96">
    <w:name w:val="正文首行缩进 Char"/>
    <w:link w:val="23"/>
    <w:qFormat/>
    <w:uiPriority w:val="0"/>
    <w:rPr>
      <w:rFonts w:hint="default" w:ascii="Calibri" w:hAnsi="Calibri" w:eastAsia="楷体_GB2312" w:cs="Calibri"/>
      <w:kern w:val="2"/>
      <w:sz w:val="32"/>
      <w:szCs w:val="22"/>
    </w:rPr>
  </w:style>
  <w:style w:type="character" w:customStyle="1" w:styleId="97">
    <w:name w:val="表格文字 Char"/>
    <w:basedOn w:val="27"/>
    <w:link w:val="98"/>
    <w:qFormat/>
    <w:uiPriority w:val="0"/>
    <w:rPr>
      <w:bCs/>
      <w:spacing w:val="10"/>
      <w:sz w:val="24"/>
    </w:rPr>
  </w:style>
  <w:style w:type="paragraph" w:customStyle="1" w:styleId="98">
    <w:name w:val="表格文字"/>
    <w:basedOn w:val="1"/>
    <w:link w:val="97"/>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9">
    <w:name w:val="_Style 3"/>
    <w:basedOn w:val="1"/>
    <w:qFormat/>
    <w:uiPriority w:val="0"/>
    <w:rPr>
      <w:rFonts w:ascii="Times New Roman" w:hAnsi="Times New Roman" w:eastAsia="宋体" w:cs="Times New Roman"/>
    </w:rPr>
  </w:style>
  <w:style w:type="paragraph" w:customStyle="1" w:styleId="100">
    <w:name w:val="列表段落3"/>
    <w:basedOn w:val="1"/>
    <w:qFormat/>
    <w:uiPriority w:val="0"/>
    <w:pPr>
      <w:ind w:firstLine="420" w:firstLineChars="200"/>
    </w:pPr>
    <w:rPr>
      <w:rFonts w:ascii="Calibri" w:hAnsi="Calibri" w:eastAsia="宋体" w:cs="Times New Roman"/>
    </w:rPr>
  </w:style>
  <w:style w:type="character" w:customStyle="1" w:styleId="101">
    <w:name w:val="15"/>
    <w:basedOn w:val="27"/>
    <w:qFormat/>
    <w:uiPriority w:val="0"/>
    <w:rPr>
      <w:rFonts w:hint="default" w:ascii="Times New Roman" w:hAnsi="Times New Roman" w:cs="Times New Roman"/>
      <w:b/>
      <w:bCs/>
    </w:rPr>
  </w:style>
  <w:style w:type="character" w:customStyle="1" w:styleId="102">
    <w:name w:val="正文首行缩进 2 Char1"/>
    <w:basedOn w:val="27"/>
    <w:qFormat/>
    <w:uiPriority w:val="0"/>
  </w:style>
  <w:style w:type="character" w:customStyle="1" w:styleId="103">
    <w:name w:val="页眉 Char"/>
    <w:basedOn w:val="27"/>
    <w:link w:val="15"/>
    <w:qFormat/>
    <w:uiPriority w:val="0"/>
    <w:rPr>
      <w:sz w:val="18"/>
      <w:szCs w:val="18"/>
    </w:rPr>
  </w:style>
  <w:style w:type="character" w:customStyle="1" w:styleId="104">
    <w:name w:val="页眉 Char1"/>
    <w:qFormat/>
    <w:uiPriority w:val="99"/>
    <w:rPr>
      <w:sz w:val="18"/>
      <w:szCs w:val="18"/>
      <w:lang w:val="zh-CN" w:eastAsia="zh-CN"/>
    </w:rPr>
  </w:style>
  <w:style w:type="character" w:customStyle="1" w:styleId="105">
    <w:name w:val="标题 2 Char"/>
    <w:basedOn w:val="27"/>
    <w:qFormat/>
    <w:uiPriority w:val="0"/>
    <w:rPr>
      <w:rFonts w:ascii="Arial" w:hAnsi="Arial" w:eastAsia="黑体" w:cs="Times New Roman"/>
      <w:b/>
      <w:bCs/>
      <w:sz w:val="32"/>
      <w:szCs w:val="32"/>
    </w:rPr>
  </w:style>
  <w:style w:type="paragraph" w:customStyle="1" w:styleId="106">
    <w:name w:val="正文1"/>
    <w:basedOn w:val="1"/>
    <w:qFormat/>
    <w:uiPriority w:val="0"/>
    <w:pPr>
      <w:widowControl/>
      <w:overflowPunct w:val="0"/>
      <w:autoSpaceDE w:val="0"/>
      <w:autoSpaceDN w:val="0"/>
      <w:adjustRightInd w:val="0"/>
      <w:textAlignment w:val="baseline"/>
    </w:pPr>
    <w:rPr>
      <w:rFonts w:ascii="宋体" w:hAnsi="Calibri" w:eastAsia="宋体" w:cs="Times New Roman"/>
      <w:kern w:val="0"/>
      <w:szCs w:val="20"/>
    </w:rPr>
  </w:style>
  <w:style w:type="paragraph" w:customStyle="1" w:styleId="107">
    <w:name w:val="样式 正文首行缩进 + 宋体 小四 首行缩进:  1 字符"/>
    <w:basedOn w:val="1"/>
    <w:next w:val="1"/>
    <w:qFormat/>
    <w:uiPriority w:val="0"/>
    <w:pPr>
      <w:spacing w:after="120" w:line="360" w:lineRule="auto"/>
      <w:ind w:firstLine="150" w:firstLineChars="150"/>
    </w:pPr>
    <w:rPr>
      <w:rFonts w:ascii="宋体" w:hAnsi="宋体" w:eastAsia="宋体" w:cs="Times New Roman"/>
      <w:sz w:val="24"/>
      <w:szCs w:val="20"/>
    </w:rPr>
  </w:style>
  <w:style w:type="paragraph" w:customStyle="1" w:styleId="108">
    <w:name w:val="AOHead3"/>
    <w:basedOn w:val="1"/>
    <w:next w:val="1"/>
    <w:qFormat/>
    <w:uiPriority w:val="0"/>
    <w:pPr>
      <w:spacing w:line="360" w:lineRule="auto"/>
      <w:ind w:left="1260" w:firstLine="480" w:firstLineChars="200"/>
      <w:outlineLvl w:val="2"/>
    </w:pPr>
    <w:rPr>
      <w:rFonts w:ascii="Times New Roman" w:hAnsi="Times New Roman" w:eastAsia="宋体"/>
      <w:color w:val="0000FF"/>
      <w:sz w:val="24"/>
      <w:szCs w:val="24"/>
    </w:rPr>
  </w:style>
  <w:style w:type="character" w:customStyle="1" w:styleId="109">
    <w:name w:val="font01"/>
    <w:basedOn w:val="27"/>
    <w:uiPriority w:val="0"/>
    <w:rPr>
      <w:rFonts w:ascii="Arial" w:hAnsi="Arial" w:cs="Arial"/>
      <w:color w:val="000000"/>
      <w:sz w:val="24"/>
      <w:szCs w:val="24"/>
      <w:u w:val="none"/>
    </w:rPr>
  </w:style>
  <w:style w:type="character" w:customStyle="1" w:styleId="110">
    <w:name w:val="标题 4 Char"/>
    <w:basedOn w:val="27"/>
    <w:link w:val="5"/>
    <w:semiHidden/>
    <w:uiPriority w:val="9"/>
    <w:rPr>
      <w:rFonts w:asciiTheme="majorHAnsi" w:hAnsiTheme="majorHAnsi" w:eastAsiaTheme="majorEastAsia" w:cstheme="majorBidi"/>
      <w:b/>
      <w:bCs/>
      <w:kern w:val="2"/>
      <w:sz w:val="28"/>
      <w:szCs w:val="28"/>
    </w:rPr>
  </w:style>
  <w:style w:type="paragraph" w:customStyle="1" w:styleId="111">
    <w:name w:val="一级标题"/>
    <w:basedOn w:val="1"/>
    <w:qFormat/>
    <w:uiPriority w:val="0"/>
    <w:pPr>
      <w:numPr>
        <w:ilvl w:val="0"/>
        <w:numId w:val="2"/>
      </w:numPr>
      <w:jc w:val="left"/>
      <w:outlineLvl w:val="0"/>
    </w:pPr>
    <w:rPr>
      <w:rFonts w:ascii="黑体" w:hAnsi="宋体" w:eastAsia="黑体" w:cs="Times New Roman"/>
      <w:sz w:val="30"/>
      <w:szCs w:val="30"/>
    </w:rPr>
  </w:style>
  <w:style w:type="paragraph" w:customStyle="1" w:styleId="112">
    <w:name w:val="二级标题"/>
    <w:basedOn w:val="1"/>
    <w:qFormat/>
    <w:uiPriority w:val="0"/>
    <w:pPr>
      <w:numPr>
        <w:ilvl w:val="1"/>
        <w:numId w:val="2"/>
      </w:numPr>
      <w:jc w:val="left"/>
      <w:outlineLvl w:val="1"/>
    </w:pPr>
    <w:rPr>
      <w:rFonts w:ascii="楷体_GB2312" w:hAnsi="楷体_GB2312" w:eastAsia="方正小标宋简体" w:cs="Times New Roman"/>
      <w:bCs/>
      <w:sz w:val="28"/>
      <w:szCs w:val="28"/>
    </w:rPr>
  </w:style>
  <w:style w:type="paragraph" w:customStyle="1" w:styleId="113">
    <w:name w:val="三级标题"/>
    <w:basedOn w:val="1"/>
    <w:qFormat/>
    <w:uiPriority w:val="0"/>
    <w:pPr>
      <w:jc w:val="left"/>
      <w:outlineLvl w:val="2"/>
    </w:pPr>
    <w:rPr>
      <w:rFonts w:ascii="仿宋_GB2312" w:hAnsi="仿宋" w:eastAsia="仿宋_GB2312" w:cs="Times New Roman"/>
      <w:b/>
      <w:sz w:val="28"/>
      <w:szCs w:val="28"/>
    </w:rPr>
  </w:style>
  <w:style w:type="paragraph" w:customStyle="1" w:styleId="114">
    <w:name w:val="立项表格"/>
    <w:basedOn w:val="1"/>
    <w:qFormat/>
    <w:uiPriority w:val="0"/>
    <w:pPr>
      <w:widowControl/>
      <w:contextualSpacing/>
      <w:jc w:val="center"/>
    </w:pPr>
    <w:rPr>
      <w:rFonts w:ascii="Times New Roman" w:hAnsi="Times New Roman" w:eastAsia="宋体" w:cs="Times New Roman"/>
      <w:sz w:val="24"/>
      <w:szCs w:val="24"/>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9503-BCD4-4615-94F3-6C665705037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18</Pages>
  <Words>1712</Words>
  <Characters>9762</Characters>
  <Lines>81</Lines>
  <Paragraphs>22</Paragraphs>
  <TotalTime>4</TotalTime>
  <ScaleCrop>false</ScaleCrop>
  <LinksUpToDate>false</LinksUpToDate>
  <CharactersWithSpaces>11452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2024-04-23T04:12:00Z</dcterms:created>
  <dc:creator>dreamsummit</dc:creator>
  <cp:lastModifiedBy>機智姐姐</cp:lastModifiedBy>
  <cp:lastPrinted>2018-10-16T04:01:00Z</cp:lastPrinted>
  <dcterms:modified xsi:type="dcterms:W3CDTF">2024-04-24T01:28:01Z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95CFFEDA7D72449089FA56C3B54B0C91_13</vt:lpwstr>
  </property>
</Properties>
</file>