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bookmarkStart w:id="21" w:name="_GoBack"/>
      <w:bookmarkEnd w:id="21"/>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ind w:left="1405" w:hanging="1405" w:hangingChars="500"/>
        <w:jc w:val="left"/>
        <w:rPr>
          <w:rFonts w:hint="eastAsia" w:ascii="宋体" w:hAnsi="宋体" w:eastAsia="宋体" w:cs="宋体"/>
          <w:b/>
          <w:bCs/>
          <w:color w:val="000000" w:themeColor="text1"/>
          <w:sz w:val="28"/>
          <w:szCs w:val="32"/>
          <w:u w:val="single"/>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肇庆监狱民警职工第三届“奋进杯”男子篮球比赛采购项目</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auto"/>
          <w:sz w:val="28"/>
          <w:szCs w:val="32"/>
        </w:rPr>
      </w:pPr>
      <w:r>
        <w:rPr>
          <w:rFonts w:hint="eastAsia" w:ascii="宋体" w:hAnsi="宋体" w:eastAsia="宋体" w:cs="宋体"/>
          <w:b/>
          <w:bCs/>
          <w:color w:val="000000" w:themeColor="text1"/>
          <w:sz w:val="28"/>
          <w:szCs w:val="32"/>
          <w14:textFill>
            <w14:solidFill>
              <w14:schemeClr w14:val="tx1"/>
            </w14:solidFill>
          </w14:textFill>
        </w:rPr>
        <w:t>广东省肇</w:t>
      </w:r>
      <w:r>
        <w:rPr>
          <w:rFonts w:hint="eastAsia" w:ascii="宋体" w:hAnsi="宋体" w:eastAsia="宋体" w:cs="宋体"/>
          <w:b/>
          <w:bCs/>
          <w:color w:val="auto"/>
          <w:sz w:val="28"/>
          <w:szCs w:val="32"/>
        </w:rPr>
        <w:t>庆监狱工会委员会</w:t>
      </w:r>
    </w:p>
    <w:p>
      <w:pPr>
        <w:autoSpaceDE w:val="0"/>
        <w:autoSpaceDN w:val="0"/>
        <w:adjustRightInd w:val="0"/>
        <w:snapToGrid w:val="0"/>
        <w:spacing w:line="360" w:lineRule="auto"/>
        <w:ind w:left="420" w:firstLine="420"/>
        <w:jc w:val="center"/>
        <w:rPr>
          <w:rFonts w:ascii="宋体" w:hAnsi="宋体" w:eastAsia="宋体" w:cs="宋体"/>
          <w:b/>
          <w:color w:val="auto"/>
          <w:sz w:val="28"/>
        </w:rPr>
      </w:pPr>
      <w:r>
        <w:rPr>
          <w:rFonts w:hint="eastAsia" w:ascii="宋体" w:hAnsi="宋体" w:eastAsia="宋体" w:cs="宋体"/>
          <w:b/>
          <w:color w:val="auto"/>
          <w:sz w:val="28"/>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auto"/>
          <w:sz w:val="28"/>
        </w:rPr>
        <w:t>二〇二四</w:t>
      </w:r>
      <w:r>
        <w:rPr>
          <w:rFonts w:hint="eastAsia" w:ascii="宋体" w:hAnsi="宋体" w:eastAsia="宋体" w:cs="宋体"/>
          <w:b/>
          <w:color w:val="000000" w:themeColor="text1"/>
          <w:sz w:val="28"/>
          <w14:textFill>
            <w14:solidFill>
              <w14:schemeClr w14:val="tx1"/>
            </w14:solidFill>
          </w14:textFill>
        </w:rPr>
        <w:t>年一月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参与竞价的供应商应承担所有与准备和参加竞价有关的费用，不论竞价的结果如何，采购人和代理机构均无义务和责任承担这些费用。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需求书的所有条款进行整体响应，</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szCs w:val="21"/>
          <w:lang w:val="zh-CN"/>
          <w14:textFill>
            <w14:solidFill>
              <w14:schemeClr w14:val="tx1"/>
            </w14:solidFill>
          </w14:textFill>
        </w:rPr>
        <w:t>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参与竞价的供应商向我司咨询的有关项目事项，一切以竞价文件规定和竞价公告规定以及本公司的书面答复为准，其他一切形式均为个人意见，不代表本公司的意见。</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并充分理解竞价文件的全部内容（包括所有的补充、修改内容重要事项、格式、条款、服务要求和技术规范、参数及要求等）。供应商没有按照竞价文件要求提交全部资料，或者参与竞价所上传的文件没有对竞价文件在各方面都作出实质性响应是供应商的风险，有可能导致其竞价被拒绝，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如报名截止时间少于一个工作日的，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报名</w:t>
      </w:r>
      <w:r>
        <w:rPr>
          <w:rFonts w:ascii="宋体" w:hAnsi="宋体" w:eastAsia="宋体" w:cs="宋体"/>
          <w:color w:val="000000" w:themeColor="text1"/>
          <w:kern w:val="0"/>
          <w:szCs w:val="20"/>
          <w14:textFill>
            <w14:solidFill>
              <w14:schemeClr w14:val="tx1"/>
            </w14:solidFill>
          </w14:textFill>
        </w:rPr>
        <w:t>供应商须是：具有良好的商业信誉和健全的财务会计制度；有依法缴纳税收和社会保障资金的良好记录；</w:t>
      </w:r>
      <w:r>
        <w:rPr>
          <w:rFonts w:hint="eastAsia" w:ascii="宋体" w:hAnsi="宋体" w:eastAsia="宋体" w:cs="宋体"/>
          <w:color w:val="000000" w:themeColor="text1"/>
          <w:kern w:val="0"/>
          <w:szCs w:val="20"/>
          <w14:textFill>
            <w14:solidFill>
              <w14:schemeClr w14:val="tx1"/>
            </w14:solidFill>
          </w14:textFill>
        </w:rPr>
        <w:t>具有</w:t>
      </w:r>
      <w:r>
        <w:rPr>
          <w:rFonts w:ascii="宋体" w:hAnsi="宋体" w:eastAsia="宋体" w:cs="宋体"/>
          <w:color w:val="000000" w:themeColor="text1"/>
          <w:kern w:val="0"/>
          <w:szCs w:val="20"/>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ascii="宋体" w:hAnsi="宋体" w:eastAsia="宋体" w:cs="宋体"/>
          <w:color w:val="000000" w:themeColor="text1"/>
          <w:kern w:val="0"/>
          <w:szCs w:val="20"/>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需求的条款、内容及要求的，提供</w:t>
      </w:r>
      <w:r>
        <w:rPr>
          <w:rFonts w:hint="eastAsia" w:ascii="宋体" w:hAnsi="宋体" w:cs="宋体"/>
          <w:color w:val="000000" w:themeColor="text1"/>
          <w14:textFill>
            <w14:solidFill>
              <w14:schemeClr w14:val="tx1"/>
            </w14:solidFill>
          </w14:textFill>
        </w:rPr>
        <w:t>采购</w:t>
      </w:r>
      <w:r>
        <w:rPr>
          <w:rFonts w:hint="eastAsia" w:ascii="宋体" w:hAnsi="宋体" w:eastAsia="宋体" w:cs="宋体"/>
          <w:color w:val="000000" w:themeColor="text1"/>
          <w:kern w:val="0"/>
          <w:szCs w:val="21"/>
          <w14:textFill>
            <w14:solidFill>
              <w14:schemeClr w14:val="tx1"/>
            </w14:solidFill>
          </w14:textFill>
        </w:rPr>
        <w:t>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通过报名供应商应根据本公告要求，在规定的竞价时间内对采购项目进行报价，同时按本公告要求完整、真实、准确地填写并上传相应报价附件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8"/>
        </w:numPr>
        <w:spacing w:line="360" w:lineRule="auto"/>
        <w:ind w:left="840" w:hanging="420" w:firstLineChars="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本项目以下浮率形式进行报价，如项目存在最高限价或单价最高限价，成交总金额（单价）=最高限价（单价最高限价）×（1-下浮率）。报价时间截止后，系统按下浮率由高到低顺序排列</w:t>
      </w:r>
      <w:r>
        <w:rPr>
          <w:rFonts w:hint="eastAsia" w:ascii="宋体" w:hAnsi="宋体" w:eastAsia="宋体" w:cs="宋体"/>
          <w:bCs/>
          <w:color w:val="000000" w:themeColor="text1"/>
          <w14:textFill>
            <w14:solidFill>
              <w14:schemeClr w14:val="tx1"/>
            </w14:solidFill>
          </w14:textFill>
        </w:rPr>
        <w:t>，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42"/>
        <w:numPr>
          <w:ilvl w:val="0"/>
          <w:numId w:val="9"/>
        </w:numPr>
        <w:spacing w:line="360" w:lineRule="auto"/>
        <w:ind w:left="840" w:hanging="420" w:firstLineChars="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下浮率报价没有大于或等于100%，也没有为负数，且是固定唯一值的，否则为无效报价。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numPr>
          <w:ilvl w:val="0"/>
          <w:numId w:val="11"/>
        </w:numPr>
        <w:spacing w:line="360" w:lineRule="auto"/>
        <w:ind w:left="840" w:leftChars="200" w:hanging="420" w:firstLineChars="0"/>
        <w:rPr>
          <w:rFonts w:ascii="宋体" w:hAnsi="宋体" w:eastAsia="宋体" w:cs="宋体"/>
          <w:color w:val="000000"/>
        </w:rPr>
      </w:pPr>
      <w:r>
        <w:rPr>
          <w:rFonts w:hint="eastAsia" w:ascii="宋体" w:hAnsi="宋体" w:eastAsia="宋体" w:cs="宋体"/>
          <w:color w:val="000000"/>
          <w:szCs w:val="21"/>
        </w:rPr>
        <w:t>出现下列情况的，本项目竞价活动失败：</w:t>
      </w:r>
    </w:p>
    <w:p>
      <w:pPr>
        <w:pStyle w:val="30"/>
        <w:numPr>
          <w:ilvl w:val="0"/>
          <w:numId w:val="12"/>
        </w:numPr>
        <w:spacing w:line="360" w:lineRule="auto"/>
        <w:ind w:left="1260" w:leftChars="600" w:firstLineChars="0"/>
        <w:rPr>
          <w:rFonts w:ascii="宋体" w:hAnsi="宋体" w:eastAsia="宋体" w:cs="宋体"/>
          <w:color w:val="000000"/>
        </w:rPr>
      </w:pPr>
      <w:r>
        <w:rPr>
          <w:rFonts w:hint="eastAsia" w:ascii="宋体" w:hAnsi="宋体" w:eastAsia="宋体" w:cs="宋体"/>
          <w:color w:val="000000"/>
        </w:rPr>
        <w:t>有效报名供应商不足3家；</w:t>
      </w:r>
    </w:p>
    <w:p>
      <w:pPr>
        <w:pStyle w:val="30"/>
        <w:numPr>
          <w:ilvl w:val="0"/>
          <w:numId w:val="12"/>
        </w:numPr>
        <w:spacing w:line="360" w:lineRule="auto"/>
        <w:ind w:left="1260" w:leftChars="600" w:firstLineChars="0"/>
        <w:rPr>
          <w:rFonts w:ascii="宋体" w:hAnsi="宋体" w:eastAsia="宋体" w:cs="宋体"/>
          <w:color w:val="000000"/>
          <w:szCs w:val="21"/>
        </w:rPr>
      </w:pPr>
      <w:r>
        <w:rPr>
          <w:rFonts w:hint="eastAsia" w:ascii="宋体" w:hAnsi="宋体" w:eastAsia="宋体" w:cs="宋体"/>
          <w:color w:val="000000"/>
        </w:rPr>
        <w:t>有效报价供应商不足3家。</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30"/>
        <w:spacing w:line="360" w:lineRule="auto"/>
        <w:ind w:left="420" w:firstLine="0" w:firstLineChars="0"/>
        <w:rPr>
          <w:rFonts w:ascii="宋体" w:hAnsi="宋体" w:eastAsia="宋体" w:cstheme="minorEastAsia"/>
          <w:b/>
          <w:color w:val="000000" w:themeColor="text1"/>
          <w14:textFill>
            <w14:solidFill>
              <w14:schemeClr w14:val="tx1"/>
            </w14:solidFill>
          </w14:textFill>
        </w:rPr>
      </w:pPr>
      <w:r>
        <w:rPr>
          <w:rFonts w:ascii="宋体" w:hAnsi="宋体" w:eastAsia="宋体"/>
        </w:rPr>
        <w:t>1、采购人联系人及联系电话：</w:t>
      </w:r>
      <w:r>
        <w:rPr>
          <w:rFonts w:ascii="宋体" w:hAnsi="宋体" w:eastAsia="宋体"/>
        </w:rPr>
        <w:br w:type="textWrapping"/>
      </w:r>
      <w:r>
        <w:rPr>
          <w:rFonts w:ascii="宋体" w:hAnsi="宋体" w:eastAsia="宋体"/>
        </w:rPr>
        <w:t>广东省肇庆监狱招标采购办公室 0758-3173863。</w:t>
      </w:r>
      <w:r>
        <w:rPr>
          <w:rFonts w:ascii="宋体" w:hAnsi="宋体" w:eastAsia="宋体"/>
        </w:rPr>
        <w:br w:type="textWrapping"/>
      </w:r>
      <w:r>
        <w:rPr>
          <w:rFonts w:ascii="宋体" w:hAnsi="宋体" w:eastAsia="宋体"/>
        </w:rPr>
        <w:t>2、监督部门及监督电话：</w:t>
      </w:r>
      <w:r>
        <w:rPr>
          <w:rFonts w:ascii="宋体" w:hAnsi="宋体" w:eastAsia="宋体"/>
        </w:rPr>
        <w:br w:type="textWrapping"/>
      </w:r>
      <w:r>
        <w:rPr>
          <w:rFonts w:ascii="宋体" w:hAnsi="宋体" w:eastAsia="宋体"/>
        </w:rPr>
        <w:t>广东省肇庆监狱纪检与审计科</w:t>
      </w:r>
      <w:r>
        <w:rPr>
          <w:rFonts w:hint="eastAsia" w:ascii="宋体" w:hAnsi="宋体" w:eastAsia="宋体"/>
        </w:rPr>
        <w:t xml:space="preserve"> </w:t>
      </w:r>
      <w:r>
        <w:rPr>
          <w:rFonts w:ascii="宋体" w:hAnsi="宋体" w:eastAsia="宋体"/>
        </w:rPr>
        <w:t>0758—3173809。</w:t>
      </w:r>
    </w:p>
    <w:p>
      <w:pPr>
        <w:pStyle w:val="30"/>
        <w:widowControl/>
        <w:spacing w:line="360" w:lineRule="auto"/>
        <w:ind w:left="420" w:firstLine="0" w:firstLineChars="0"/>
        <w:jc w:val="left"/>
        <w:rPr>
          <w:rFonts w:ascii="宋体" w:hAnsi="宋体" w:eastAsia="宋体" w:cstheme="minorEastAsia"/>
          <w:color w:val="000000" w:themeColor="text1"/>
          <w14:textFill>
            <w14:solidFill>
              <w14:schemeClr w14:val="tx1"/>
            </w14:solidFill>
          </w14:textFill>
        </w:rPr>
      </w:pPr>
      <w:r>
        <w:rPr>
          <w:rFonts w:hint="eastAsia" w:ascii="宋体" w:hAnsi="宋体" w:eastAsia="宋体" w:cstheme="minorEastAsia"/>
          <w:color w:val="000000" w:themeColor="text1"/>
          <w14:textFill>
            <w14:solidFill>
              <w14:schemeClr w14:val="tx1"/>
            </w14:solidFill>
          </w14:textFill>
        </w:rPr>
        <w:t>3、扫码关注微信公众号“云采链互联服务平台”，即可在线咨询相关事项。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采购需求书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3"/>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4"/>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91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09"/>
        <w:gridCol w:w="851"/>
        <w:gridCol w:w="2444"/>
        <w:gridCol w:w="2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09" w:type="dxa"/>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851" w:type="dxa"/>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2444" w:type="dxa"/>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highlight w:val="yellow"/>
                <w14:textFill>
                  <w14:solidFill>
                    <w14:schemeClr w14:val="tx1"/>
                  </w14:solidFill>
                </w14:textFill>
              </w:rPr>
            </w:pPr>
            <w:r>
              <w:rPr>
                <w:rFonts w:hint="eastAsia" w:ascii="宋体" w:hAnsi="宋体" w:eastAsia="宋体" w:cs="宋体"/>
                <w:b/>
                <w:color w:val="000000"/>
              </w:rPr>
              <w:t>交货期</w:t>
            </w:r>
          </w:p>
        </w:tc>
        <w:tc>
          <w:tcPr>
            <w:tcW w:w="2016" w:type="dxa"/>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eastAsia="宋体" w:cs="宋体"/>
                <w:b/>
                <w:color w:val="000000"/>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809" w:type="dxa"/>
            <w:tcBorders>
              <w:top w:val="single" w:color="auto" w:sz="2" w:space="0"/>
              <w:bottom w:val="single" w:color="auto" w:sz="2" w:space="0"/>
            </w:tcBorders>
          </w:tcPr>
          <w:p>
            <w:pPr>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肇庆监狱民警职工第三届“奋进杯”男子篮球比赛采购项目</w:t>
            </w:r>
          </w:p>
        </w:tc>
        <w:tc>
          <w:tcPr>
            <w:tcW w:w="851" w:type="dxa"/>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2444" w:type="dxa"/>
            <w:tcBorders>
              <w:top w:val="single" w:color="auto" w:sz="2" w:space="0"/>
              <w:bottom w:val="single" w:color="auto" w:sz="2" w:space="0"/>
            </w:tcBorders>
            <w:vAlign w:val="center"/>
          </w:tcPr>
          <w:p>
            <w:pPr>
              <w:pStyle w:val="37"/>
              <w:spacing w:line="360" w:lineRule="auto"/>
              <w:ind w:right="-82" w:rightChars="-39"/>
              <w:rPr>
                <w:rFonts w:ascii="宋体" w:hAnsi="宋体" w:cs="宋体"/>
                <w:snapToGrid/>
                <w:color w:val="000000"/>
                <w:spacing w:val="0"/>
                <w:kern w:val="2"/>
                <w:sz w:val="21"/>
                <w:szCs w:val="24"/>
              </w:rPr>
            </w:pPr>
            <w:r>
              <w:rPr>
                <w:rFonts w:ascii="宋体" w:hAnsi="宋体" w:cs="宋体"/>
                <w:snapToGrid/>
                <w:color w:val="000000"/>
                <w:spacing w:val="0"/>
                <w:kern w:val="2"/>
                <w:sz w:val="21"/>
                <w:szCs w:val="24"/>
              </w:rPr>
              <w:t>详见竞价文件</w:t>
            </w:r>
          </w:p>
        </w:tc>
        <w:tc>
          <w:tcPr>
            <w:tcW w:w="2016" w:type="dxa"/>
            <w:tcBorders>
              <w:top w:val="single" w:color="auto" w:sz="2" w:space="0"/>
              <w:bottom w:val="single" w:color="auto" w:sz="2" w:space="0"/>
            </w:tcBorders>
            <w:vAlign w:val="center"/>
          </w:tcPr>
          <w:p>
            <w:pPr>
              <w:spacing w:line="360" w:lineRule="auto"/>
              <w:jc w:val="center"/>
              <w:rPr>
                <w:rFonts w:ascii="宋体" w:hAnsi="宋体" w:cs="宋体"/>
                <w:color w:val="000000"/>
                <w:szCs w:val="21"/>
              </w:rPr>
            </w:pPr>
            <w:r>
              <w:rPr>
                <w:rFonts w:hint="eastAsia" w:ascii="宋体" w:hAnsi="宋体" w:cs="宋体"/>
                <w:color w:val="000000"/>
                <w:szCs w:val="21"/>
              </w:rPr>
              <w:t>人民币</w:t>
            </w:r>
            <w:r>
              <w:rPr>
                <w:rFonts w:ascii="宋体" w:hAnsi="宋体"/>
                <w:bCs/>
                <w:szCs w:val="21"/>
                <w:u w:val="single"/>
              </w:rPr>
              <w:t>139590</w:t>
            </w:r>
            <w:r>
              <w:rPr>
                <w:rFonts w:hint="eastAsia" w:ascii="宋体" w:hAnsi="宋体" w:cs="宋体"/>
                <w:color w:val="000000"/>
                <w:szCs w:val="21"/>
              </w:rPr>
              <w:t>元</w:t>
            </w:r>
          </w:p>
        </w:tc>
      </w:tr>
    </w:tbl>
    <w:p>
      <w:pPr>
        <w:pStyle w:val="10"/>
        <w:numPr>
          <w:ilvl w:val="0"/>
          <w:numId w:val="14"/>
        </w:numPr>
        <w:tabs>
          <w:tab w:val="left" w:pos="540"/>
        </w:tabs>
        <w:adjustRightInd w:val="0"/>
        <w:snapToGrid w:val="0"/>
        <w:spacing w:line="360" w:lineRule="auto"/>
        <w:rPr>
          <w:rFonts w:hAnsi="宋体" w:cs="宋体"/>
          <w:b/>
          <w:color w:val="000000"/>
          <w:sz w:val="21"/>
        </w:rPr>
      </w:pPr>
      <w:r>
        <w:rPr>
          <w:rFonts w:hint="eastAsia" w:hAnsi="宋体" w:cs="宋体"/>
          <w:b/>
          <w:color w:val="000000"/>
          <w:sz w:val="21"/>
        </w:rPr>
        <w:t>资金来源</w:t>
      </w:r>
    </w:p>
    <w:p>
      <w:pPr>
        <w:widowControl/>
        <w:spacing w:line="360" w:lineRule="auto"/>
        <w:ind w:right="-26" w:firstLine="420" w:firstLineChars="200"/>
        <w:textAlignment w:val="bottom"/>
        <w:rPr>
          <w:rFonts w:ascii="宋体" w:hAnsi="宋体" w:eastAsia="宋体"/>
          <w:szCs w:val="21"/>
        </w:rPr>
      </w:pPr>
      <w:r>
        <w:rPr>
          <w:rFonts w:hint="eastAsia" w:ascii="宋体" w:hAnsi="宋体" w:eastAsia="宋体"/>
          <w:szCs w:val="21"/>
        </w:rPr>
        <w:t>工会经费</w:t>
      </w:r>
    </w:p>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 xml:space="preserve">需求一览表 </w:t>
      </w:r>
    </w:p>
    <w:p>
      <w:pPr>
        <w:numPr>
          <w:ilvl w:val="0"/>
          <w:numId w:val="16"/>
        </w:numPr>
        <w:spacing w:line="360" w:lineRule="auto"/>
        <w:ind w:firstLine="420" w:firstLineChars="200"/>
        <w:rPr>
          <w:rFonts w:ascii="宋体" w:hAnsi="宋体" w:eastAsia="宋体"/>
          <w:szCs w:val="21"/>
        </w:rPr>
      </w:pPr>
      <w:r>
        <w:rPr>
          <w:rFonts w:hint="eastAsia" w:ascii="宋体" w:hAnsi="宋体" w:eastAsia="宋体" w:cs="Times New Roman"/>
          <w:szCs w:val="21"/>
        </w:rPr>
        <w:t>采购物品类清单</w:t>
      </w:r>
    </w:p>
    <w:tbl>
      <w:tblPr>
        <w:tblStyle w:val="23"/>
        <w:tblW w:w="962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709"/>
        <w:gridCol w:w="2125"/>
        <w:gridCol w:w="870"/>
        <w:gridCol w:w="1563"/>
        <w:gridCol w:w="912"/>
        <w:gridCol w:w="1080"/>
        <w:gridCol w:w="1341"/>
        <w:gridCol w:w="102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749" w:hRule="atLeast"/>
          <w:jc w:val="center"/>
        </w:trPr>
        <w:tc>
          <w:tcPr>
            <w:tcW w:w="709"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序号</w:t>
            </w:r>
          </w:p>
        </w:tc>
        <w:tc>
          <w:tcPr>
            <w:tcW w:w="2125"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采购内容</w:t>
            </w:r>
          </w:p>
        </w:tc>
        <w:tc>
          <w:tcPr>
            <w:tcW w:w="870"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单位</w:t>
            </w:r>
          </w:p>
        </w:tc>
        <w:tc>
          <w:tcPr>
            <w:tcW w:w="1563"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数量</w:t>
            </w:r>
          </w:p>
        </w:tc>
        <w:tc>
          <w:tcPr>
            <w:tcW w:w="912"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单价最高限价（元）</w:t>
            </w:r>
          </w:p>
        </w:tc>
        <w:tc>
          <w:tcPr>
            <w:tcW w:w="1080"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小计（元）</w:t>
            </w:r>
          </w:p>
        </w:tc>
        <w:tc>
          <w:tcPr>
            <w:tcW w:w="1341"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商品条形码</w:t>
            </w:r>
          </w:p>
        </w:tc>
        <w:tc>
          <w:tcPr>
            <w:tcW w:w="1029" w:type="dxa"/>
            <w:tcBorders>
              <w:bottom w:val="single" w:color="auto" w:sz="4" w:space="0"/>
              <w:tl2br w:val="nil"/>
              <w:tr2bl w:val="nil"/>
            </w:tcBorders>
            <w:vAlign w:val="center"/>
          </w:tcPr>
          <w:p>
            <w:pPr>
              <w:jc w:val="center"/>
              <w:rPr>
                <w:rFonts w:ascii="宋体" w:hAnsi="宋体" w:eastAsia="宋体" w:cs="仿宋"/>
                <w:b/>
                <w:color w:val="000000"/>
                <w:szCs w:val="21"/>
              </w:rPr>
            </w:pPr>
            <w:r>
              <w:rPr>
                <w:rFonts w:hint="eastAsia" w:ascii="宋体" w:hAnsi="宋体" w:eastAsia="宋体" w:cs="仿宋"/>
                <w:b/>
                <w:color w:val="000000"/>
                <w:szCs w:val="21"/>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w:t>
            </w:r>
          </w:p>
        </w:tc>
        <w:tc>
          <w:tcPr>
            <w:tcW w:w="2125"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匹克篮球服（F702181）（须按采购人要求在指定位置印字及号码）</w:t>
            </w:r>
          </w:p>
        </w:tc>
        <w:tc>
          <w:tcPr>
            <w:tcW w:w="87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套</w:t>
            </w:r>
          </w:p>
        </w:tc>
        <w:tc>
          <w:tcPr>
            <w:tcW w:w="1563"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540</w:t>
            </w:r>
          </w:p>
        </w:tc>
        <w:tc>
          <w:tcPr>
            <w:tcW w:w="912"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198</w:t>
            </w:r>
          </w:p>
        </w:tc>
        <w:tc>
          <w:tcPr>
            <w:tcW w:w="108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106920</w:t>
            </w:r>
          </w:p>
        </w:tc>
        <w:tc>
          <w:tcPr>
            <w:tcW w:w="1341"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p>
          <w:p>
            <w:pPr>
              <w:jc w:val="center"/>
              <w:rPr>
                <w:rFonts w:ascii="宋体" w:hAnsi="宋体" w:eastAsia="宋体" w:cs="仿宋"/>
                <w:color w:val="000000"/>
                <w:szCs w:val="21"/>
              </w:rPr>
            </w:pPr>
            <w:r>
              <w:rPr>
                <w:rFonts w:hint="eastAsia" w:ascii="宋体" w:hAnsi="宋体" w:eastAsia="宋体" w:cs="仿宋"/>
                <w:color w:val="000000"/>
                <w:szCs w:val="21"/>
              </w:rPr>
              <w:t>6941191418653</w:t>
            </w:r>
          </w:p>
        </w:tc>
        <w:tc>
          <w:tcPr>
            <w:tcW w:w="1029" w:type="dxa"/>
            <w:vMerge w:val="restart"/>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117590</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2</w:t>
            </w:r>
          </w:p>
        </w:tc>
        <w:tc>
          <w:tcPr>
            <w:tcW w:w="2125"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ascii="宋体" w:hAnsi="宋体" w:eastAsia="宋体" w:cs="仿宋"/>
                <w:color w:val="000000"/>
                <w:szCs w:val="21"/>
              </w:rPr>
              <w:t>摩腾MOLIEN7号标准篮球GD7X-C国家队款</w:t>
            </w:r>
          </w:p>
        </w:tc>
        <w:tc>
          <w:tcPr>
            <w:tcW w:w="87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个</w:t>
            </w:r>
          </w:p>
        </w:tc>
        <w:tc>
          <w:tcPr>
            <w:tcW w:w="1563"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20</w:t>
            </w:r>
          </w:p>
        </w:tc>
        <w:tc>
          <w:tcPr>
            <w:tcW w:w="912"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200</w:t>
            </w:r>
          </w:p>
        </w:tc>
        <w:tc>
          <w:tcPr>
            <w:tcW w:w="108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4000</w:t>
            </w:r>
          </w:p>
        </w:tc>
        <w:tc>
          <w:tcPr>
            <w:tcW w:w="1341"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6926269805078</w:t>
            </w:r>
          </w:p>
        </w:tc>
        <w:tc>
          <w:tcPr>
            <w:tcW w:w="1029" w:type="dxa"/>
            <w:vMerge w:val="continue"/>
            <w:tcBorders>
              <w:tl2br w:val="nil"/>
              <w:tr2bl w:val="nil"/>
            </w:tcBorders>
            <w:vAlign w:val="center"/>
          </w:tcPr>
          <w:p>
            <w:pPr>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3</w:t>
            </w:r>
          </w:p>
        </w:tc>
        <w:tc>
          <w:tcPr>
            <w:tcW w:w="2125"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ascii="宋体" w:hAnsi="宋体" w:eastAsia="宋体" w:cs="仿宋"/>
                <w:color w:val="000000"/>
                <w:szCs w:val="21"/>
              </w:rPr>
              <w:t>斯伯丁篮球网加粗比赛投篮网篮筐网兜8279SPCN红蓝白（单个装）</w:t>
            </w:r>
          </w:p>
        </w:tc>
        <w:tc>
          <w:tcPr>
            <w:tcW w:w="87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个</w:t>
            </w:r>
          </w:p>
        </w:tc>
        <w:tc>
          <w:tcPr>
            <w:tcW w:w="1563"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30</w:t>
            </w:r>
          </w:p>
        </w:tc>
        <w:tc>
          <w:tcPr>
            <w:tcW w:w="912"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30</w:t>
            </w:r>
          </w:p>
        </w:tc>
        <w:tc>
          <w:tcPr>
            <w:tcW w:w="108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900</w:t>
            </w:r>
          </w:p>
        </w:tc>
        <w:tc>
          <w:tcPr>
            <w:tcW w:w="1341"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6931401764830</w:t>
            </w:r>
          </w:p>
        </w:tc>
        <w:tc>
          <w:tcPr>
            <w:tcW w:w="1029" w:type="dxa"/>
            <w:vMerge w:val="continue"/>
            <w:tcBorders>
              <w:tl2br w:val="nil"/>
              <w:tr2bl w:val="nil"/>
            </w:tcBorders>
            <w:vAlign w:val="center"/>
          </w:tcPr>
          <w:p>
            <w:pPr>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4</w:t>
            </w:r>
          </w:p>
        </w:tc>
        <w:tc>
          <w:tcPr>
            <w:tcW w:w="2125"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金属奖杯定制高37cm*宽20cm</w:t>
            </w:r>
          </w:p>
          <w:p>
            <w:pPr>
              <w:jc w:val="center"/>
              <w:rPr>
                <w:rFonts w:ascii="宋体" w:hAnsi="宋体" w:eastAsia="宋体" w:cs="仿宋"/>
                <w:color w:val="000000"/>
                <w:szCs w:val="21"/>
              </w:rPr>
            </w:pPr>
            <w:r>
              <w:rPr>
                <w:rFonts w:hint="eastAsia" w:ascii="宋体" w:hAnsi="宋体" w:eastAsia="宋体" w:cs="仿宋"/>
                <w:color w:val="000000"/>
                <w:szCs w:val="21"/>
              </w:rPr>
              <w:t>（定制刻字）</w:t>
            </w:r>
          </w:p>
        </w:tc>
        <w:tc>
          <w:tcPr>
            <w:tcW w:w="87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个</w:t>
            </w:r>
          </w:p>
        </w:tc>
        <w:tc>
          <w:tcPr>
            <w:tcW w:w="1563"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18</w:t>
            </w:r>
          </w:p>
        </w:tc>
        <w:tc>
          <w:tcPr>
            <w:tcW w:w="912"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200</w:t>
            </w:r>
          </w:p>
        </w:tc>
        <w:tc>
          <w:tcPr>
            <w:tcW w:w="108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3600</w:t>
            </w:r>
          </w:p>
        </w:tc>
        <w:tc>
          <w:tcPr>
            <w:tcW w:w="1341"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定制类</w:t>
            </w:r>
          </w:p>
        </w:tc>
        <w:tc>
          <w:tcPr>
            <w:tcW w:w="1029" w:type="dxa"/>
            <w:vMerge w:val="continue"/>
            <w:tcBorders>
              <w:tl2br w:val="nil"/>
              <w:tr2bl w:val="nil"/>
            </w:tcBorders>
            <w:vAlign w:val="center"/>
          </w:tcPr>
          <w:p>
            <w:pPr>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5</w:t>
            </w:r>
          </w:p>
        </w:tc>
        <w:tc>
          <w:tcPr>
            <w:tcW w:w="2125"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李宁CBA专业裁判口哨户外专用无核海豚哨LPBL906-1黑色</w:t>
            </w:r>
          </w:p>
        </w:tc>
        <w:tc>
          <w:tcPr>
            <w:tcW w:w="87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个</w:t>
            </w:r>
          </w:p>
        </w:tc>
        <w:tc>
          <w:tcPr>
            <w:tcW w:w="1563"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10</w:t>
            </w:r>
          </w:p>
        </w:tc>
        <w:tc>
          <w:tcPr>
            <w:tcW w:w="912"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18</w:t>
            </w:r>
          </w:p>
        </w:tc>
        <w:tc>
          <w:tcPr>
            <w:tcW w:w="108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180</w:t>
            </w:r>
          </w:p>
        </w:tc>
        <w:tc>
          <w:tcPr>
            <w:tcW w:w="1341"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6936141509024</w:t>
            </w:r>
          </w:p>
        </w:tc>
        <w:tc>
          <w:tcPr>
            <w:tcW w:w="1029" w:type="dxa"/>
            <w:vMerge w:val="continue"/>
            <w:tcBorders>
              <w:tl2br w:val="nil"/>
              <w:tr2bl w:val="nil"/>
            </w:tcBorders>
            <w:vAlign w:val="center"/>
          </w:tcPr>
          <w:p>
            <w:pPr>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6</w:t>
            </w:r>
          </w:p>
        </w:tc>
        <w:tc>
          <w:tcPr>
            <w:tcW w:w="2125"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云南白药气雾剂85g+60g每盒</w:t>
            </w:r>
          </w:p>
        </w:tc>
        <w:tc>
          <w:tcPr>
            <w:tcW w:w="87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盒</w:t>
            </w:r>
          </w:p>
        </w:tc>
        <w:tc>
          <w:tcPr>
            <w:tcW w:w="1563"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5</w:t>
            </w:r>
          </w:p>
        </w:tc>
        <w:tc>
          <w:tcPr>
            <w:tcW w:w="912"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60</w:t>
            </w:r>
          </w:p>
        </w:tc>
        <w:tc>
          <w:tcPr>
            <w:tcW w:w="1080"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300</w:t>
            </w:r>
          </w:p>
        </w:tc>
        <w:tc>
          <w:tcPr>
            <w:tcW w:w="1341" w:type="dxa"/>
            <w:tcBorders>
              <w:top w:val="single" w:color="auto" w:sz="4" w:space="0"/>
              <w:bottom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6901070243011</w:t>
            </w:r>
          </w:p>
        </w:tc>
        <w:tc>
          <w:tcPr>
            <w:tcW w:w="1029" w:type="dxa"/>
            <w:vMerge w:val="continue"/>
            <w:tcBorders>
              <w:tl2br w:val="nil"/>
              <w:tr2bl w:val="nil"/>
            </w:tcBorders>
            <w:vAlign w:val="center"/>
          </w:tcPr>
          <w:p>
            <w:pPr>
              <w:jc w:val="center"/>
              <w:rPr>
                <w:rFonts w:ascii="宋体" w:hAnsi="宋体" w:eastAsia="宋体"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92" w:hRule="atLeast"/>
          <w:jc w:val="center"/>
        </w:trPr>
        <w:tc>
          <w:tcPr>
            <w:tcW w:w="709"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7</w:t>
            </w:r>
          </w:p>
        </w:tc>
        <w:tc>
          <w:tcPr>
            <w:tcW w:w="2125"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奥匹可移动装球置球收纳筐AP-495</w:t>
            </w:r>
          </w:p>
        </w:tc>
        <w:tc>
          <w:tcPr>
            <w:tcW w:w="870"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台</w:t>
            </w:r>
          </w:p>
        </w:tc>
        <w:tc>
          <w:tcPr>
            <w:tcW w:w="1563"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5</w:t>
            </w:r>
          </w:p>
        </w:tc>
        <w:tc>
          <w:tcPr>
            <w:tcW w:w="912"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338</w:t>
            </w:r>
          </w:p>
        </w:tc>
        <w:tc>
          <w:tcPr>
            <w:tcW w:w="1080"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1690</w:t>
            </w:r>
          </w:p>
        </w:tc>
        <w:tc>
          <w:tcPr>
            <w:tcW w:w="1341" w:type="dxa"/>
            <w:tcBorders>
              <w:top w:val="single" w:color="auto" w:sz="4" w:space="0"/>
              <w:tl2br w:val="nil"/>
              <w:tr2bl w:val="nil"/>
            </w:tcBorders>
            <w:vAlign w:val="center"/>
          </w:tcPr>
          <w:p>
            <w:pPr>
              <w:jc w:val="center"/>
              <w:rPr>
                <w:rFonts w:ascii="宋体" w:hAnsi="宋体" w:eastAsia="宋体" w:cs="仿宋"/>
                <w:color w:val="000000"/>
                <w:szCs w:val="21"/>
              </w:rPr>
            </w:pPr>
            <w:r>
              <w:rPr>
                <w:rFonts w:hint="eastAsia" w:ascii="宋体" w:hAnsi="宋体" w:eastAsia="宋体" w:cs="仿宋"/>
                <w:color w:val="000000"/>
                <w:szCs w:val="21"/>
              </w:rPr>
              <w:t>无</w:t>
            </w:r>
          </w:p>
        </w:tc>
        <w:tc>
          <w:tcPr>
            <w:tcW w:w="1029" w:type="dxa"/>
            <w:tcBorders>
              <w:tl2br w:val="nil"/>
              <w:tr2bl w:val="nil"/>
            </w:tcBorders>
            <w:vAlign w:val="center"/>
          </w:tcPr>
          <w:p>
            <w:pPr>
              <w:jc w:val="center"/>
              <w:rPr>
                <w:rFonts w:ascii="宋体" w:hAnsi="宋体" w:eastAsia="宋体" w:cs="仿宋"/>
                <w:color w:val="000000"/>
                <w:szCs w:val="21"/>
              </w:rPr>
            </w:pPr>
          </w:p>
        </w:tc>
      </w:tr>
    </w:tbl>
    <w:p>
      <w:pPr>
        <w:widowControl/>
        <w:spacing w:line="360" w:lineRule="auto"/>
        <w:ind w:right="-26" w:firstLine="420" w:firstLineChars="200"/>
        <w:textAlignment w:val="bottom"/>
        <w:rPr>
          <w:rFonts w:ascii="宋体" w:hAnsi="宋体" w:eastAsia="宋体"/>
          <w:szCs w:val="21"/>
        </w:rPr>
      </w:pPr>
      <w:r>
        <w:rPr>
          <w:rFonts w:hint="eastAsia" w:ascii="宋体" w:hAnsi="宋体" w:eastAsia="宋体"/>
          <w:szCs w:val="21"/>
        </w:rPr>
        <w:t>上述物品提供样品经采购人验收合格后，方可签订合同，</w:t>
      </w:r>
      <w:r>
        <w:rPr>
          <w:rFonts w:hint="eastAsia" w:ascii="宋体" w:hAnsi="宋体" w:eastAsia="宋体" w:cs="仿宋"/>
          <w:color w:val="000000"/>
          <w:szCs w:val="21"/>
        </w:rPr>
        <w:t>（序号1男装衣服尺寸在供应商成交后由采购人统计后确定）</w:t>
      </w:r>
      <w:r>
        <w:rPr>
          <w:rFonts w:hint="eastAsia" w:ascii="宋体" w:hAnsi="宋体" w:eastAsia="宋体"/>
          <w:szCs w:val="21"/>
        </w:rPr>
        <w:t>。</w:t>
      </w:r>
    </w:p>
    <w:p>
      <w:pPr>
        <w:numPr>
          <w:ilvl w:val="0"/>
          <w:numId w:val="16"/>
        </w:num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采购服务类清单</w:t>
      </w:r>
    </w:p>
    <w:tbl>
      <w:tblPr>
        <w:tblStyle w:val="24"/>
        <w:tblW w:w="10485" w:type="dxa"/>
        <w:tblInd w:w="-88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2"/>
        <w:gridCol w:w="3402"/>
        <w:gridCol w:w="1134"/>
        <w:gridCol w:w="1898"/>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360" w:lineRule="auto"/>
              <w:jc w:val="center"/>
              <w:rPr>
                <w:rFonts w:ascii="宋体" w:hAnsi="宋体" w:eastAsia="宋体"/>
                <w:b/>
                <w:bCs/>
                <w:szCs w:val="21"/>
              </w:rPr>
            </w:pPr>
            <w:r>
              <w:rPr>
                <w:rFonts w:hint="eastAsia" w:ascii="宋体" w:hAnsi="宋体" w:eastAsia="宋体"/>
                <w:b/>
                <w:bCs/>
                <w:szCs w:val="21"/>
              </w:rPr>
              <w:t>序号</w:t>
            </w:r>
          </w:p>
        </w:tc>
        <w:tc>
          <w:tcPr>
            <w:tcW w:w="1702" w:type="dxa"/>
            <w:vAlign w:val="center"/>
          </w:tcPr>
          <w:p>
            <w:pPr>
              <w:spacing w:line="360" w:lineRule="auto"/>
              <w:jc w:val="center"/>
              <w:rPr>
                <w:rFonts w:ascii="宋体" w:hAnsi="宋体" w:eastAsia="宋体"/>
                <w:b/>
                <w:bCs/>
                <w:szCs w:val="21"/>
              </w:rPr>
            </w:pPr>
            <w:r>
              <w:rPr>
                <w:rFonts w:hint="eastAsia" w:ascii="宋体" w:hAnsi="宋体" w:eastAsia="宋体"/>
                <w:b/>
                <w:bCs/>
                <w:szCs w:val="21"/>
              </w:rPr>
              <w:t>服务内容</w:t>
            </w:r>
          </w:p>
        </w:tc>
        <w:tc>
          <w:tcPr>
            <w:tcW w:w="3402" w:type="dxa"/>
            <w:vAlign w:val="center"/>
          </w:tcPr>
          <w:p>
            <w:pPr>
              <w:spacing w:line="360" w:lineRule="auto"/>
              <w:jc w:val="center"/>
              <w:rPr>
                <w:rFonts w:ascii="宋体" w:hAnsi="宋体" w:eastAsia="宋体"/>
                <w:b/>
                <w:bCs/>
                <w:szCs w:val="21"/>
              </w:rPr>
            </w:pPr>
            <w:r>
              <w:rPr>
                <w:rFonts w:hint="eastAsia" w:ascii="宋体" w:hAnsi="宋体" w:eastAsia="宋体"/>
                <w:b/>
                <w:bCs/>
                <w:szCs w:val="21"/>
              </w:rPr>
              <w:t>要求</w:t>
            </w:r>
          </w:p>
        </w:tc>
        <w:tc>
          <w:tcPr>
            <w:tcW w:w="1134" w:type="dxa"/>
            <w:vAlign w:val="center"/>
          </w:tcPr>
          <w:p>
            <w:pPr>
              <w:spacing w:line="360" w:lineRule="auto"/>
              <w:jc w:val="center"/>
              <w:rPr>
                <w:rFonts w:ascii="宋体" w:hAnsi="宋体" w:eastAsia="宋体"/>
                <w:b/>
                <w:bCs/>
                <w:szCs w:val="21"/>
              </w:rPr>
            </w:pPr>
            <w:r>
              <w:rPr>
                <w:rFonts w:hint="eastAsia" w:ascii="宋体" w:hAnsi="宋体" w:eastAsia="宋体"/>
                <w:b/>
                <w:bCs/>
                <w:szCs w:val="21"/>
              </w:rPr>
              <w:t>数量</w:t>
            </w:r>
          </w:p>
        </w:tc>
        <w:tc>
          <w:tcPr>
            <w:tcW w:w="1898" w:type="dxa"/>
            <w:vAlign w:val="center"/>
          </w:tcPr>
          <w:p>
            <w:pPr>
              <w:spacing w:line="360" w:lineRule="auto"/>
              <w:jc w:val="center"/>
              <w:rPr>
                <w:rFonts w:ascii="宋体" w:hAnsi="宋体" w:eastAsia="宋体"/>
                <w:b/>
                <w:bCs/>
                <w:szCs w:val="21"/>
              </w:rPr>
            </w:pPr>
            <w:r>
              <w:rPr>
                <w:rFonts w:hint="eastAsia" w:ascii="宋体" w:hAnsi="宋体" w:eastAsia="宋体"/>
                <w:b/>
                <w:bCs/>
                <w:szCs w:val="21"/>
              </w:rPr>
              <w:t>每场次每名裁判收费最高限价（元）</w:t>
            </w:r>
          </w:p>
        </w:tc>
        <w:tc>
          <w:tcPr>
            <w:tcW w:w="1640" w:type="dxa"/>
            <w:vAlign w:val="center"/>
          </w:tcPr>
          <w:p>
            <w:pPr>
              <w:spacing w:line="360" w:lineRule="auto"/>
              <w:jc w:val="center"/>
              <w:rPr>
                <w:rFonts w:ascii="宋体" w:hAnsi="宋体" w:eastAsia="宋体"/>
                <w:b/>
                <w:bCs/>
                <w:szCs w:val="21"/>
              </w:rPr>
            </w:pPr>
            <w:r>
              <w:rPr>
                <w:rFonts w:hint="eastAsia" w:ascii="宋体" w:hAnsi="宋体" w:eastAsia="宋体"/>
                <w:b/>
                <w:bCs/>
                <w:szCs w:val="21"/>
              </w:rPr>
              <w:t>合计最高限价（元）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709" w:type="dxa"/>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1702" w:type="dxa"/>
            <w:vAlign w:val="center"/>
          </w:tcPr>
          <w:p>
            <w:pPr>
              <w:spacing w:line="360" w:lineRule="auto"/>
              <w:jc w:val="center"/>
              <w:rPr>
                <w:rFonts w:ascii="宋体" w:hAnsi="宋体" w:eastAsia="宋体" w:cs="仿宋"/>
                <w:color w:val="000000"/>
                <w:szCs w:val="21"/>
              </w:rPr>
            </w:pPr>
            <w:r>
              <w:rPr>
                <w:rFonts w:hint="eastAsia" w:ascii="宋体" w:hAnsi="宋体" w:eastAsia="宋体" w:cs="仿宋"/>
                <w:color w:val="000000"/>
                <w:szCs w:val="21"/>
              </w:rPr>
              <w:t>篮球裁判员</w:t>
            </w:r>
          </w:p>
        </w:tc>
        <w:tc>
          <w:tcPr>
            <w:tcW w:w="3402" w:type="dxa"/>
            <w:vAlign w:val="center"/>
          </w:tcPr>
          <w:p>
            <w:pPr>
              <w:spacing w:line="360" w:lineRule="auto"/>
              <w:jc w:val="center"/>
              <w:rPr>
                <w:rFonts w:ascii="宋体" w:hAnsi="宋体" w:eastAsia="宋体" w:cs="仿宋"/>
                <w:color w:val="000000"/>
                <w:szCs w:val="21"/>
              </w:rPr>
            </w:pPr>
            <w:r>
              <w:rPr>
                <w:rFonts w:hint="eastAsia" w:ascii="宋体" w:hAnsi="宋体" w:eastAsia="宋体" w:cs="仿宋"/>
                <w:color w:val="000000"/>
                <w:szCs w:val="21"/>
              </w:rPr>
              <w:t>每场次篮球裁判员2名（每天2场比赛）</w:t>
            </w:r>
          </w:p>
        </w:tc>
        <w:tc>
          <w:tcPr>
            <w:tcW w:w="1134" w:type="dxa"/>
            <w:vAlign w:val="center"/>
          </w:tcPr>
          <w:p>
            <w:pPr>
              <w:spacing w:line="360" w:lineRule="auto"/>
              <w:jc w:val="center"/>
              <w:rPr>
                <w:rFonts w:ascii="宋体" w:hAnsi="宋体" w:eastAsia="宋体" w:cs="仿宋"/>
                <w:color w:val="000000"/>
                <w:szCs w:val="21"/>
              </w:rPr>
            </w:pPr>
            <w:r>
              <w:rPr>
                <w:rFonts w:hint="eastAsia" w:ascii="宋体" w:hAnsi="宋体" w:eastAsia="宋体" w:cs="仿宋"/>
                <w:color w:val="000000"/>
                <w:szCs w:val="21"/>
              </w:rPr>
              <w:t>44场次</w:t>
            </w:r>
          </w:p>
        </w:tc>
        <w:tc>
          <w:tcPr>
            <w:tcW w:w="1898" w:type="dxa"/>
            <w:vAlign w:val="center"/>
          </w:tcPr>
          <w:p>
            <w:pPr>
              <w:spacing w:line="360" w:lineRule="auto"/>
              <w:jc w:val="center"/>
              <w:rPr>
                <w:rFonts w:ascii="宋体" w:hAnsi="宋体" w:eastAsia="宋体" w:cs="仿宋"/>
                <w:color w:val="000000"/>
                <w:szCs w:val="21"/>
              </w:rPr>
            </w:pPr>
            <w:r>
              <w:rPr>
                <w:rFonts w:hint="eastAsia" w:ascii="宋体" w:hAnsi="宋体" w:eastAsia="宋体" w:cs="仿宋"/>
                <w:color w:val="000000"/>
                <w:szCs w:val="21"/>
              </w:rPr>
              <w:t>250</w:t>
            </w:r>
          </w:p>
        </w:tc>
        <w:tc>
          <w:tcPr>
            <w:tcW w:w="1640" w:type="dxa"/>
            <w:vAlign w:val="center"/>
          </w:tcPr>
          <w:p>
            <w:pPr>
              <w:spacing w:line="360" w:lineRule="auto"/>
              <w:jc w:val="center"/>
              <w:rPr>
                <w:rFonts w:ascii="宋体" w:hAnsi="宋体" w:eastAsia="宋体" w:cs="仿宋"/>
                <w:color w:val="000000"/>
                <w:szCs w:val="21"/>
              </w:rPr>
            </w:pPr>
            <w:r>
              <w:rPr>
                <w:rFonts w:hint="eastAsia" w:ascii="宋体" w:hAnsi="宋体" w:eastAsia="宋体" w:cs="仿宋"/>
                <w:color w:val="000000"/>
                <w:szCs w:val="21"/>
              </w:rPr>
              <w:t>22000</w:t>
            </w:r>
          </w:p>
        </w:tc>
      </w:tr>
    </w:tbl>
    <w:p>
      <w:pPr>
        <w:widowControl/>
        <w:spacing w:line="360" w:lineRule="auto"/>
        <w:ind w:right="-26" w:firstLine="422" w:firstLineChars="200"/>
        <w:textAlignment w:val="bottom"/>
        <w:rPr>
          <w:rFonts w:ascii="宋体" w:hAnsi="宋体" w:eastAsia="宋体"/>
          <w:b/>
          <w:bCs/>
          <w:szCs w:val="21"/>
        </w:rPr>
      </w:pPr>
      <w:r>
        <w:rPr>
          <w:rFonts w:hint="eastAsia" w:ascii="宋体" w:hAnsi="宋体" w:eastAsia="宋体"/>
          <w:b/>
          <w:bCs/>
          <w:szCs w:val="21"/>
        </w:rPr>
        <w:t>篮球裁判员按所参与的场次次数据实结算费用。</w:t>
      </w:r>
    </w:p>
    <w:p>
      <w:pPr>
        <w:spacing w:line="360" w:lineRule="auto"/>
        <w:ind w:left="420" w:hanging="420" w:hangingChars="200"/>
        <w:rPr>
          <w:rFonts w:ascii="宋体" w:hAnsi="宋体" w:eastAsia="宋体"/>
          <w:szCs w:val="21"/>
        </w:rPr>
      </w:pPr>
      <w:r>
        <w:rPr>
          <w:rFonts w:hint="eastAsia" w:ascii="宋体" w:hAnsi="宋体" w:eastAsia="宋体"/>
          <w:color w:val="000000"/>
          <w:szCs w:val="21"/>
        </w:rPr>
        <w:t>物品类和服务类采购费用合计139590元。</w:t>
      </w:r>
    </w:p>
    <w:p>
      <w:pPr>
        <w:spacing w:line="360" w:lineRule="auto"/>
        <w:ind w:left="420" w:hanging="420" w:hangingChars="200"/>
        <w:rPr>
          <w:rFonts w:ascii="宋体" w:hAnsi="宋体" w:eastAsia="宋体"/>
          <w:color w:val="000000"/>
          <w:szCs w:val="21"/>
        </w:rPr>
      </w:pPr>
      <w:r>
        <w:rPr>
          <w:rFonts w:ascii="宋体" w:hAnsi="宋体" w:eastAsia="宋体"/>
          <w:color w:val="000000"/>
          <w:szCs w:val="21"/>
        </w:rPr>
        <w:t>1</w:t>
      </w:r>
      <w:r>
        <w:rPr>
          <w:rFonts w:hint="eastAsia" w:ascii="宋体" w:hAnsi="宋体" w:eastAsia="宋体"/>
          <w:color w:val="000000"/>
          <w:szCs w:val="21"/>
        </w:rPr>
        <w:t>、供应商的报价包含合同货物的采购、包装、仓储、运输及验收合格之前及质保期与备品备件发生的所有含税费用和提供篮球裁判服务及与本项目有关的一切费用。</w:t>
      </w:r>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2、成交供应商负责裁判人员安排及在签订合同时提供裁判资格证明材料。</w:t>
      </w:r>
    </w:p>
    <w:p>
      <w:pPr>
        <w:spacing w:line="360" w:lineRule="auto"/>
        <w:ind w:left="420" w:hanging="420" w:hangingChars="200"/>
        <w:rPr>
          <w:rFonts w:ascii="宋体" w:hAnsi="宋体" w:eastAsia="宋体"/>
          <w:szCs w:val="21"/>
        </w:rPr>
      </w:pPr>
      <w:r>
        <w:rPr>
          <w:rFonts w:hint="eastAsia" w:ascii="宋体" w:hAnsi="宋体" w:eastAsia="宋体"/>
          <w:color w:val="000000"/>
          <w:szCs w:val="21"/>
        </w:rPr>
        <w:t>3、如成交供应商未按竞价及本项目合同文件提供采购物品，采购人有权</w:t>
      </w:r>
      <w:r>
        <w:rPr>
          <w:rFonts w:ascii="宋体" w:hAnsi="宋体" w:eastAsia="宋体"/>
          <w:color w:val="000000"/>
          <w:szCs w:val="21"/>
        </w:rPr>
        <w:t>拒收。</w:t>
      </w:r>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4、物品类、服务类统由一名成交供应商统一提供。</w:t>
      </w:r>
    </w:p>
    <w:p>
      <w:pPr>
        <w:numPr>
          <w:ilvl w:val="0"/>
          <w:numId w:val="15"/>
        </w:numPr>
        <w:spacing w:line="360" w:lineRule="auto"/>
        <w:rPr>
          <w:rFonts w:ascii="宋体" w:hAnsi="宋体" w:eastAsia="宋体" w:cs="宋体"/>
          <w:b/>
          <w:bCs/>
          <w:szCs w:val="21"/>
        </w:rPr>
      </w:pPr>
      <w:bookmarkStart w:id="0" w:name="_Toc9745"/>
      <w:bookmarkStart w:id="1" w:name="_Toc380411666"/>
      <w:bookmarkStart w:id="2" w:name="_Toc29583"/>
      <w:bookmarkStart w:id="3" w:name="_Toc29567"/>
      <w:bookmarkStart w:id="4" w:name="_Toc380411668"/>
      <w:bookmarkStart w:id="5" w:name="_Toc18134"/>
      <w:r>
        <w:rPr>
          <w:rFonts w:hint="eastAsia" w:ascii="宋体" w:hAnsi="宋体" w:eastAsia="宋体" w:cs="宋体"/>
          <w:b/>
          <w:bCs/>
          <w:szCs w:val="21"/>
        </w:rPr>
        <w:t>合同总价</w:t>
      </w:r>
      <w:bookmarkEnd w:id="0"/>
      <w:bookmarkEnd w:id="1"/>
      <w:bookmarkEnd w:id="2"/>
    </w:p>
    <w:p>
      <w:pPr>
        <w:spacing w:line="360" w:lineRule="auto"/>
        <w:ind w:firstLine="420" w:firstLineChars="200"/>
        <w:rPr>
          <w:rFonts w:ascii="宋体" w:hAnsi="宋体" w:eastAsia="宋体"/>
          <w:szCs w:val="21"/>
        </w:rPr>
      </w:pPr>
      <w:r>
        <w:rPr>
          <w:rFonts w:hint="eastAsia" w:ascii="宋体" w:hAnsi="宋体" w:eastAsia="宋体"/>
          <w:color w:val="000000"/>
          <w:szCs w:val="21"/>
        </w:rPr>
        <w:t>合同价为执行价格，包含物品类费用及服务类费用，合同总金额包含货物采购、包装、仓储、运输及验收合格之前及质保期与备品备件发生的所有含税费用和提供篮球裁判服务有关的一切费用。</w:t>
      </w:r>
    </w:p>
    <w:p>
      <w:pPr>
        <w:numPr>
          <w:ilvl w:val="0"/>
          <w:numId w:val="15"/>
        </w:numPr>
        <w:spacing w:line="360" w:lineRule="auto"/>
        <w:rPr>
          <w:rFonts w:ascii="宋体" w:hAnsi="宋体" w:eastAsia="宋体" w:cs="宋体"/>
          <w:b/>
          <w:bCs/>
          <w:szCs w:val="21"/>
        </w:rPr>
      </w:pPr>
      <w:bookmarkStart w:id="6" w:name="_Toc13069"/>
      <w:bookmarkStart w:id="7" w:name="_Toc766"/>
      <w:bookmarkStart w:id="8" w:name="_Toc380411667"/>
      <w:r>
        <w:rPr>
          <w:rFonts w:hint="eastAsia" w:ascii="宋体" w:hAnsi="宋体" w:eastAsia="宋体" w:cs="宋体"/>
          <w:b/>
          <w:bCs/>
          <w:szCs w:val="21"/>
        </w:rPr>
        <w:t>合同组成</w:t>
      </w:r>
      <w:bookmarkEnd w:id="6"/>
      <w:bookmarkEnd w:id="7"/>
      <w:bookmarkEnd w:id="8"/>
    </w:p>
    <w:p>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本项目的合同组成由详细价格、供货、验收方案及其它有关合同货物的特定信息由合同附件说明。所有附件及本项目的采购文件、会议纪要、协议等均为本项目合同不可分割之一部分。</w:t>
      </w:r>
    </w:p>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技术商务要求</w:t>
      </w:r>
      <w:bookmarkEnd w:id="3"/>
      <w:bookmarkEnd w:id="4"/>
      <w:bookmarkEnd w:id="5"/>
    </w:p>
    <w:p>
      <w:pPr>
        <w:spacing w:line="360" w:lineRule="auto"/>
        <w:ind w:firstLine="420" w:firstLineChars="200"/>
        <w:rPr>
          <w:rFonts w:ascii="宋体" w:hAnsi="宋体" w:eastAsia="宋体"/>
          <w:color w:val="000000"/>
          <w:szCs w:val="21"/>
        </w:rPr>
      </w:pPr>
      <w:r>
        <w:rPr>
          <w:rFonts w:hint="eastAsia" w:ascii="宋体" w:hAnsi="宋体" w:eastAsia="宋体"/>
          <w:color w:val="000000"/>
          <w:szCs w:val="21"/>
        </w:rPr>
        <w:t>成交供应商所提供货物及服务，必须符合国家有关规范和环保要求及采购人的技术商务要求，并提供货物的合格证明。</w:t>
      </w:r>
    </w:p>
    <w:p>
      <w:pPr>
        <w:numPr>
          <w:ilvl w:val="0"/>
          <w:numId w:val="15"/>
        </w:numPr>
        <w:spacing w:line="360" w:lineRule="auto"/>
        <w:rPr>
          <w:rFonts w:ascii="宋体" w:hAnsi="宋体" w:eastAsia="宋体" w:cs="宋体"/>
          <w:b/>
          <w:bCs/>
          <w:szCs w:val="21"/>
        </w:rPr>
      </w:pPr>
      <w:bookmarkStart w:id="9" w:name="_Toc380411672"/>
      <w:r>
        <w:rPr>
          <w:rFonts w:hint="eastAsia" w:ascii="宋体" w:hAnsi="宋体" w:eastAsia="宋体" w:cs="宋体"/>
          <w:b/>
          <w:bCs/>
          <w:szCs w:val="21"/>
        </w:rPr>
        <w:t>交货要求及验收要求</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1、交货要求</w:t>
      </w:r>
    </w:p>
    <w:p>
      <w:pPr>
        <w:tabs>
          <w:tab w:val="left" w:pos="540"/>
          <w:tab w:val="left" w:pos="960"/>
        </w:tabs>
        <w:snapToGrid w:val="0"/>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交货期：物品类在成交供应商接到采购人通知后10天内邮寄完毕；</w:t>
      </w:r>
      <w:r>
        <w:rPr>
          <w:rFonts w:hint="eastAsia"/>
        </w:rPr>
        <w:t>服务类的</w:t>
      </w:r>
      <w:r>
        <w:rPr>
          <w:rFonts w:hint="eastAsia"/>
          <w:color w:val="000000"/>
        </w:rPr>
        <w:t>具体服务期限由采购人赛程确定</w:t>
      </w:r>
      <w:r>
        <w:rPr>
          <w:rFonts w:hint="eastAsia" w:ascii="宋体" w:hAnsi="宋体" w:eastAsia="宋体" w:cs="宋体"/>
          <w:color w:val="000000"/>
          <w:szCs w:val="21"/>
        </w:rPr>
        <w:t>。采购人及成交供应商双方通过文本电子邮件确认收货地址、收货人及手机号码等收货信息，采购人应至少提前五个工作日告知成交供应商。成交供应商承担快递发货费用，快递运输期间的保管、灭失等风险均由成交供应商负责。</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2、所供商品必须符合国家行业生产及经营标准，货真价实，均能提供相应批次的合格检验证明；</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3、所投货物必须各项技术指标完全符合国家有关质量检测、环保标准及产品出厂标准。</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4、所有货物指标要符合国家强制性标准要求。</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5、成交供应商所供货物及服务必须符合竞价文件及样品相关标准、要求。</w:t>
      </w:r>
    </w:p>
    <w:p>
      <w:pPr>
        <w:pStyle w:val="22"/>
        <w:snapToGrid w:val="0"/>
        <w:spacing w:after="0" w:line="360" w:lineRule="auto"/>
        <w:ind w:left="0" w:leftChars="0" w:firstLine="0" w:firstLineChars="0"/>
        <w:rPr>
          <w:rFonts w:ascii="宋体" w:hAnsi="宋体" w:eastAsia="宋体" w:cs="宋体"/>
          <w:color w:val="000000"/>
          <w:szCs w:val="21"/>
        </w:rPr>
      </w:pPr>
      <w:r>
        <w:rPr>
          <w:rFonts w:hint="eastAsia" w:ascii="宋体" w:hAnsi="宋体" w:eastAsia="宋体" w:cs="宋体"/>
          <w:color w:val="000000"/>
          <w:szCs w:val="21"/>
        </w:rPr>
        <w:t>6、成交供应商所提供的样品及提供给采购人的货物商品条码必须和需求书中标注的商品条码一致。</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7、货物必须使用京东、顺丰快递按时按量按质寄送到采购人指定地点，如擅自使用其他快递则扣除</w:t>
      </w:r>
      <w:r>
        <w:rPr>
          <w:rFonts w:ascii="宋体" w:hAnsi="宋体" w:eastAsia="宋体" w:cs="宋体"/>
          <w:color w:val="000000"/>
          <w:szCs w:val="21"/>
        </w:rPr>
        <w:t>50%履约保证金</w:t>
      </w:r>
      <w:r>
        <w:rPr>
          <w:rFonts w:hint="eastAsia" w:ascii="宋体" w:hAnsi="宋体" w:eastAsia="宋体" w:cs="宋体"/>
          <w:color w:val="000000"/>
          <w:szCs w:val="21"/>
        </w:rPr>
        <w:t>。采购人收到货物后当场对货物的产品形式、规格、数量、质量和外包装等进行验收后签收，不得无理由拒绝签收，如有异议应在签收单上注明；如存在签收时无法发现的产品质量问题，采购人应在收货后</w:t>
      </w:r>
      <w:r>
        <w:rPr>
          <w:rFonts w:ascii="宋体" w:hAnsi="宋体" w:eastAsia="宋体" w:cs="宋体"/>
          <w:color w:val="000000"/>
          <w:szCs w:val="21"/>
        </w:rPr>
        <w:t xml:space="preserve"> 2 </w:t>
      </w:r>
      <w:r>
        <w:rPr>
          <w:rFonts w:hint="eastAsia" w:ascii="宋体" w:hAnsi="宋体" w:eastAsia="宋体" w:cs="宋体"/>
          <w:color w:val="000000"/>
          <w:szCs w:val="21"/>
        </w:rPr>
        <w:t xml:space="preserve">日内书面通知成交供应商，成交供应商应在接到通知两小时内进行响应，并在 24 小时内对所发生的问题进行调查后回复（包括电话及文本回复）；若在 24 小时内未能得到妥善处理的，成交供应商须承担相应的责任，并在三个工作日内补货。逾期未提出书面异议的，视为验收合格。 </w:t>
      </w:r>
    </w:p>
    <w:p>
      <w:pPr>
        <w:pStyle w:val="22"/>
        <w:snapToGrid w:val="0"/>
        <w:spacing w:after="0" w:line="360" w:lineRule="auto"/>
        <w:ind w:left="0" w:leftChars="0" w:firstLine="0" w:firstLineChars="0"/>
        <w:rPr>
          <w:rFonts w:ascii="宋体" w:hAnsi="宋体" w:eastAsia="宋体" w:cs="宋体"/>
          <w:color w:val="000000"/>
          <w:szCs w:val="21"/>
        </w:rPr>
      </w:pPr>
      <w:r>
        <w:rPr>
          <w:rFonts w:hint="eastAsia" w:ascii="宋体" w:hAnsi="宋体" w:eastAsia="宋体" w:cs="宋体"/>
          <w:color w:val="000000"/>
          <w:szCs w:val="21"/>
        </w:rPr>
        <w:t>8、快递时需做到防摔、防损坏，易损坏的商品需与其他物品单独分开包装并用气泡垫包裹， 若不适当的包装方式导致货物在运输过程中有任何损坏由成交供应商负责。</w:t>
      </w:r>
    </w:p>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质量保证及售后服务</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1、保质期：所提供药物剩余保质期不低于原有保质期的三分之二。</w:t>
      </w:r>
    </w:p>
    <w:p>
      <w:pPr>
        <w:tabs>
          <w:tab w:val="left" w:pos="540"/>
          <w:tab w:val="left" w:pos="960"/>
        </w:tabs>
        <w:snapToGrid w:val="0"/>
        <w:spacing w:line="360" w:lineRule="auto"/>
        <w:jc w:val="left"/>
        <w:rPr>
          <w:rFonts w:ascii="宋体" w:hAnsi="宋体" w:eastAsia="宋体" w:cs="宋体"/>
          <w:color w:val="000000"/>
          <w:szCs w:val="21"/>
        </w:rPr>
      </w:pPr>
      <w:r>
        <w:rPr>
          <w:rFonts w:hint="eastAsia" w:ascii="宋体" w:hAnsi="宋体" w:eastAsia="宋体" w:cs="宋体"/>
          <w:color w:val="000000"/>
          <w:szCs w:val="21"/>
        </w:rPr>
        <w:t xml:space="preserve">2、成交供应商根据采购需求完成货物寄送后，如在这过程中接到采购人对货物及服务相关的问题（包括产品质量、投诉等）时，应在接到通知两小时内进行响应，并在 24 小时内对所发生的问题进行调查后回复（包括电话及文本回复）；若在 24 小时内未能得到妥善处理的，成交供应商须承担相应的责任，并在三个工作日内补货。如果拒不补货，在履约保证金内按缺少物品的价格扣除。如采购人自行向第三方采购应急货物，相应产生的费用通过成交供应商的履约保证金扣除，不足部分，由成交供应商在收到采购人通知后 3 日内补足采购人采购差额。  </w:t>
      </w:r>
    </w:p>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 xml:space="preserve"> 篮球裁判员服务要求</w:t>
      </w:r>
    </w:p>
    <w:p>
      <w:pPr>
        <w:tabs>
          <w:tab w:val="left" w:pos="540"/>
          <w:tab w:val="left" w:pos="960"/>
        </w:tabs>
        <w:snapToGrid w:val="0"/>
        <w:spacing w:line="360" w:lineRule="auto"/>
        <w:ind w:firstLine="420" w:firstLineChars="200"/>
        <w:jc w:val="left"/>
        <w:rPr>
          <w:rFonts w:ascii="宋体" w:hAnsi="宋体" w:eastAsia="宋体"/>
          <w:szCs w:val="21"/>
        </w:rPr>
      </w:pPr>
      <w:r>
        <w:rPr>
          <w:rFonts w:hint="eastAsia" w:ascii="宋体" w:hAnsi="宋体" w:eastAsia="宋体" w:cs="宋体"/>
          <w:color w:val="000000"/>
          <w:szCs w:val="21"/>
        </w:rPr>
        <w:t>篮球裁判人员须具备国家相关部门颁发的二级或二级以上篮球裁判证书并在签订合同时提供原件给采购人核查。篮球裁判人员需曾判罚过县市级篮球赛事，按照国家体育总局审定的《2018年篮球竞赛规则》，根据赛程安排进行场上判罚工作。具体比赛时间由采购人赛程确定，比赛过程中采购人有权更换篮球裁判人员。篮球裁判人员需提前半个小时到达指定比赛地点，每次比赛结束后自行离开，采购人不安排食宿、接送，由成交供应商自行负责篮球裁判人员的食宿、交通及保险等。</w:t>
      </w:r>
    </w:p>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付款方式</w:t>
      </w:r>
    </w:p>
    <w:p>
      <w:pPr>
        <w:spacing w:line="360" w:lineRule="auto"/>
        <w:rPr>
          <w:rFonts w:ascii="宋体" w:hAnsi="宋体" w:eastAsia="宋体"/>
          <w:color w:val="000000"/>
          <w:szCs w:val="21"/>
        </w:rPr>
      </w:pPr>
      <w:bookmarkStart w:id="10" w:name="_Toc22109"/>
      <w:bookmarkStart w:id="11" w:name="_Toc595"/>
      <w:r>
        <w:rPr>
          <w:rFonts w:hint="eastAsia" w:ascii="宋体" w:hAnsi="宋体" w:eastAsia="宋体"/>
          <w:color w:val="000000"/>
          <w:szCs w:val="21"/>
        </w:rPr>
        <w:t xml:space="preserve">    本项目以财政付款转帐方式支付，待全部货物到达采购人指定地点及服务完成并验收合格之后统一进行支付，成交供应商凭以下材料申请办理支付手续：</w:t>
      </w:r>
    </w:p>
    <w:p>
      <w:pPr>
        <w:spacing w:line="360" w:lineRule="auto"/>
        <w:rPr>
          <w:rFonts w:ascii="宋体" w:hAnsi="宋体" w:eastAsia="宋体"/>
          <w:color w:val="000000"/>
          <w:szCs w:val="21"/>
        </w:rPr>
      </w:pPr>
      <w:r>
        <w:rPr>
          <w:rFonts w:hint="eastAsia" w:ascii="宋体" w:hAnsi="宋体" w:eastAsia="宋体"/>
          <w:color w:val="000000"/>
          <w:szCs w:val="21"/>
        </w:rPr>
        <w:t>1、合同（含成交货物名称规格及单价）；</w:t>
      </w:r>
    </w:p>
    <w:p>
      <w:pPr>
        <w:spacing w:line="360" w:lineRule="auto"/>
        <w:rPr>
          <w:rFonts w:ascii="宋体" w:hAnsi="宋体" w:eastAsia="宋体"/>
          <w:color w:val="000000"/>
          <w:szCs w:val="21"/>
        </w:rPr>
      </w:pPr>
      <w:r>
        <w:rPr>
          <w:rFonts w:hint="eastAsia" w:ascii="宋体" w:hAnsi="宋体" w:eastAsia="宋体"/>
          <w:color w:val="000000"/>
          <w:szCs w:val="21"/>
        </w:rPr>
        <w:t>2、验收报告（或验收单）；</w:t>
      </w:r>
    </w:p>
    <w:p>
      <w:pPr>
        <w:spacing w:line="360" w:lineRule="auto"/>
        <w:rPr>
          <w:rFonts w:ascii="宋体" w:hAnsi="宋体" w:eastAsia="宋体"/>
          <w:color w:val="000000"/>
          <w:szCs w:val="21"/>
        </w:rPr>
      </w:pPr>
      <w:r>
        <w:rPr>
          <w:rFonts w:hint="eastAsia" w:ascii="宋体" w:hAnsi="宋体" w:eastAsia="宋体"/>
          <w:color w:val="000000"/>
          <w:szCs w:val="21"/>
        </w:rPr>
        <w:t>3、成交供应商向采购人提供的邮寄信息单；</w:t>
      </w:r>
    </w:p>
    <w:p>
      <w:pPr>
        <w:spacing w:line="360" w:lineRule="auto"/>
        <w:rPr>
          <w:rFonts w:ascii="宋体" w:hAnsi="宋体" w:eastAsia="宋体"/>
          <w:color w:val="000000"/>
          <w:szCs w:val="21"/>
        </w:rPr>
      </w:pPr>
      <w:r>
        <w:rPr>
          <w:rFonts w:hint="eastAsia" w:ascii="宋体" w:hAnsi="宋体" w:eastAsia="宋体"/>
          <w:color w:val="000000"/>
          <w:szCs w:val="21"/>
        </w:rPr>
        <w:t>4、成交供应商向采购人开具的正式发票；</w:t>
      </w:r>
    </w:p>
    <w:p>
      <w:pPr>
        <w:spacing w:line="360" w:lineRule="auto"/>
        <w:rPr>
          <w:rFonts w:ascii="宋体" w:hAnsi="宋体" w:eastAsia="宋体"/>
          <w:szCs w:val="21"/>
        </w:rPr>
      </w:pPr>
      <w:r>
        <w:rPr>
          <w:rFonts w:hint="eastAsia" w:ascii="宋体" w:hAnsi="宋体" w:eastAsia="宋体"/>
          <w:color w:val="000000"/>
          <w:szCs w:val="21"/>
        </w:rPr>
        <w:t>5、货物及服务验收合格后</w:t>
      </w:r>
      <w:r>
        <w:rPr>
          <w:rFonts w:ascii="宋体" w:hAnsi="宋体" w:eastAsia="宋体"/>
          <w:color w:val="000000"/>
          <w:szCs w:val="21"/>
        </w:rPr>
        <w:t>10个工作日内办理财政支付手续</w:t>
      </w:r>
      <w:r>
        <w:rPr>
          <w:rFonts w:hint="eastAsia" w:ascii="宋体" w:hAnsi="宋体" w:eastAsia="宋体"/>
          <w:color w:val="000000"/>
          <w:szCs w:val="21"/>
        </w:rPr>
        <w:t>，按财政支付程序，支付合同总价的100%款项。因采购人使用的是财政资金，采购人仅负责在上述约定时间内完成申报手续，实际付款到账时间及金额以支付时间及金额为准。采购人不承担逾期付款的违约责任，并且此情况不能成为成交供应商逾期供货或怠于提供相应服务的理由。</w:t>
      </w:r>
    </w:p>
    <w:bookmarkEnd w:id="9"/>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其他要求</w:t>
      </w:r>
      <w:bookmarkEnd w:id="10"/>
      <w:bookmarkEnd w:id="11"/>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1、由于采购人工作的特殊性，成交供应商应做好其单位工作人员的教育工作，遵守采购人单位各项规定。</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2、成交供应商除不可抗力外，不得因其他任何理由延迟寄送货物及提供服务。采购人</w:t>
      </w:r>
      <w:r>
        <w:rPr>
          <w:rFonts w:ascii="宋体" w:hAnsi="宋体" w:eastAsia="宋体" w:cs="宋体"/>
          <w:color w:val="000000"/>
          <w:szCs w:val="21"/>
        </w:rPr>
        <w:t>如遇特殊情况需推迟寄送货物或提供服务的，应提前通知</w:t>
      </w:r>
      <w:r>
        <w:rPr>
          <w:rFonts w:hint="eastAsia" w:ascii="宋体" w:hAnsi="宋体" w:eastAsia="宋体" w:cs="宋体"/>
          <w:color w:val="000000"/>
          <w:szCs w:val="21"/>
        </w:rPr>
        <w:t>成交供应商</w:t>
      </w:r>
      <w:r>
        <w:rPr>
          <w:rFonts w:ascii="宋体" w:hAnsi="宋体" w:eastAsia="宋体" w:cs="宋体"/>
          <w:color w:val="000000"/>
          <w:szCs w:val="21"/>
        </w:rPr>
        <w:t>。因</w:t>
      </w:r>
      <w:r>
        <w:rPr>
          <w:rFonts w:hint="eastAsia" w:ascii="宋体" w:hAnsi="宋体" w:eastAsia="宋体" w:cs="宋体"/>
          <w:color w:val="000000"/>
          <w:szCs w:val="21"/>
        </w:rPr>
        <w:t>成交供应商</w:t>
      </w:r>
      <w:r>
        <w:rPr>
          <w:rFonts w:ascii="宋体" w:hAnsi="宋体" w:eastAsia="宋体" w:cs="宋体"/>
          <w:color w:val="000000"/>
          <w:szCs w:val="21"/>
        </w:rPr>
        <w:t>原因延误交货日期</w:t>
      </w:r>
      <w:r>
        <w:rPr>
          <w:rFonts w:hint="eastAsia" w:ascii="宋体" w:hAnsi="宋体" w:eastAsia="宋体" w:cs="宋体"/>
          <w:color w:val="000000"/>
          <w:szCs w:val="21"/>
        </w:rPr>
        <w:t>或提供服务</w:t>
      </w:r>
      <w:r>
        <w:rPr>
          <w:rFonts w:ascii="宋体" w:hAnsi="宋体" w:eastAsia="宋体" w:cs="宋体"/>
          <w:color w:val="000000"/>
          <w:szCs w:val="21"/>
        </w:rPr>
        <w:t>的（</w:t>
      </w:r>
      <w:r>
        <w:rPr>
          <w:rFonts w:hint="eastAsia" w:ascii="宋体" w:hAnsi="宋体" w:eastAsia="宋体" w:cs="宋体"/>
          <w:color w:val="000000"/>
          <w:szCs w:val="21"/>
        </w:rPr>
        <w:t>采购人</w:t>
      </w:r>
      <w:r>
        <w:rPr>
          <w:rFonts w:ascii="宋体" w:hAnsi="宋体" w:eastAsia="宋体" w:cs="宋体"/>
          <w:color w:val="000000"/>
          <w:szCs w:val="21"/>
        </w:rPr>
        <w:t>要求推迟的除外），</w:t>
      </w:r>
      <w:r>
        <w:rPr>
          <w:rFonts w:hint="eastAsia" w:ascii="宋体" w:hAnsi="宋体" w:eastAsia="宋体" w:cs="宋体"/>
          <w:color w:val="000000"/>
          <w:szCs w:val="21"/>
        </w:rPr>
        <w:t>采购人</w:t>
      </w:r>
      <w:r>
        <w:rPr>
          <w:rFonts w:ascii="宋体" w:hAnsi="宋体" w:eastAsia="宋体" w:cs="宋体"/>
          <w:color w:val="000000"/>
          <w:szCs w:val="21"/>
        </w:rPr>
        <w:t>有权另行向第三方采购以保证供货及服务，由此产生的费用由</w:t>
      </w:r>
      <w:r>
        <w:rPr>
          <w:rFonts w:hint="eastAsia" w:ascii="宋体" w:hAnsi="宋体" w:eastAsia="宋体" w:cs="宋体"/>
          <w:color w:val="000000"/>
          <w:szCs w:val="21"/>
        </w:rPr>
        <w:t>成交供应商</w:t>
      </w:r>
      <w:r>
        <w:rPr>
          <w:rFonts w:ascii="宋体" w:hAnsi="宋体" w:eastAsia="宋体" w:cs="宋体"/>
          <w:color w:val="000000"/>
          <w:szCs w:val="21"/>
        </w:rPr>
        <w:t>承担。除此以外，</w:t>
      </w:r>
      <w:r>
        <w:rPr>
          <w:rFonts w:hint="eastAsia" w:ascii="宋体" w:hAnsi="宋体" w:eastAsia="宋体" w:cs="宋体"/>
          <w:color w:val="000000"/>
          <w:szCs w:val="21"/>
        </w:rPr>
        <w:t>采购人</w:t>
      </w:r>
      <w:r>
        <w:rPr>
          <w:rFonts w:ascii="宋体" w:hAnsi="宋体" w:eastAsia="宋体" w:cs="宋体"/>
          <w:color w:val="000000"/>
          <w:szCs w:val="21"/>
        </w:rPr>
        <w:t>有权直接没收</w:t>
      </w:r>
      <w:r>
        <w:rPr>
          <w:rFonts w:hint="eastAsia" w:ascii="宋体" w:hAnsi="宋体" w:eastAsia="宋体" w:cs="宋体"/>
          <w:color w:val="000000"/>
          <w:szCs w:val="21"/>
        </w:rPr>
        <w:t>成交供应商</w:t>
      </w:r>
      <w:r>
        <w:rPr>
          <w:rFonts w:ascii="宋体" w:hAnsi="宋体" w:eastAsia="宋体" w:cs="宋体"/>
          <w:color w:val="000000"/>
          <w:szCs w:val="21"/>
        </w:rPr>
        <w:t>全部履约保证金作为违约补偿。</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3、成交供应商不得变更供应货品及服务内容，应严格按采购要求和报名报价承诺（含商标、名称、产地、规格和重量等）供应，否则，采购人有权拒收。</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4、采购人按合同对货物进行认真验收，对不符合规格要求的货物及服务内容，成交供应商必须无条件退货；成交供应商未能履行采购文件和合同所定事项,或供应不合格的、假冒伪劣、以次充好的商品或供货时的货物及所提供的服务与成交供应商报名报价文件中的承诺不符，采购人退货后将记录在案，成交供应商除要承担采购人因此产生的一切损失和费用外，情节严重的采购人可取消其供应资格。</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5、成交供应商须按所供应货物及服务的销售额开具国家正式发票。</w:t>
      </w:r>
    </w:p>
    <w:p>
      <w:pPr>
        <w:numPr>
          <w:ilvl w:val="0"/>
          <w:numId w:val="15"/>
        </w:numPr>
        <w:spacing w:line="360" w:lineRule="auto"/>
        <w:rPr>
          <w:rFonts w:ascii="宋体" w:hAnsi="宋体" w:eastAsia="宋体" w:cs="宋体"/>
          <w:b/>
          <w:bCs/>
          <w:szCs w:val="21"/>
        </w:rPr>
      </w:pPr>
      <w:bookmarkStart w:id="12" w:name="_Toc380411673"/>
      <w:bookmarkStart w:id="13" w:name="_Toc4670"/>
      <w:bookmarkStart w:id="14" w:name="_Toc16914"/>
      <w:r>
        <w:rPr>
          <w:rFonts w:hint="eastAsia" w:ascii="宋体" w:hAnsi="宋体" w:eastAsia="宋体" w:cs="宋体"/>
          <w:b/>
          <w:bCs/>
          <w:szCs w:val="21"/>
        </w:rPr>
        <w:t>不可抗力</w:t>
      </w:r>
      <w:bookmarkEnd w:id="12"/>
      <w:bookmarkEnd w:id="13"/>
      <w:bookmarkEnd w:id="14"/>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1、不可抗力指战争、严重火灾、洪水、台风、地震等或其它双方认定的不可抗力事件。</w:t>
      </w:r>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2、合同签约双方中任何一方由于不可抗力影响合同执行时，发生不可抗力一方应尽快将事故通知另一方。在此情况下，成交供应商仍然有责任采取必要的措施供货，双方应通过友好协商尽快解决本合同的执行问题。</w:t>
      </w:r>
    </w:p>
    <w:p>
      <w:pPr>
        <w:numPr>
          <w:ilvl w:val="0"/>
          <w:numId w:val="15"/>
        </w:numPr>
        <w:spacing w:line="360" w:lineRule="auto"/>
        <w:rPr>
          <w:rFonts w:ascii="宋体" w:hAnsi="宋体" w:eastAsia="宋体" w:cs="宋体"/>
          <w:b/>
          <w:bCs/>
          <w:szCs w:val="21"/>
        </w:rPr>
      </w:pPr>
      <w:bookmarkStart w:id="15" w:name="_Toc380411674"/>
      <w:bookmarkStart w:id="16" w:name="_Toc21754"/>
      <w:bookmarkStart w:id="17" w:name="_Toc32581"/>
      <w:r>
        <w:rPr>
          <w:rFonts w:hint="eastAsia" w:ascii="宋体" w:hAnsi="宋体" w:eastAsia="宋体" w:cs="宋体"/>
          <w:b/>
          <w:bCs/>
          <w:szCs w:val="21"/>
        </w:rPr>
        <w:t>索赔</w:t>
      </w:r>
      <w:bookmarkEnd w:id="15"/>
      <w:bookmarkEnd w:id="16"/>
      <w:bookmarkEnd w:id="17"/>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1、验收不合格，采购人有权根据有关政府部门的检验结果向成交供应商提出索赔。</w:t>
      </w:r>
    </w:p>
    <w:p>
      <w:pPr>
        <w:spacing w:line="360" w:lineRule="auto"/>
        <w:ind w:left="473" w:hanging="472" w:hangingChars="225"/>
        <w:rPr>
          <w:rFonts w:ascii="宋体" w:hAnsi="宋体" w:eastAsia="宋体"/>
          <w:color w:val="000000"/>
          <w:szCs w:val="21"/>
        </w:rPr>
      </w:pPr>
      <w:r>
        <w:rPr>
          <w:rFonts w:hint="eastAsia" w:ascii="宋体" w:hAnsi="宋体" w:eastAsia="宋体"/>
          <w:color w:val="000000"/>
          <w:szCs w:val="21"/>
        </w:rPr>
        <w:t>2、在合同执行期间，如果成交供应商对采购人提出的索赔和差异负有责任，成交供应商应按照采购人同意的下列一种或多种方式解决索赔事宜：</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（1）成交供应商同意退货，并按合同规定的同种货币将货款退还给采购人，并承担由此发生的一切损失和费用。</w:t>
      </w:r>
    </w:p>
    <w:p>
      <w:pPr>
        <w:tabs>
          <w:tab w:val="left" w:pos="540"/>
          <w:tab w:val="left" w:pos="960"/>
        </w:tabs>
        <w:spacing w:line="360" w:lineRule="auto"/>
        <w:jc w:val="left"/>
        <w:rPr>
          <w:rFonts w:ascii="宋体" w:hAnsi="宋体" w:eastAsia="宋体" w:cs="宋体"/>
          <w:color w:val="000000"/>
          <w:szCs w:val="21"/>
        </w:rPr>
      </w:pPr>
      <w:r>
        <w:rPr>
          <w:rFonts w:hint="eastAsia" w:ascii="宋体" w:hAnsi="宋体" w:eastAsia="宋体" w:cs="宋体"/>
          <w:color w:val="000000"/>
          <w:szCs w:val="21"/>
        </w:rPr>
        <w:t>（2）根据货物低劣程度、损坏程度以及采购人所遭受损失的数额采购人及成交供应商双方商定降低货物的价格。</w:t>
      </w:r>
    </w:p>
    <w:p>
      <w:pPr>
        <w:spacing w:line="360" w:lineRule="auto"/>
        <w:ind w:left="473" w:hanging="472" w:hangingChars="225"/>
        <w:rPr>
          <w:rFonts w:ascii="宋体" w:hAnsi="宋体" w:eastAsia="宋体"/>
          <w:color w:val="000000"/>
          <w:szCs w:val="21"/>
        </w:rPr>
      </w:pPr>
      <w:r>
        <w:rPr>
          <w:rFonts w:hint="eastAsia" w:ascii="宋体" w:hAnsi="宋体" w:eastAsia="宋体"/>
          <w:color w:val="000000"/>
          <w:szCs w:val="21"/>
        </w:rPr>
        <w:t>3、如果在采购人发出索赔通知后</w:t>
      </w:r>
      <w:r>
        <w:rPr>
          <w:rFonts w:ascii="宋体" w:hAnsi="宋体" w:eastAsia="宋体"/>
          <w:color w:val="000000"/>
          <w:szCs w:val="21"/>
        </w:rPr>
        <w:t>30</w:t>
      </w:r>
      <w:r>
        <w:rPr>
          <w:rFonts w:hint="eastAsia" w:ascii="宋体" w:hAnsi="宋体" w:eastAsia="宋体"/>
          <w:color w:val="000000"/>
          <w:szCs w:val="21"/>
        </w:rPr>
        <w:t>天内，成交供应商未作答复，上述索赔应视为已被成交供应商接受。采购人将从合同款项中扣回索赔金额。如果这些金额不足以补偿索赔金额，采购人有权向成交供应商提出不足部分的补偿。</w:t>
      </w:r>
    </w:p>
    <w:p>
      <w:pPr>
        <w:numPr>
          <w:ilvl w:val="0"/>
          <w:numId w:val="15"/>
        </w:numPr>
        <w:spacing w:line="360" w:lineRule="auto"/>
        <w:rPr>
          <w:rFonts w:ascii="宋体" w:hAnsi="宋体" w:eastAsia="宋体" w:cs="宋体"/>
          <w:b/>
          <w:bCs/>
          <w:szCs w:val="21"/>
        </w:rPr>
      </w:pPr>
      <w:bookmarkStart w:id="18" w:name="_Toc6438"/>
      <w:bookmarkStart w:id="19" w:name="_Toc32318"/>
      <w:bookmarkStart w:id="20" w:name="_Toc380411675"/>
      <w:r>
        <w:rPr>
          <w:rFonts w:hint="eastAsia" w:ascii="宋体" w:hAnsi="宋体" w:eastAsia="宋体" w:cs="宋体"/>
          <w:b/>
          <w:bCs/>
          <w:szCs w:val="21"/>
        </w:rPr>
        <w:t>违约与处罚</w:t>
      </w:r>
      <w:bookmarkEnd w:id="18"/>
      <w:bookmarkEnd w:id="19"/>
      <w:bookmarkEnd w:id="20"/>
    </w:p>
    <w:p>
      <w:pPr>
        <w:spacing w:line="360" w:lineRule="auto"/>
        <w:ind w:left="420" w:hanging="420" w:hangingChars="200"/>
        <w:rPr>
          <w:rFonts w:ascii="宋体" w:hAnsi="宋体" w:eastAsia="宋体"/>
          <w:b/>
          <w:bCs/>
          <w:color w:val="000000"/>
          <w:szCs w:val="21"/>
        </w:rPr>
      </w:pPr>
      <w:r>
        <w:rPr>
          <w:rFonts w:hint="eastAsia" w:ascii="宋体" w:hAnsi="宋体" w:eastAsia="宋体"/>
          <w:color w:val="000000"/>
          <w:szCs w:val="21"/>
        </w:rPr>
        <w:t>1、成交供应商未能按时交货、供货或提供的服务不符要求，每拖延一天，须</w:t>
      </w:r>
      <w:r>
        <w:rPr>
          <w:rFonts w:ascii="宋体" w:hAnsi="宋体" w:eastAsia="宋体"/>
          <w:color w:val="000000"/>
          <w:szCs w:val="21"/>
        </w:rPr>
        <w:t>向</w:t>
      </w:r>
      <w:r>
        <w:rPr>
          <w:rFonts w:hint="eastAsia" w:ascii="宋体" w:hAnsi="宋体" w:eastAsia="宋体"/>
          <w:color w:val="000000"/>
          <w:szCs w:val="21"/>
        </w:rPr>
        <w:t>采购人</w:t>
      </w:r>
      <w:r>
        <w:rPr>
          <w:rFonts w:ascii="宋体" w:hAnsi="宋体" w:eastAsia="宋体"/>
          <w:color w:val="000000"/>
          <w:szCs w:val="21"/>
        </w:rPr>
        <w:t>支付未交付产品金额的 3‰的违约金。逾期超过 5 日的，</w:t>
      </w:r>
      <w:r>
        <w:rPr>
          <w:rFonts w:hint="eastAsia" w:ascii="宋体" w:hAnsi="宋体" w:eastAsia="宋体"/>
          <w:color w:val="000000"/>
          <w:szCs w:val="21"/>
        </w:rPr>
        <w:t>采购人</w:t>
      </w:r>
      <w:r>
        <w:rPr>
          <w:rFonts w:ascii="宋体" w:hAnsi="宋体" w:eastAsia="宋体"/>
          <w:color w:val="000000"/>
          <w:szCs w:val="21"/>
        </w:rPr>
        <w:t>有权单方解除本</w:t>
      </w:r>
      <w:r>
        <w:rPr>
          <w:rFonts w:hint="eastAsia" w:ascii="宋体" w:hAnsi="宋体" w:eastAsia="宋体"/>
          <w:color w:val="000000"/>
          <w:szCs w:val="21"/>
        </w:rPr>
        <w:t>项目</w:t>
      </w:r>
      <w:r>
        <w:rPr>
          <w:rFonts w:ascii="宋体" w:hAnsi="宋体" w:eastAsia="宋体"/>
          <w:color w:val="000000"/>
          <w:szCs w:val="21"/>
        </w:rPr>
        <w:t>合同，除扣除</w:t>
      </w:r>
      <w:r>
        <w:rPr>
          <w:rFonts w:hint="eastAsia" w:ascii="宋体" w:hAnsi="宋体" w:eastAsia="宋体"/>
          <w:color w:val="000000"/>
          <w:szCs w:val="21"/>
        </w:rPr>
        <w:t>成交供应商</w:t>
      </w:r>
      <w:r>
        <w:rPr>
          <w:rFonts w:ascii="宋体" w:hAnsi="宋体" w:eastAsia="宋体"/>
          <w:color w:val="000000"/>
          <w:szCs w:val="21"/>
        </w:rPr>
        <w:t>未发货或发货不合格的款项外，</w:t>
      </w:r>
      <w:r>
        <w:rPr>
          <w:rFonts w:hint="eastAsia" w:ascii="宋体" w:hAnsi="宋体" w:eastAsia="宋体"/>
          <w:color w:val="000000"/>
          <w:szCs w:val="21"/>
        </w:rPr>
        <w:t>成交供应商</w:t>
      </w:r>
      <w:r>
        <w:rPr>
          <w:rFonts w:ascii="宋体" w:hAnsi="宋体" w:eastAsia="宋体"/>
          <w:color w:val="000000"/>
          <w:szCs w:val="21"/>
        </w:rPr>
        <w:t>还应按未发货</w:t>
      </w:r>
      <w:r>
        <w:rPr>
          <w:rFonts w:hint="eastAsia" w:ascii="宋体" w:hAnsi="宋体" w:eastAsia="宋体"/>
          <w:color w:val="000000"/>
          <w:szCs w:val="21"/>
        </w:rPr>
        <w:t>及提供服务</w:t>
      </w:r>
      <w:r>
        <w:rPr>
          <w:rFonts w:ascii="宋体" w:hAnsi="宋体" w:eastAsia="宋体"/>
          <w:color w:val="000000"/>
          <w:szCs w:val="21"/>
        </w:rPr>
        <w:t>金额的 10%支付违约金。</w:t>
      </w:r>
    </w:p>
    <w:p>
      <w:pPr>
        <w:spacing w:line="360" w:lineRule="auto"/>
        <w:ind w:left="473" w:hanging="472" w:hangingChars="225"/>
        <w:rPr>
          <w:rFonts w:ascii="宋体" w:hAnsi="宋体" w:eastAsia="宋体"/>
          <w:color w:val="000000"/>
          <w:szCs w:val="21"/>
        </w:rPr>
      </w:pPr>
      <w:r>
        <w:rPr>
          <w:rFonts w:hint="eastAsia" w:ascii="宋体" w:hAnsi="宋体" w:eastAsia="宋体"/>
          <w:color w:val="000000"/>
          <w:szCs w:val="21"/>
        </w:rPr>
        <w:t>2、成交供应商交付的货物或提供的服务不符合合同规定的，采购人有权拒收且有权解除合同，成交供应商向采购人支付合同金额的10</w:t>
      </w:r>
      <w:r>
        <w:rPr>
          <w:rFonts w:ascii="宋体" w:hAnsi="宋体" w:eastAsia="宋体"/>
          <w:color w:val="000000"/>
          <w:szCs w:val="21"/>
        </w:rPr>
        <w:t>%</w:t>
      </w:r>
      <w:r>
        <w:rPr>
          <w:rFonts w:hint="eastAsia" w:ascii="宋体" w:hAnsi="宋体" w:eastAsia="宋体"/>
          <w:color w:val="000000"/>
          <w:szCs w:val="21"/>
        </w:rPr>
        <w:t>的违约金。</w:t>
      </w:r>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3、采购人无正当理由拒收货物或接受服务的，采购人向成交供应商支付合同金额的10</w:t>
      </w:r>
      <w:r>
        <w:rPr>
          <w:rFonts w:ascii="宋体" w:hAnsi="宋体" w:eastAsia="宋体"/>
          <w:color w:val="000000"/>
          <w:szCs w:val="21"/>
        </w:rPr>
        <w:t>%</w:t>
      </w:r>
      <w:r>
        <w:rPr>
          <w:rFonts w:hint="eastAsia" w:ascii="宋体" w:hAnsi="宋体" w:eastAsia="宋体"/>
          <w:color w:val="000000"/>
          <w:szCs w:val="21"/>
        </w:rPr>
        <w:t>的违约金。</w:t>
      </w:r>
    </w:p>
    <w:p>
      <w:pPr>
        <w:spacing w:line="360" w:lineRule="auto"/>
        <w:ind w:left="420" w:hanging="420" w:hangingChars="200"/>
        <w:rPr>
          <w:rFonts w:ascii="宋体" w:hAnsi="宋体" w:eastAsia="宋体"/>
          <w:color w:val="000000"/>
          <w:szCs w:val="21"/>
        </w:rPr>
      </w:pPr>
      <w:r>
        <w:rPr>
          <w:rFonts w:hint="eastAsia" w:ascii="宋体" w:hAnsi="宋体" w:eastAsia="宋体"/>
          <w:color w:val="000000"/>
          <w:szCs w:val="21"/>
        </w:rPr>
        <w:t>4、成交供应商无正当理由拒绝交付货物及提供服务的，成交供应商向采购人支付合同金额的10%的违约金。</w:t>
      </w:r>
    </w:p>
    <w:p>
      <w:pPr>
        <w:numPr>
          <w:ilvl w:val="0"/>
          <w:numId w:val="15"/>
        </w:numPr>
        <w:spacing w:line="360" w:lineRule="auto"/>
        <w:rPr>
          <w:rFonts w:ascii="宋体" w:hAnsi="宋体" w:eastAsia="宋体" w:cs="宋体"/>
          <w:b/>
          <w:bCs/>
          <w:szCs w:val="21"/>
        </w:rPr>
      </w:pPr>
      <w:r>
        <w:rPr>
          <w:rFonts w:hint="eastAsia" w:ascii="宋体" w:hAnsi="宋体" w:eastAsia="宋体" w:cs="宋体"/>
          <w:b/>
          <w:bCs/>
          <w:szCs w:val="21"/>
        </w:rPr>
        <w:t>履约保证金</w:t>
      </w:r>
    </w:p>
    <w:p>
      <w:pPr>
        <w:spacing w:line="360" w:lineRule="auto"/>
        <w:rPr>
          <w:rFonts w:ascii="宋体" w:hAnsi="宋体" w:eastAsia="宋体"/>
          <w:color w:val="000000"/>
          <w:szCs w:val="21"/>
        </w:rPr>
      </w:pPr>
      <w:r>
        <w:rPr>
          <w:rFonts w:hint="eastAsia" w:ascii="宋体" w:hAnsi="宋体" w:eastAsia="宋体"/>
          <w:color w:val="000000"/>
          <w:szCs w:val="21"/>
        </w:rPr>
        <w:t xml:space="preserve">    履约保证金为合同执行总价（即成交总金额）的5%，成交供应商应在签订本合同前向采购人提交履约保证金。履约保证金在全部货物交付采购人及提供的服务验收合格且合同期届满后，根据成交供应商的书面申请，采购人应在10个工作日内无息退还给成交供应商；如有违约事项，采购人根据约定扣款，予以无息退还余额。如成交供应商逾期未缴纳保证金，采购人有权立即单方解除本项目合同。 </w:t>
      </w:r>
    </w:p>
    <w:p>
      <w:pPr>
        <w:snapToGrid w:val="0"/>
        <w:spacing w:line="360" w:lineRule="auto"/>
        <w:rPr>
          <w:rFonts w:ascii="宋体" w:hAnsi="宋体" w:eastAsia="宋体" w:cs="宋体"/>
          <w:b/>
          <w:color w:val="000000" w:themeColor="text1"/>
          <w:szCs w:val="21"/>
          <w14:textFill>
            <w14:solidFill>
              <w14:schemeClr w14:val="tx1"/>
            </w14:solidFill>
          </w14:textFill>
        </w:rPr>
      </w:pPr>
    </w:p>
    <w:p>
      <w:pPr>
        <w:pStyle w:val="19"/>
        <w:spacing w:before="0" w:after="0"/>
        <w:rPr>
          <w:rFonts w:ascii="宋体" w:hAns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br w:type="page"/>
      </w: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808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3447"/>
        <w:gridCol w:w="1065"/>
        <w:gridCol w:w="2151"/>
        <w:gridCol w:w="141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3447"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rPr>
              <w:t>采购内容</w:t>
            </w:r>
          </w:p>
        </w:tc>
        <w:tc>
          <w:tcPr>
            <w:tcW w:w="1065"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lang w:bidi="ar"/>
              </w:rPr>
            </w:pPr>
            <w:r>
              <w:rPr>
                <w:rFonts w:hint="eastAsia" w:ascii="宋体" w:hAnsi="宋体" w:eastAsia="宋体" w:cs="宋体"/>
                <w:b/>
                <w:szCs w:val="24"/>
                <w:shd w:val="clear" w:color="auto" w:fill="FFFFFF"/>
                <w:lang w:bidi="ar"/>
              </w:rPr>
              <w:t>数量</w:t>
            </w:r>
          </w:p>
        </w:tc>
        <w:tc>
          <w:tcPr>
            <w:tcW w:w="2151"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color w:val="000000"/>
                <w:szCs w:val="21"/>
                <w:lang w:bidi="ar"/>
              </w:rPr>
              <w:t>下浮率报价</w:t>
            </w:r>
          </w:p>
        </w:tc>
        <w:tc>
          <w:tcPr>
            <w:tcW w:w="1418" w:type="dxa"/>
            <w:tcBorders>
              <w:tl2br w:val="nil"/>
              <w:tr2bl w:val="nil"/>
            </w:tcBorders>
            <w:shd w:val="clear" w:color="auto" w:fill="auto"/>
            <w:vAlign w:val="center"/>
          </w:tcPr>
          <w:p>
            <w:pPr>
              <w:shd w:val="clear" w:color="auto" w:fill="FFFFFF"/>
              <w:snapToGrid w:val="0"/>
              <w:jc w:val="center"/>
              <w:rPr>
                <w:rFonts w:ascii="宋体" w:hAnsi="宋体" w:eastAsia="宋体" w:cs="宋体"/>
                <w:b/>
                <w:szCs w:val="24"/>
                <w:shd w:val="clear" w:color="auto" w:fill="FFFFFF"/>
              </w:rPr>
            </w:pPr>
            <w:r>
              <w:rPr>
                <w:rFonts w:hint="eastAsia" w:ascii="宋体" w:hAnsi="宋体" w:eastAsia="宋体" w:cs="宋体"/>
                <w:b/>
                <w:szCs w:val="24"/>
                <w:shd w:val="clear" w:color="auto" w:fill="FFFFFF"/>
                <w:lang w:bidi="ar"/>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3447" w:type="dxa"/>
            <w:tcBorders>
              <w:tl2br w:val="nil"/>
              <w:tr2bl w:val="nil"/>
            </w:tcBorders>
            <w:shd w:val="clear" w:color="auto" w:fill="auto"/>
            <w:vAlign w:val="center"/>
          </w:tcPr>
          <w:p>
            <w:pPr>
              <w:shd w:val="clear" w:color="auto" w:fill="FFFFFF"/>
              <w:spacing w:before="156" w:after="156"/>
              <w:jc w:val="center"/>
              <w:rPr>
                <w:rFonts w:hint="eastAsia" w:ascii="宋体" w:hAnsi="宋体" w:eastAsia="宋体" w:cs="宋体"/>
                <w:szCs w:val="24"/>
                <w:shd w:val="clear" w:color="auto" w:fill="FFFFFF"/>
                <w:lang w:eastAsia="zh-CN"/>
              </w:rPr>
            </w:pPr>
            <w:r>
              <w:rPr>
                <w:rFonts w:hint="eastAsia" w:eastAsia="宋体"/>
                <w:lang w:eastAsia="zh-CN"/>
              </w:rPr>
              <w:t>肇庆监狱民警职工第三届“奋进杯”男子篮球比赛采购项目</w:t>
            </w:r>
          </w:p>
        </w:tc>
        <w:tc>
          <w:tcPr>
            <w:tcW w:w="1065"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shd w:val="clear" w:color="auto" w:fill="FFFFFF"/>
              </w:rPr>
              <w:t>1批</w:t>
            </w:r>
          </w:p>
        </w:tc>
        <w:tc>
          <w:tcPr>
            <w:tcW w:w="2151"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r>
              <w:rPr>
                <w:rFonts w:hint="eastAsia" w:ascii="宋体" w:hAnsi="宋体" w:eastAsia="宋体" w:cs="宋体"/>
                <w:szCs w:val="24"/>
                <w:u w:val="single"/>
                <w:shd w:val="clear" w:color="auto" w:fill="FFFFFF"/>
              </w:rPr>
              <w:t>_____</w:t>
            </w:r>
            <w:r>
              <w:rPr>
                <w:rFonts w:hint="eastAsia" w:ascii="宋体" w:hAnsi="宋体" w:eastAsia="宋体" w:cs="宋体"/>
                <w:szCs w:val="24"/>
                <w:shd w:val="clear" w:color="auto" w:fill="FFFFFF"/>
              </w:rPr>
              <w:t>%</w:t>
            </w:r>
          </w:p>
        </w:tc>
        <w:tc>
          <w:tcPr>
            <w:tcW w:w="1418" w:type="dxa"/>
            <w:tcBorders>
              <w:tl2br w:val="nil"/>
              <w:tr2bl w:val="nil"/>
            </w:tcBorders>
            <w:shd w:val="clear" w:color="auto" w:fill="auto"/>
            <w:vAlign w:val="center"/>
          </w:tcPr>
          <w:p>
            <w:pPr>
              <w:shd w:val="clear" w:color="auto" w:fill="FFFFFF"/>
              <w:spacing w:before="156" w:after="156"/>
              <w:jc w:val="center"/>
              <w:rPr>
                <w:rFonts w:ascii="宋体" w:hAnsi="宋体" w:eastAsia="宋体" w:cs="宋体"/>
                <w:szCs w:val="24"/>
                <w:shd w:val="clear" w:color="auto" w:fill="FFFFFF"/>
              </w:rPr>
            </w:pPr>
          </w:p>
        </w:tc>
      </w:tr>
    </w:tbl>
    <w:p>
      <w:pPr>
        <w:rPr>
          <w:rFonts w:ascii="宋体" w:hAnsi="宋体" w:eastAsia="宋体" w:cs="宋体"/>
          <w:lang w:val="zh-CN"/>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widowControl/>
        <w:numPr>
          <w:ilvl w:val="0"/>
          <w:numId w:val="17"/>
        </w:numPr>
        <w:shd w:val="clear" w:color="auto" w:fill="FFFFFF"/>
        <w:spacing w:line="360" w:lineRule="auto"/>
        <w:jc w:val="left"/>
        <w:rPr>
          <w:rFonts w:ascii="宋体" w:hAnsi="宋体" w:eastAsia="宋体" w:cs="宋体"/>
          <w:b/>
          <w:bCs/>
          <w:color w:val="000000" w:themeColor="text1"/>
          <w:u w:val="single"/>
          <w14:textFill>
            <w14:solidFill>
              <w14:schemeClr w14:val="tx1"/>
            </w14:solidFill>
          </w14:textFill>
        </w:rPr>
      </w:pPr>
      <w:r>
        <w:rPr>
          <w:rFonts w:hint="eastAsia" w:ascii="宋体" w:hAnsi="宋体" w:eastAsia="宋体" w:cs="宋体"/>
          <w:b/>
          <w:bCs/>
          <w:color w:val="000000" w:themeColor="text1"/>
          <w:u w:val="single"/>
          <w14:textFill>
            <w14:solidFill>
              <w14:schemeClr w14:val="tx1"/>
            </w14:solidFill>
          </w14:textFill>
        </w:rPr>
        <w:t>下浮率报价没有大于或等于100%，也没有为负数，且是固定唯一值的，否则为无效报价；下浮率高的为成交供应商。供应商所报下浮率为成交下浮率，即：合同物品单价=最高单价限价*（1-下浮率）；在本项目合同服务履行期间，该下浮率不作另行调整；</w:t>
      </w:r>
    </w:p>
    <w:p>
      <w:pPr>
        <w:widowControl/>
        <w:numPr>
          <w:ilvl w:val="0"/>
          <w:numId w:val="17"/>
        </w:numPr>
        <w:spacing w:line="360" w:lineRule="auto"/>
        <w:jc w:val="left"/>
        <w:rPr>
          <w:rFonts w:ascii="宋体" w:hAnsi="宋体" w:eastAsia="宋体" w:cs="宋体"/>
          <w:b/>
          <w:bCs/>
          <w:color w:val="000000" w:themeColor="text1"/>
          <w:kern w:val="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响应下浮率的报价均应包含国家规定的税费。</w:t>
      </w:r>
    </w:p>
    <w:p>
      <w:pPr>
        <w:widowControl/>
        <w:numPr>
          <w:ilvl w:val="0"/>
          <w:numId w:val="17"/>
        </w:numPr>
        <w:spacing w:line="360" w:lineRule="auto"/>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14:textFill>
            <w14:solidFill>
              <w14:schemeClr w14:val="tx1"/>
            </w14:solidFill>
          </w14:textFill>
        </w:rPr>
        <w:t>本项目不接受有选择性的响应报价，只允许报一个下浮率，且所报的下浮率应当适用于该类别所有产品单品。</w:t>
      </w:r>
    </w:p>
    <w:p>
      <w:pPr>
        <w:pStyle w:val="18"/>
        <w:numPr>
          <w:ilvl w:val="0"/>
          <w:numId w:val="17"/>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致：广东省肇庆监狱工会委员会、</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肇庆监狱民警职工第三届“奋进杯”男子篮球比赛采购项目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广东省肇庆监狱工会委员会、</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肇庆监狱民警职工第三届“奋进杯”男子篮球比赛采购项目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snapToGrid w:val="0"/>
        <w:spacing w:line="360" w:lineRule="auto"/>
        <w:ind w:firstLine="420" w:firstLineChars="200"/>
        <w:rPr>
          <w:rFonts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（一）具有独立承担民事责任的能力；</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（三）具有履行合同所必需的设备和专业技术能力；</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（四）有依法缴纳税收和社会保障资金的良好记录；</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pPr>
        <w:widowControl/>
        <w:spacing w:line="360" w:lineRule="auto"/>
        <w:ind w:firstLine="360"/>
        <w:rPr>
          <w:rFonts w:ascii="宋体" w:hAnsi="宋体" w:eastAsia="宋体" w:cs="宋体"/>
          <w:kern w:val="0"/>
          <w:szCs w:val="21"/>
        </w:rPr>
      </w:pPr>
      <w:r>
        <w:rPr>
          <w:rFonts w:hint="eastAsia" w:ascii="宋体" w:hAnsi="宋体" w:eastAsia="宋体" w:cs="宋体"/>
          <w:kern w:val="0"/>
          <w:szCs w:val="21"/>
        </w:rPr>
        <w:t>（六）法律、行政法规规定的其他条件。</w:t>
      </w:r>
    </w:p>
    <w:p>
      <w:pPr>
        <w:snapToGrid w:val="0"/>
        <w:spacing w:line="360" w:lineRule="auto"/>
        <w:ind w:firstLine="424" w:firstLineChars="202"/>
        <w:rPr>
          <w:rFonts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pPr>
        <w:snapToGrid w:val="0"/>
        <w:spacing w:line="360" w:lineRule="auto"/>
        <w:ind w:firstLine="424" w:firstLineChars="202"/>
        <w:rPr>
          <w:rFonts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pPr>
        <w:snapToGrid w:val="0"/>
        <w:spacing w:line="360" w:lineRule="auto"/>
        <w:ind w:firstLine="424" w:firstLineChars="202"/>
        <w:rPr>
          <w:rFonts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pPr>
        <w:spacing w:line="360" w:lineRule="auto"/>
        <w:ind w:firstLine="420"/>
        <w:rPr>
          <w:rFonts w:ascii="宋体" w:hAnsi="宋体" w:eastAsia="宋体"/>
          <w:szCs w:val="21"/>
        </w:rPr>
      </w:pPr>
      <w:r>
        <w:rPr>
          <w:rFonts w:hint="eastAsia" w:ascii="宋体" w:hAnsi="宋体" w:eastAsia="宋体"/>
          <w:szCs w:val="21"/>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9"/>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9"/>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themeColor="text1"/>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D15AF932"/>
    <w:multiLevelType w:val="singleLevel"/>
    <w:tmpl w:val="D15AF932"/>
    <w:lvl w:ilvl="0" w:tentative="0">
      <w:start w:val="1"/>
      <w:numFmt w:val="chineseCounting"/>
      <w:lvlText w:val="(%1)"/>
      <w:lvlJc w:val="left"/>
      <w:pPr>
        <w:tabs>
          <w:tab w:val="left" w:pos="312"/>
        </w:tabs>
      </w:pPr>
      <w:rPr>
        <w:rFonts w:hint="eastAsia"/>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F556C535"/>
    <w:multiLevelType w:val="singleLevel"/>
    <w:tmpl w:val="F556C535"/>
    <w:lvl w:ilvl="0" w:tentative="0">
      <w:start w:val="3"/>
      <w:numFmt w:val="chineseCounting"/>
      <w:suff w:val="nothing"/>
      <w:lvlText w:val="%1、"/>
      <w:lvlJc w:val="left"/>
      <w:rPr>
        <w:rFonts w:hint="eastAsia"/>
      </w:rPr>
    </w:lvl>
  </w:abstractNum>
  <w:abstractNum w:abstractNumId="7">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7"/>
  </w:num>
  <w:num w:numId="3">
    <w:abstractNumId w:val="4"/>
  </w:num>
  <w:num w:numId="4">
    <w:abstractNumId w:val="14"/>
  </w:num>
  <w:num w:numId="5">
    <w:abstractNumId w:val="2"/>
  </w:num>
  <w:num w:numId="6">
    <w:abstractNumId w:val="8"/>
  </w:num>
  <w:num w:numId="7">
    <w:abstractNumId w:val="10"/>
  </w:num>
  <w:num w:numId="8">
    <w:abstractNumId w:val="16"/>
  </w:num>
  <w:num w:numId="9">
    <w:abstractNumId w:val="11"/>
  </w:num>
  <w:num w:numId="10">
    <w:abstractNumId w:val="3"/>
  </w:num>
  <w:num w:numId="11">
    <w:abstractNumId w:val="0"/>
  </w:num>
  <w:num w:numId="12">
    <w:abstractNumId w:val="9"/>
  </w:num>
  <w:num w:numId="13">
    <w:abstractNumId w:val="12"/>
  </w:num>
  <w:num w:numId="14">
    <w:abstractNumId w:val="5"/>
  </w:num>
  <w:num w:numId="15">
    <w:abstractNumId w:val="6"/>
  </w:num>
  <w:num w:numId="16">
    <w:abstractNumId w:val="1"/>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jYjljYjk3MzcxMzhiNGNlYTk3NmZlYWUxMjA1OGQifQ=="/>
  </w:docVars>
  <w:rsids>
    <w:rsidRoot w:val="00603670"/>
    <w:rsid w:val="0000298A"/>
    <w:rsid w:val="00011A82"/>
    <w:rsid w:val="000163AB"/>
    <w:rsid w:val="0002038D"/>
    <w:rsid w:val="00027036"/>
    <w:rsid w:val="000319C6"/>
    <w:rsid w:val="00031F45"/>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4F0F"/>
    <w:rsid w:val="000C5ABD"/>
    <w:rsid w:val="000E1199"/>
    <w:rsid w:val="000E2971"/>
    <w:rsid w:val="000E4849"/>
    <w:rsid w:val="000E4C42"/>
    <w:rsid w:val="000F1249"/>
    <w:rsid w:val="000F423D"/>
    <w:rsid w:val="00107E2D"/>
    <w:rsid w:val="00114806"/>
    <w:rsid w:val="0011556A"/>
    <w:rsid w:val="00116954"/>
    <w:rsid w:val="00116EDF"/>
    <w:rsid w:val="001200BB"/>
    <w:rsid w:val="00123108"/>
    <w:rsid w:val="00123BEA"/>
    <w:rsid w:val="001304CF"/>
    <w:rsid w:val="00135715"/>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2728"/>
    <w:rsid w:val="001D33E6"/>
    <w:rsid w:val="001D3E3B"/>
    <w:rsid w:val="001E48AC"/>
    <w:rsid w:val="001E5C33"/>
    <w:rsid w:val="001F3F8C"/>
    <w:rsid w:val="00204AAE"/>
    <w:rsid w:val="002056C6"/>
    <w:rsid w:val="00220312"/>
    <w:rsid w:val="00232C83"/>
    <w:rsid w:val="002379C7"/>
    <w:rsid w:val="0024390D"/>
    <w:rsid w:val="0024482B"/>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5FC8"/>
    <w:rsid w:val="002E61D3"/>
    <w:rsid w:val="002E66A9"/>
    <w:rsid w:val="002F352E"/>
    <w:rsid w:val="002F4A33"/>
    <w:rsid w:val="002F5E67"/>
    <w:rsid w:val="003106EA"/>
    <w:rsid w:val="0031356B"/>
    <w:rsid w:val="00322B22"/>
    <w:rsid w:val="00327C22"/>
    <w:rsid w:val="00332AF3"/>
    <w:rsid w:val="00336F07"/>
    <w:rsid w:val="00342E19"/>
    <w:rsid w:val="00347E17"/>
    <w:rsid w:val="00353BC1"/>
    <w:rsid w:val="00354244"/>
    <w:rsid w:val="00355F34"/>
    <w:rsid w:val="00360BB3"/>
    <w:rsid w:val="00361074"/>
    <w:rsid w:val="00366797"/>
    <w:rsid w:val="00370C01"/>
    <w:rsid w:val="00374748"/>
    <w:rsid w:val="003818F2"/>
    <w:rsid w:val="00383905"/>
    <w:rsid w:val="00384761"/>
    <w:rsid w:val="00392847"/>
    <w:rsid w:val="00393D24"/>
    <w:rsid w:val="00394537"/>
    <w:rsid w:val="00395A64"/>
    <w:rsid w:val="00395C9C"/>
    <w:rsid w:val="00396F62"/>
    <w:rsid w:val="003A3DB1"/>
    <w:rsid w:val="003B0A20"/>
    <w:rsid w:val="003B48C0"/>
    <w:rsid w:val="003B5D20"/>
    <w:rsid w:val="003C419C"/>
    <w:rsid w:val="003C5B6B"/>
    <w:rsid w:val="003D2DE8"/>
    <w:rsid w:val="003D3C42"/>
    <w:rsid w:val="003E273C"/>
    <w:rsid w:val="003F38D5"/>
    <w:rsid w:val="003F71EC"/>
    <w:rsid w:val="00403AB2"/>
    <w:rsid w:val="00412749"/>
    <w:rsid w:val="004211A3"/>
    <w:rsid w:val="00425F66"/>
    <w:rsid w:val="00431BF0"/>
    <w:rsid w:val="00431DBE"/>
    <w:rsid w:val="00432C27"/>
    <w:rsid w:val="00433B9F"/>
    <w:rsid w:val="00453E69"/>
    <w:rsid w:val="00456ED5"/>
    <w:rsid w:val="0045760A"/>
    <w:rsid w:val="004610D7"/>
    <w:rsid w:val="004613B9"/>
    <w:rsid w:val="0047081D"/>
    <w:rsid w:val="004765F8"/>
    <w:rsid w:val="00476745"/>
    <w:rsid w:val="00476899"/>
    <w:rsid w:val="00491492"/>
    <w:rsid w:val="00492B35"/>
    <w:rsid w:val="00493336"/>
    <w:rsid w:val="00494623"/>
    <w:rsid w:val="00496883"/>
    <w:rsid w:val="00497F21"/>
    <w:rsid w:val="004A36A8"/>
    <w:rsid w:val="004B12AC"/>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349B"/>
    <w:rsid w:val="005E4015"/>
    <w:rsid w:val="005E44E8"/>
    <w:rsid w:val="005E748F"/>
    <w:rsid w:val="005F00ED"/>
    <w:rsid w:val="005F4F7A"/>
    <w:rsid w:val="005F6D53"/>
    <w:rsid w:val="00603670"/>
    <w:rsid w:val="006037D5"/>
    <w:rsid w:val="00616532"/>
    <w:rsid w:val="00616AE3"/>
    <w:rsid w:val="00620F2C"/>
    <w:rsid w:val="00627C66"/>
    <w:rsid w:val="00627F1C"/>
    <w:rsid w:val="00631641"/>
    <w:rsid w:val="0064715C"/>
    <w:rsid w:val="00653613"/>
    <w:rsid w:val="00655177"/>
    <w:rsid w:val="0066018A"/>
    <w:rsid w:val="00662408"/>
    <w:rsid w:val="00673379"/>
    <w:rsid w:val="006779F7"/>
    <w:rsid w:val="00680244"/>
    <w:rsid w:val="006817FD"/>
    <w:rsid w:val="00683212"/>
    <w:rsid w:val="006923B3"/>
    <w:rsid w:val="006948F2"/>
    <w:rsid w:val="006A61C8"/>
    <w:rsid w:val="006B07B5"/>
    <w:rsid w:val="006B1BFB"/>
    <w:rsid w:val="006B764E"/>
    <w:rsid w:val="006D213E"/>
    <w:rsid w:val="006D5FC6"/>
    <w:rsid w:val="006D7E04"/>
    <w:rsid w:val="006E015B"/>
    <w:rsid w:val="006E0659"/>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0EF9"/>
    <w:rsid w:val="00761C9A"/>
    <w:rsid w:val="00762179"/>
    <w:rsid w:val="00766BD6"/>
    <w:rsid w:val="00772ED2"/>
    <w:rsid w:val="00773011"/>
    <w:rsid w:val="00781170"/>
    <w:rsid w:val="00781957"/>
    <w:rsid w:val="00783B9B"/>
    <w:rsid w:val="00786D28"/>
    <w:rsid w:val="00793437"/>
    <w:rsid w:val="0079465B"/>
    <w:rsid w:val="007A170A"/>
    <w:rsid w:val="007B5567"/>
    <w:rsid w:val="007B645B"/>
    <w:rsid w:val="007C5792"/>
    <w:rsid w:val="007E02E4"/>
    <w:rsid w:val="007E26FA"/>
    <w:rsid w:val="007E3EDE"/>
    <w:rsid w:val="007F26F4"/>
    <w:rsid w:val="007F35AB"/>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AD5"/>
    <w:rsid w:val="008B7BAC"/>
    <w:rsid w:val="008B7C71"/>
    <w:rsid w:val="008C2AB1"/>
    <w:rsid w:val="008C3917"/>
    <w:rsid w:val="008C3FC0"/>
    <w:rsid w:val="008C7245"/>
    <w:rsid w:val="008D0A5A"/>
    <w:rsid w:val="008D1A5C"/>
    <w:rsid w:val="008D522B"/>
    <w:rsid w:val="008E3CD8"/>
    <w:rsid w:val="008E49E5"/>
    <w:rsid w:val="008E6EDC"/>
    <w:rsid w:val="008F3BD8"/>
    <w:rsid w:val="008F3E0F"/>
    <w:rsid w:val="008F3F79"/>
    <w:rsid w:val="008F480D"/>
    <w:rsid w:val="00904D13"/>
    <w:rsid w:val="00914940"/>
    <w:rsid w:val="009227C3"/>
    <w:rsid w:val="0092421F"/>
    <w:rsid w:val="00932E40"/>
    <w:rsid w:val="00937F4D"/>
    <w:rsid w:val="00940CEB"/>
    <w:rsid w:val="00945388"/>
    <w:rsid w:val="00945FC8"/>
    <w:rsid w:val="0094675A"/>
    <w:rsid w:val="009500CB"/>
    <w:rsid w:val="00950D89"/>
    <w:rsid w:val="009658C2"/>
    <w:rsid w:val="00966193"/>
    <w:rsid w:val="009666D4"/>
    <w:rsid w:val="00966E16"/>
    <w:rsid w:val="00977403"/>
    <w:rsid w:val="00981FCF"/>
    <w:rsid w:val="009877F1"/>
    <w:rsid w:val="00990253"/>
    <w:rsid w:val="00991F41"/>
    <w:rsid w:val="00993B16"/>
    <w:rsid w:val="0099509B"/>
    <w:rsid w:val="009A21C0"/>
    <w:rsid w:val="009A4BF3"/>
    <w:rsid w:val="009B4D41"/>
    <w:rsid w:val="009C2257"/>
    <w:rsid w:val="009C2904"/>
    <w:rsid w:val="009C2D4E"/>
    <w:rsid w:val="009C2D78"/>
    <w:rsid w:val="009C51EA"/>
    <w:rsid w:val="009D0859"/>
    <w:rsid w:val="009D4FC9"/>
    <w:rsid w:val="009E5075"/>
    <w:rsid w:val="009E5F7B"/>
    <w:rsid w:val="009F22AA"/>
    <w:rsid w:val="00A042E3"/>
    <w:rsid w:val="00A0472A"/>
    <w:rsid w:val="00A13934"/>
    <w:rsid w:val="00A16824"/>
    <w:rsid w:val="00A16C1A"/>
    <w:rsid w:val="00A202CE"/>
    <w:rsid w:val="00A21C5A"/>
    <w:rsid w:val="00A24B44"/>
    <w:rsid w:val="00A258AD"/>
    <w:rsid w:val="00A30C64"/>
    <w:rsid w:val="00A35A63"/>
    <w:rsid w:val="00A444BF"/>
    <w:rsid w:val="00A45A6D"/>
    <w:rsid w:val="00A5457E"/>
    <w:rsid w:val="00A82740"/>
    <w:rsid w:val="00AA21E5"/>
    <w:rsid w:val="00AA2719"/>
    <w:rsid w:val="00AA4A01"/>
    <w:rsid w:val="00AA58BD"/>
    <w:rsid w:val="00AB6105"/>
    <w:rsid w:val="00AC2AF9"/>
    <w:rsid w:val="00AC4D91"/>
    <w:rsid w:val="00AD08E8"/>
    <w:rsid w:val="00AD3C05"/>
    <w:rsid w:val="00AD6219"/>
    <w:rsid w:val="00AE270A"/>
    <w:rsid w:val="00AE2F48"/>
    <w:rsid w:val="00AF1D6C"/>
    <w:rsid w:val="00AF4372"/>
    <w:rsid w:val="00B0099A"/>
    <w:rsid w:val="00B06AE0"/>
    <w:rsid w:val="00B141DC"/>
    <w:rsid w:val="00B1563F"/>
    <w:rsid w:val="00B16927"/>
    <w:rsid w:val="00B3460D"/>
    <w:rsid w:val="00B43968"/>
    <w:rsid w:val="00B4687C"/>
    <w:rsid w:val="00B52627"/>
    <w:rsid w:val="00B5406D"/>
    <w:rsid w:val="00B617FE"/>
    <w:rsid w:val="00B8446A"/>
    <w:rsid w:val="00B85FC9"/>
    <w:rsid w:val="00B874F7"/>
    <w:rsid w:val="00B9732A"/>
    <w:rsid w:val="00BA1245"/>
    <w:rsid w:val="00BA578C"/>
    <w:rsid w:val="00BB45E3"/>
    <w:rsid w:val="00BB566D"/>
    <w:rsid w:val="00BB5881"/>
    <w:rsid w:val="00BB67EB"/>
    <w:rsid w:val="00BC4505"/>
    <w:rsid w:val="00BC697C"/>
    <w:rsid w:val="00BD3301"/>
    <w:rsid w:val="00BD4CD9"/>
    <w:rsid w:val="00BF04FE"/>
    <w:rsid w:val="00BF4171"/>
    <w:rsid w:val="00BF568B"/>
    <w:rsid w:val="00C00098"/>
    <w:rsid w:val="00C02598"/>
    <w:rsid w:val="00C2026A"/>
    <w:rsid w:val="00C21B82"/>
    <w:rsid w:val="00C31252"/>
    <w:rsid w:val="00C368FE"/>
    <w:rsid w:val="00C40805"/>
    <w:rsid w:val="00C455DD"/>
    <w:rsid w:val="00C476C2"/>
    <w:rsid w:val="00C541C5"/>
    <w:rsid w:val="00C56A1C"/>
    <w:rsid w:val="00C6512D"/>
    <w:rsid w:val="00C65789"/>
    <w:rsid w:val="00C734A3"/>
    <w:rsid w:val="00C776A4"/>
    <w:rsid w:val="00C83E6E"/>
    <w:rsid w:val="00C90DA1"/>
    <w:rsid w:val="00C930DF"/>
    <w:rsid w:val="00CA090A"/>
    <w:rsid w:val="00CA0CCB"/>
    <w:rsid w:val="00CA0FD7"/>
    <w:rsid w:val="00CC17D4"/>
    <w:rsid w:val="00CC7D4E"/>
    <w:rsid w:val="00CD143C"/>
    <w:rsid w:val="00CD57F2"/>
    <w:rsid w:val="00CE71FC"/>
    <w:rsid w:val="00CF2666"/>
    <w:rsid w:val="00CF59AA"/>
    <w:rsid w:val="00CF6FBA"/>
    <w:rsid w:val="00D002F2"/>
    <w:rsid w:val="00D015A2"/>
    <w:rsid w:val="00D10E67"/>
    <w:rsid w:val="00D2020D"/>
    <w:rsid w:val="00D221F4"/>
    <w:rsid w:val="00D24487"/>
    <w:rsid w:val="00D30F45"/>
    <w:rsid w:val="00D32910"/>
    <w:rsid w:val="00D4308A"/>
    <w:rsid w:val="00D45635"/>
    <w:rsid w:val="00D467C0"/>
    <w:rsid w:val="00D533FC"/>
    <w:rsid w:val="00D57C4D"/>
    <w:rsid w:val="00D61271"/>
    <w:rsid w:val="00D638E3"/>
    <w:rsid w:val="00D7179D"/>
    <w:rsid w:val="00D71805"/>
    <w:rsid w:val="00D72607"/>
    <w:rsid w:val="00D8277B"/>
    <w:rsid w:val="00D82EF0"/>
    <w:rsid w:val="00D834B2"/>
    <w:rsid w:val="00D83606"/>
    <w:rsid w:val="00D9501D"/>
    <w:rsid w:val="00D953AB"/>
    <w:rsid w:val="00D95437"/>
    <w:rsid w:val="00D95680"/>
    <w:rsid w:val="00D95FC8"/>
    <w:rsid w:val="00D96CBE"/>
    <w:rsid w:val="00DA2BDB"/>
    <w:rsid w:val="00DA3B0A"/>
    <w:rsid w:val="00DA5447"/>
    <w:rsid w:val="00DA677A"/>
    <w:rsid w:val="00DD1F0C"/>
    <w:rsid w:val="00DD2C2A"/>
    <w:rsid w:val="00DD3557"/>
    <w:rsid w:val="00DD4221"/>
    <w:rsid w:val="00DE0EBD"/>
    <w:rsid w:val="00DF7D62"/>
    <w:rsid w:val="00E003FB"/>
    <w:rsid w:val="00E01F9F"/>
    <w:rsid w:val="00E06F98"/>
    <w:rsid w:val="00E07AB9"/>
    <w:rsid w:val="00E127FA"/>
    <w:rsid w:val="00E24329"/>
    <w:rsid w:val="00E255DD"/>
    <w:rsid w:val="00E300EB"/>
    <w:rsid w:val="00E33B3B"/>
    <w:rsid w:val="00E33E2A"/>
    <w:rsid w:val="00E3421A"/>
    <w:rsid w:val="00E344F5"/>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03BFE"/>
    <w:rsid w:val="00F124EF"/>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1E"/>
    <w:rsid w:val="00F705B7"/>
    <w:rsid w:val="00F71BEE"/>
    <w:rsid w:val="00F743B8"/>
    <w:rsid w:val="00F74919"/>
    <w:rsid w:val="00FA5D03"/>
    <w:rsid w:val="00FC353C"/>
    <w:rsid w:val="00FC38F1"/>
    <w:rsid w:val="00FD12C6"/>
    <w:rsid w:val="00FD56B9"/>
    <w:rsid w:val="00FE1170"/>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0317C0"/>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651E87"/>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0E1879"/>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380076"/>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7D24F0"/>
    <w:rsid w:val="60CF21A4"/>
    <w:rsid w:val="610374C0"/>
    <w:rsid w:val="61251AAF"/>
    <w:rsid w:val="617F6D8C"/>
    <w:rsid w:val="61D90439"/>
    <w:rsid w:val="61DF2A10"/>
    <w:rsid w:val="62045801"/>
    <w:rsid w:val="6246481E"/>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0162A6"/>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1BB3C72"/>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semiHidden/>
    <w:unhideWhenUsed/>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0"/>
    <w:qFormat/>
    <w:uiPriority w:val="0"/>
    <w:rPr>
      <w:rFonts w:ascii="宋体" w:hAnsi="Courier New" w:eastAsia="宋体" w:cs="Times New Roman"/>
      <w:kern w:val="0"/>
      <w:sz w:val="20"/>
      <w:szCs w:val="21"/>
    </w:rPr>
  </w:style>
  <w:style w:type="paragraph" w:styleId="11">
    <w:name w:val="Balloon Text"/>
    <w:basedOn w:val="1"/>
    <w:link w:val="32"/>
    <w:semiHidden/>
    <w:unhideWhenUsed/>
    <w:qFormat/>
    <w:uiPriority w:val="99"/>
    <w:rPr>
      <w:sz w:val="18"/>
      <w:szCs w:val="18"/>
    </w:rPr>
  </w:style>
  <w:style w:type="paragraph" w:styleId="12">
    <w:name w:val="footer"/>
    <w:basedOn w:val="1"/>
    <w:link w:val="56"/>
    <w:unhideWhenUsed/>
    <w:qFormat/>
    <w:uiPriority w:val="99"/>
    <w:pPr>
      <w:tabs>
        <w:tab w:val="center" w:pos="4153"/>
        <w:tab w:val="right" w:pos="8306"/>
      </w:tabs>
      <w:snapToGrid w:val="0"/>
      <w:jc w:val="left"/>
    </w:pPr>
    <w:rPr>
      <w:sz w:val="18"/>
      <w:szCs w:val="18"/>
    </w:rPr>
  </w:style>
  <w:style w:type="paragraph" w:styleId="13">
    <w:name w:val="header"/>
    <w:basedOn w:val="1"/>
    <w:link w:val="10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semiHidden/>
    <w:unhideWhenUsed/>
    <w:qFormat/>
    <w:uiPriority w:val="99"/>
    <w:rPr>
      <w:b/>
      <w:bCs/>
    </w:rPr>
  </w:style>
  <w:style w:type="paragraph" w:styleId="21">
    <w:name w:val="Body Text First Indent"/>
    <w:basedOn w:val="7"/>
    <w:link w:val="94"/>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22"/>
    <w:rPr>
      <w:b/>
      <w:bCs/>
    </w:rPr>
  </w:style>
  <w:style w:type="character" w:styleId="27">
    <w:name w:val="annotation reference"/>
    <w:basedOn w:val="25"/>
    <w:unhideWhenUsed/>
    <w:qFormat/>
    <w:uiPriority w:val="0"/>
    <w:rPr>
      <w:sz w:val="21"/>
      <w:szCs w:val="21"/>
    </w:rPr>
  </w:style>
  <w:style w:type="character" w:customStyle="1" w:styleId="28">
    <w:name w:val="页眉 字符"/>
    <w:basedOn w:val="25"/>
    <w:qFormat/>
    <w:uiPriority w:val="99"/>
    <w:rPr>
      <w:sz w:val="18"/>
      <w:szCs w:val="18"/>
    </w:rPr>
  </w:style>
  <w:style w:type="character" w:customStyle="1" w:styleId="29">
    <w:name w:val="页脚 字符"/>
    <w:basedOn w:val="25"/>
    <w:qFormat/>
    <w:uiPriority w:val="99"/>
    <w:rPr>
      <w:sz w:val="18"/>
      <w:szCs w:val="18"/>
    </w:rPr>
  </w:style>
  <w:style w:type="paragraph" w:styleId="30">
    <w:name w:val="List Paragraph"/>
    <w:basedOn w:val="1"/>
    <w:link w:val="38"/>
    <w:qFormat/>
    <w:uiPriority w:val="34"/>
    <w:pPr>
      <w:ind w:firstLine="420" w:firstLineChars="200"/>
    </w:pPr>
  </w:style>
  <w:style w:type="character" w:customStyle="1" w:styleId="31">
    <w:name w:val="批注文字 字符"/>
    <w:basedOn w:val="25"/>
    <w:qFormat/>
    <w:uiPriority w:val="0"/>
  </w:style>
  <w:style w:type="character" w:customStyle="1" w:styleId="32">
    <w:name w:val="批注框文本 Char"/>
    <w:basedOn w:val="25"/>
    <w:link w:val="11"/>
    <w:semiHidden/>
    <w:qFormat/>
    <w:uiPriority w:val="99"/>
    <w:rPr>
      <w:sz w:val="18"/>
      <w:szCs w:val="18"/>
    </w:rPr>
  </w:style>
  <w:style w:type="character" w:customStyle="1" w:styleId="33">
    <w:name w:val="批注主题 Char"/>
    <w:basedOn w:val="31"/>
    <w:link w:val="20"/>
    <w:semiHidden/>
    <w:qFormat/>
    <w:uiPriority w:val="99"/>
    <w:rPr>
      <w:b/>
      <w:bCs/>
    </w:rPr>
  </w:style>
  <w:style w:type="character" w:customStyle="1" w:styleId="34">
    <w:name w:val="标题 Char"/>
    <w:basedOn w:val="25"/>
    <w:qFormat/>
    <w:uiPriority w:val="0"/>
    <w:rPr>
      <w:rFonts w:eastAsia="宋体" w:asciiTheme="majorHAnsi" w:hAnsiTheme="majorHAnsi" w:cstheme="majorBidi"/>
      <w:b/>
      <w:bCs/>
      <w:sz w:val="32"/>
      <w:szCs w:val="32"/>
    </w:rPr>
  </w:style>
  <w:style w:type="character" w:customStyle="1" w:styleId="35">
    <w:name w:val="标题 2 字符"/>
    <w:basedOn w:val="25"/>
    <w:qFormat/>
    <w:uiPriority w:val="0"/>
    <w:rPr>
      <w:rFonts w:ascii="Arial" w:hAnsi="Arial" w:eastAsia="黑体" w:cs="Times New Roman"/>
      <w:b/>
      <w:bCs/>
      <w:sz w:val="32"/>
      <w:szCs w:val="32"/>
    </w:rPr>
  </w:style>
  <w:style w:type="character" w:customStyle="1" w:styleId="36">
    <w:name w:val="纯文本 字符"/>
    <w:basedOn w:val="25"/>
    <w:qFormat/>
    <w:uiPriority w:val="0"/>
    <w:rPr>
      <w:rFonts w:ascii="宋体" w:hAnsi="Courier New" w:eastAsia="宋体" w:cs="Times New Roman"/>
      <w:kern w:val="0"/>
      <w:sz w:val="20"/>
      <w:szCs w:val="21"/>
    </w:rPr>
  </w:style>
  <w:style w:type="paragraph" w:customStyle="1" w:styleId="37">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出段落 Char3"/>
    <w:link w:val="30"/>
    <w:qFormat/>
    <w:uiPriority w:val="99"/>
  </w:style>
  <w:style w:type="paragraph" w:customStyle="1" w:styleId="39">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qFormat/>
    <w:locked/>
    <w:uiPriority w:val="99"/>
    <w:rPr>
      <w:rFonts w:ascii="Times New Roman" w:hAnsi="Times New Roman" w:eastAsia="宋体" w:cs="Times New Roman"/>
      <w:szCs w:val="21"/>
    </w:rPr>
  </w:style>
  <w:style w:type="paragraph" w:customStyle="1" w:styleId="42">
    <w:name w:val="_Style 121"/>
    <w:basedOn w:val="1"/>
    <w:next w:val="30"/>
    <w:qFormat/>
    <w:uiPriority w:val="34"/>
    <w:pPr>
      <w:ind w:firstLine="420" w:firstLineChars="200"/>
    </w:pPr>
    <w:rPr>
      <w:rFonts w:ascii="Calibri" w:hAnsi="Calibri" w:eastAsia="宋体" w:cs="Times New Roman"/>
    </w:rPr>
  </w:style>
  <w:style w:type="paragraph" w:customStyle="1" w:styleId="43">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qFormat/>
    <w:uiPriority w:val="0"/>
    <w:rPr>
      <w:rFonts w:ascii="宋体" w:hAnsi="Courier New" w:eastAsia="宋体" w:cs="Times New Roman"/>
      <w:kern w:val="0"/>
      <w:sz w:val="20"/>
      <w:szCs w:val="21"/>
    </w:rPr>
  </w:style>
  <w:style w:type="character" w:customStyle="1" w:styleId="46">
    <w:name w:val="正文文本缩进 字符"/>
    <w:basedOn w:val="25"/>
    <w:qFormat/>
    <w:uiPriority w:val="0"/>
    <w:rPr>
      <w:kern w:val="2"/>
      <w:sz w:val="21"/>
      <w:szCs w:val="24"/>
    </w:rPr>
  </w:style>
  <w:style w:type="character" w:customStyle="1" w:styleId="47">
    <w:name w:val="正文首行缩进 2 Char"/>
    <w:basedOn w:val="46"/>
    <w:link w:val="22"/>
    <w:qFormat/>
    <w:uiPriority w:val="0"/>
    <w:rPr>
      <w:kern w:val="2"/>
      <w:sz w:val="21"/>
      <w:szCs w:val="24"/>
    </w:rPr>
  </w:style>
  <w:style w:type="paragraph" w:customStyle="1" w:styleId="48">
    <w:name w:val="msolistparagraph"/>
    <w:basedOn w:val="1"/>
    <w:qFormat/>
    <w:uiPriority w:val="0"/>
    <w:pPr>
      <w:ind w:firstLine="420" w:firstLineChars="200"/>
    </w:pPr>
    <w:rPr>
      <w:rFonts w:ascii="Times New Roman" w:hAnsi="Times New Roman" w:eastAsia="宋体" w:cs="Times New Roman"/>
    </w:rPr>
  </w:style>
  <w:style w:type="character" w:customStyle="1" w:styleId="49">
    <w:name w:val="列出段落 Char"/>
    <w:basedOn w:val="25"/>
    <w:qFormat/>
    <w:uiPriority w:val="34"/>
    <w:rPr>
      <w:kern w:val="2"/>
      <w:sz w:val="21"/>
      <w:szCs w:val="22"/>
    </w:rPr>
  </w:style>
  <w:style w:type="character" w:customStyle="1" w:styleId="50">
    <w:name w:val="正文文本 字符"/>
    <w:basedOn w:val="25"/>
    <w:qFormat/>
    <w:uiPriority w:val="0"/>
    <w:rPr>
      <w:rFonts w:hint="default" w:ascii="Calibri" w:hAnsi="Calibri" w:eastAsia="宋体" w:cs="Times New Roman"/>
      <w:kern w:val="2"/>
      <w:sz w:val="21"/>
      <w:szCs w:val="22"/>
    </w:rPr>
  </w:style>
  <w:style w:type="character" w:customStyle="1" w:styleId="51">
    <w:name w:val="纯文本 Char"/>
    <w:basedOn w:val="25"/>
    <w:qFormat/>
    <w:uiPriority w:val="0"/>
    <w:rPr>
      <w:rFonts w:hint="eastAsia" w:ascii="宋体" w:hAnsi="Courier New" w:eastAsia="宋体" w:cs="宋体"/>
      <w:szCs w:val="21"/>
    </w:rPr>
  </w:style>
  <w:style w:type="paragraph" w:customStyle="1" w:styleId="52">
    <w:name w:val="_Style 116"/>
    <w:basedOn w:val="1"/>
    <w:next w:val="30"/>
    <w:qFormat/>
    <w:uiPriority w:val="99"/>
    <w:pPr>
      <w:ind w:firstLine="420" w:firstLineChars="200"/>
    </w:pPr>
    <w:rPr>
      <w:kern w:val="0"/>
      <w:sz w:val="20"/>
      <w:szCs w:val="20"/>
    </w:rPr>
  </w:style>
  <w:style w:type="character" w:customStyle="1" w:styleId="53">
    <w:name w:val="普通(网站) 字符"/>
    <w:basedOn w:val="25"/>
    <w:qFormat/>
    <w:uiPriority w:val="0"/>
    <w:rPr>
      <w:rFonts w:hint="eastAsia" w:ascii="宋体" w:hAnsi="宋体" w:eastAsia="宋体" w:cs="宋体"/>
      <w:sz w:val="24"/>
      <w:szCs w:val="24"/>
    </w:rPr>
  </w:style>
  <w:style w:type="character" w:customStyle="1" w:styleId="54">
    <w:name w:val="批注文字 Char"/>
    <w:basedOn w:val="25"/>
    <w:qFormat/>
    <w:uiPriority w:val="0"/>
    <w:rPr>
      <w:kern w:val="2"/>
      <w:sz w:val="21"/>
      <w:szCs w:val="24"/>
    </w:rPr>
  </w:style>
  <w:style w:type="character" w:customStyle="1" w:styleId="55">
    <w:name w:val="标题 1 Char"/>
    <w:basedOn w:val="25"/>
    <w:link w:val="2"/>
    <w:qFormat/>
    <w:uiPriority w:val="0"/>
    <w:rPr>
      <w:b/>
      <w:bCs/>
      <w:kern w:val="44"/>
      <w:sz w:val="44"/>
      <w:szCs w:val="44"/>
    </w:rPr>
  </w:style>
  <w:style w:type="character" w:customStyle="1" w:styleId="56">
    <w:name w:val="页脚 Char"/>
    <w:basedOn w:val="25"/>
    <w:link w:val="12"/>
    <w:qFormat/>
    <w:uiPriority w:val="0"/>
    <w:rPr>
      <w:kern w:val="2"/>
      <w:sz w:val="18"/>
      <w:szCs w:val="18"/>
    </w:rPr>
  </w:style>
  <w:style w:type="character" w:customStyle="1" w:styleId="57">
    <w:name w:val="页眉 字符1"/>
    <w:basedOn w:val="25"/>
    <w:qFormat/>
    <w:uiPriority w:val="0"/>
    <w:rPr>
      <w:kern w:val="2"/>
      <w:sz w:val="18"/>
      <w:szCs w:val="18"/>
    </w:rPr>
  </w:style>
  <w:style w:type="character" w:customStyle="1" w:styleId="58">
    <w:name w:val="标题 2 字符1"/>
    <w:basedOn w:val="25"/>
    <w:qFormat/>
    <w:uiPriority w:val="0"/>
    <w:rPr>
      <w:rFonts w:hint="default" w:ascii="Cambria" w:hAnsi="Cambria" w:eastAsia="Cambria" w:cs="Cambria"/>
      <w:b/>
      <w:bCs/>
      <w:kern w:val="2"/>
      <w:sz w:val="32"/>
      <w:szCs w:val="32"/>
    </w:rPr>
  </w:style>
  <w:style w:type="character" w:customStyle="1" w:styleId="59">
    <w:name w:val="列出段落 Char1"/>
    <w:basedOn w:val="25"/>
    <w:qFormat/>
    <w:uiPriority w:val="0"/>
    <w:rPr>
      <w:rFonts w:hint="default" w:ascii="Calibri" w:hAnsi="Calibri" w:cs="Calibri"/>
      <w:kern w:val="2"/>
      <w:sz w:val="21"/>
      <w:szCs w:val="22"/>
    </w:rPr>
  </w:style>
  <w:style w:type="character" w:customStyle="1" w:styleId="60">
    <w:name w:val="纯文本 Char2"/>
    <w:basedOn w:val="25"/>
    <w:link w:val="10"/>
    <w:qFormat/>
    <w:uiPriority w:val="0"/>
    <w:rPr>
      <w:rFonts w:hint="eastAsia" w:ascii="宋体" w:hAnsi="Courier New" w:eastAsia="宋体" w:cs="宋体"/>
      <w:szCs w:val="21"/>
      <w:lang w:val="zh-CN"/>
    </w:rPr>
  </w:style>
  <w:style w:type="character" w:customStyle="1" w:styleId="61">
    <w:name w:val="标题 3 Char"/>
    <w:basedOn w:val="25"/>
    <w:link w:val="4"/>
    <w:qFormat/>
    <w:uiPriority w:val="0"/>
    <w:rPr>
      <w:b/>
      <w:bCs/>
      <w:kern w:val="2"/>
      <w:sz w:val="32"/>
      <w:szCs w:val="32"/>
    </w:rPr>
  </w:style>
  <w:style w:type="paragraph" w:customStyle="1" w:styleId="62">
    <w:name w:val="列表段落2"/>
    <w:basedOn w:val="1"/>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qFormat/>
    <w:uiPriority w:val="0"/>
    <w:rPr>
      <w:rFonts w:hint="default" w:ascii="Calibri" w:hAnsi="Calibri" w:eastAsia="宋体" w:cs="Times New Roman"/>
      <w:kern w:val="2"/>
      <w:sz w:val="21"/>
      <w:szCs w:val="22"/>
    </w:rPr>
  </w:style>
  <w:style w:type="paragraph" w:customStyle="1" w:styleId="64">
    <w:name w:val="p0"/>
    <w:basedOn w:val="1"/>
    <w:qFormat/>
    <w:uiPriority w:val="0"/>
    <w:pPr>
      <w:widowControl/>
    </w:pPr>
    <w:rPr>
      <w:rFonts w:ascii="Calibri" w:hAnsi="Calibri" w:eastAsia="宋体" w:cs="Times New Roman"/>
      <w:kern w:val="0"/>
      <w:szCs w:val="21"/>
    </w:rPr>
  </w:style>
  <w:style w:type="character" w:customStyle="1" w:styleId="65">
    <w:name w:val="font51"/>
    <w:basedOn w:val="25"/>
    <w:qFormat/>
    <w:uiPriority w:val="0"/>
    <w:rPr>
      <w:rFonts w:hint="eastAsia" w:ascii="宋体" w:hAnsi="宋体" w:eastAsia="宋体" w:cs="宋体"/>
      <w:color w:val="000000"/>
      <w:sz w:val="21"/>
      <w:szCs w:val="21"/>
      <w:u w:val="none"/>
    </w:rPr>
  </w:style>
  <w:style w:type="character" w:customStyle="1" w:styleId="66">
    <w:name w:val="列表段落 字符2"/>
    <w:basedOn w:val="25"/>
    <w:qFormat/>
    <w:uiPriority w:val="0"/>
  </w:style>
  <w:style w:type="character" w:customStyle="1" w:styleId="67">
    <w:name w:val="NormalCharacter"/>
    <w:basedOn w:val="25"/>
    <w:qFormat/>
    <w:uiPriority w:val="0"/>
  </w:style>
  <w:style w:type="character" w:customStyle="1" w:styleId="68">
    <w:name w:val="font31"/>
    <w:basedOn w:val="25"/>
    <w:qFormat/>
    <w:uiPriority w:val="0"/>
    <w:rPr>
      <w:rFonts w:hint="default" w:ascii="Times New Roman" w:hAnsi="Times New Roman" w:cs="Times New Roman"/>
      <w:color w:val="000000"/>
      <w:sz w:val="21"/>
      <w:szCs w:val="21"/>
      <w:u w:val="none"/>
    </w:rPr>
  </w:style>
  <w:style w:type="character" w:customStyle="1" w:styleId="69">
    <w:name w:val="font21"/>
    <w:basedOn w:val="25"/>
    <w:qFormat/>
    <w:uiPriority w:val="0"/>
    <w:rPr>
      <w:rFonts w:hint="eastAsia" w:ascii="宋体" w:hAnsi="宋体" w:eastAsia="宋体" w:cs="宋体"/>
      <w:color w:val="000000"/>
      <w:sz w:val="24"/>
      <w:szCs w:val="24"/>
      <w:u w:val="none"/>
    </w:rPr>
  </w:style>
  <w:style w:type="character" w:customStyle="1" w:styleId="70">
    <w:name w:val="font11"/>
    <w:basedOn w:val="25"/>
    <w:qFormat/>
    <w:uiPriority w:val="0"/>
    <w:rPr>
      <w:rFonts w:hint="eastAsia" w:ascii="宋体" w:hAnsi="宋体" w:eastAsia="宋体" w:cs="宋体"/>
      <w:color w:val="000000"/>
      <w:sz w:val="21"/>
      <w:szCs w:val="21"/>
      <w:u w:val="none"/>
    </w:rPr>
  </w:style>
  <w:style w:type="character" w:customStyle="1" w:styleId="71">
    <w:name w:val="纯文本 字符1"/>
    <w:basedOn w:val="25"/>
    <w:qFormat/>
    <w:uiPriority w:val="0"/>
    <w:rPr>
      <w:rFonts w:hint="eastAsia" w:ascii="宋体" w:hAnsi="Courier New" w:eastAsia="宋体" w:cs="宋体"/>
      <w:szCs w:val="21"/>
    </w:rPr>
  </w:style>
  <w:style w:type="character" w:customStyle="1" w:styleId="72">
    <w:name w:val="标题 Char1"/>
    <w:basedOn w:val="25"/>
    <w:link w:val="19"/>
    <w:qFormat/>
    <w:uiPriority w:val="0"/>
    <w:rPr>
      <w:rFonts w:hint="default" w:ascii="Cambria" w:hAnsi="Cambria" w:eastAsia="Cambria" w:cs="Times New Roman"/>
      <w:b/>
      <w:bCs/>
      <w:kern w:val="2"/>
      <w:sz w:val="32"/>
      <w:szCs w:val="32"/>
    </w:rPr>
  </w:style>
  <w:style w:type="character" w:customStyle="1" w:styleId="73">
    <w:name w:val="脚注文本 Char"/>
    <w:basedOn w:val="25"/>
    <w:link w:val="15"/>
    <w:qFormat/>
    <w:uiPriority w:val="0"/>
    <w:rPr>
      <w:rFonts w:hint="eastAsia" w:ascii="宋体" w:hAnsi="宋体" w:eastAsia="宋体" w:cs="Times New Roman"/>
      <w:kern w:val="2"/>
      <w:sz w:val="24"/>
      <w:szCs w:val="18"/>
    </w:rPr>
  </w:style>
  <w:style w:type="character" w:customStyle="1" w:styleId="74">
    <w:name w:val="脚注文本 Char1"/>
    <w:basedOn w:val="25"/>
    <w:qFormat/>
    <w:uiPriority w:val="0"/>
    <w:rPr>
      <w:rFonts w:hint="default" w:ascii="Calibri" w:hAnsi="Calibri" w:eastAsia="宋体" w:cs="Times New Roman"/>
      <w:kern w:val="2"/>
      <w:sz w:val="18"/>
      <w:szCs w:val="18"/>
    </w:rPr>
  </w:style>
  <w:style w:type="character" w:customStyle="1" w:styleId="75">
    <w:name w:val="列表段落 字符1"/>
    <w:basedOn w:val="25"/>
    <w:qFormat/>
    <w:uiPriority w:val="0"/>
  </w:style>
  <w:style w:type="paragraph" w:customStyle="1" w:styleId="76">
    <w:name w:val="Table Paragraph"/>
    <w:basedOn w:val="1"/>
    <w:qFormat/>
    <w:uiPriority w:val="0"/>
    <w:rPr>
      <w:rFonts w:hint="eastAsia" w:ascii="宋体" w:hAnsi="宋体" w:eastAsia="宋体" w:cs="Times New Roman"/>
      <w:szCs w:val="24"/>
    </w:rPr>
  </w:style>
  <w:style w:type="character" w:customStyle="1" w:styleId="77">
    <w:name w:val="font41"/>
    <w:basedOn w:val="25"/>
    <w:qFormat/>
    <w:uiPriority w:val="0"/>
    <w:rPr>
      <w:rFonts w:hint="eastAsia" w:ascii="宋体" w:hAnsi="宋体" w:eastAsia="宋体" w:cs="宋体"/>
      <w:color w:val="FF0000"/>
      <w:sz w:val="24"/>
      <w:szCs w:val="24"/>
      <w:u w:val="none"/>
    </w:rPr>
  </w:style>
  <w:style w:type="character" w:customStyle="1" w:styleId="78">
    <w:name w:val="font91"/>
    <w:basedOn w:val="25"/>
    <w:qFormat/>
    <w:uiPriority w:val="0"/>
    <w:rPr>
      <w:rFonts w:hint="default" w:ascii="Times New Roman" w:hAnsi="Times New Roman" w:cs="Times New Roman"/>
      <w:color w:val="000000"/>
      <w:sz w:val="21"/>
      <w:szCs w:val="21"/>
      <w:u w:val="none"/>
    </w:rPr>
  </w:style>
  <w:style w:type="paragraph" w:customStyle="1" w:styleId="79">
    <w:name w:val="正文_0_0"/>
    <w:basedOn w:val="1"/>
    <w:qFormat/>
    <w:uiPriority w:val="0"/>
    <w:rPr>
      <w:rFonts w:ascii="Calibri" w:hAnsi="Calibri" w:eastAsia="宋体" w:cs="Times New Roman"/>
    </w:rPr>
  </w:style>
  <w:style w:type="character" w:customStyle="1" w:styleId="80">
    <w:name w:val="批注文字 字符1"/>
    <w:basedOn w:val="25"/>
    <w:qFormat/>
    <w:uiPriority w:val="0"/>
    <w:rPr>
      <w:szCs w:val="24"/>
    </w:rPr>
  </w:style>
  <w:style w:type="character" w:customStyle="1" w:styleId="81">
    <w:name w:val="列表段落 字符"/>
    <w:basedOn w:val="25"/>
    <w:qFormat/>
    <w:uiPriority w:val="0"/>
    <w:rPr>
      <w:rFonts w:hint="default" w:ascii="Calibri" w:hAnsi="Calibri" w:cs="Calibri"/>
      <w:kern w:val="2"/>
      <w:sz w:val="21"/>
      <w:szCs w:val="22"/>
    </w:rPr>
  </w:style>
  <w:style w:type="paragraph" w:customStyle="1" w:styleId="82">
    <w:name w:val="_Style 24"/>
    <w:basedOn w:val="1"/>
    <w:qFormat/>
    <w:uiPriority w:val="0"/>
    <w:pPr>
      <w:ind w:firstLine="420" w:firstLineChars="200"/>
    </w:pPr>
    <w:rPr>
      <w:rFonts w:ascii="Calibri" w:hAnsi="Calibri" w:eastAsia="宋体" w:cs="Times New Roman"/>
    </w:rPr>
  </w:style>
  <w:style w:type="character" w:customStyle="1" w:styleId="83">
    <w:name w:val="列表段落 字符3"/>
    <w:basedOn w:val="25"/>
    <w:qFormat/>
    <w:uiPriority w:val="0"/>
    <w:rPr>
      <w:rFonts w:hint="default" w:ascii="Calibri" w:hAnsi="Calibri" w:eastAsia="宋体" w:cs="Times New Roman"/>
      <w:kern w:val="2"/>
      <w:sz w:val="21"/>
      <w:szCs w:val="22"/>
    </w:rPr>
  </w:style>
  <w:style w:type="character" w:customStyle="1" w:styleId="84">
    <w:name w:val="列出段落 Char2"/>
    <w:basedOn w:val="25"/>
    <w:qFormat/>
    <w:uiPriority w:val="0"/>
    <w:rPr>
      <w:rFonts w:hint="default" w:ascii="Calibri" w:hAnsi="Calibri" w:eastAsia="宋体" w:cs="Times New Roman"/>
      <w:kern w:val="2"/>
      <w:sz w:val="21"/>
      <w:szCs w:val="22"/>
    </w:rPr>
  </w:style>
  <w:style w:type="character" w:customStyle="1" w:styleId="85">
    <w:name w:val="标题 2 Char1"/>
    <w:basedOn w:val="25"/>
    <w:link w:val="3"/>
    <w:qFormat/>
    <w:uiPriority w:val="0"/>
    <w:rPr>
      <w:rFonts w:hint="default" w:ascii="Arial" w:hAnsi="Arial" w:eastAsia="黑体" w:cs="Arial"/>
      <w:b/>
      <w:bCs/>
      <w:kern w:val="2"/>
      <w:sz w:val="32"/>
      <w:szCs w:val="32"/>
    </w:rPr>
  </w:style>
  <w:style w:type="character" w:customStyle="1" w:styleId="86">
    <w:name w:val="批注文字 Char1"/>
    <w:basedOn w:val="25"/>
    <w:link w:val="6"/>
    <w:qFormat/>
    <w:uiPriority w:val="0"/>
    <w:rPr>
      <w:kern w:val="2"/>
      <w:sz w:val="21"/>
      <w:szCs w:val="24"/>
    </w:rPr>
  </w:style>
  <w:style w:type="character" w:customStyle="1" w:styleId="87">
    <w:name w:val="普通(网站) Char"/>
    <w:basedOn w:val="25"/>
    <w:link w:val="18"/>
    <w:qFormat/>
    <w:uiPriority w:val="0"/>
    <w:rPr>
      <w:rFonts w:hint="eastAsia" w:ascii="宋体" w:hAnsi="宋体" w:eastAsia="宋体" w:cs="宋体"/>
      <w:sz w:val="24"/>
      <w:szCs w:val="24"/>
    </w:rPr>
  </w:style>
  <w:style w:type="character" w:customStyle="1" w:styleId="88">
    <w:name w:val="正文文本缩进 Char"/>
    <w:basedOn w:val="25"/>
    <w:link w:val="8"/>
    <w:qFormat/>
    <w:uiPriority w:val="0"/>
    <w:rPr>
      <w:kern w:val="2"/>
      <w:sz w:val="21"/>
      <w:szCs w:val="22"/>
    </w:rPr>
  </w:style>
  <w:style w:type="paragraph" w:customStyle="1" w:styleId="89">
    <w:name w:val="正文文本首行缩进 21"/>
    <w:basedOn w:val="8"/>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qFormat/>
    <w:uiPriority w:val="0"/>
    <w:pPr>
      <w:ind w:firstLine="420" w:firstLineChars="200"/>
    </w:pPr>
    <w:rPr>
      <w:rFonts w:ascii="Times New Roman" w:hAnsi="Times New Roman" w:eastAsia="宋体" w:cs="Times New Roman"/>
    </w:rPr>
  </w:style>
  <w:style w:type="character" w:customStyle="1" w:styleId="91">
    <w:name w:val="正文文本 Char"/>
    <w:basedOn w:val="25"/>
    <w:link w:val="7"/>
    <w:qFormat/>
    <w:uiPriority w:val="0"/>
    <w:rPr>
      <w:rFonts w:hint="default" w:ascii="Calibri" w:hAnsi="Calibri" w:eastAsia="宋体" w:cs="Times New Roman"/>
      <w:kern w:val="2"/>
      <w:sz w:val="21"/>
      <w:szCs w:val="22"/>
    </w:rPr>
  </w:style>
  <w:style w:type="paragraph" w:customStyle="1" w:styleId="92">
    <w:name w:val="列表段落1"/>
    <w:basedOn w:val="1"/>
    <w:qFormat/>
    <w:uiPriority w:val="0"/>
    <w:pPr>
      <w:ind w:firstLine="420" w:firstLineChars="200"/>
    </w:pPr>
    <w:rPr>
      <w:rFonts w:hint="eastAsia" w:ascii="等线" w:hAnsi="等线" w:eastAsia="等线" w:cs="Times New Roman"/>
    </w:rPr>
  </w:style>
  <w:style w:type="character" w:customStyle="1" w:styleId="93">
    <w:name w:val="正文文本缩进 3 Char"/>
    <w:basedOn w:val="25"/>
    <w:link w:val="16"/>
    <w:qFormat/>
    <w:uiPriority w:val="0"/>
    <w:rPr>
      <w:rFonts w:hint="eastAsia" w:ascii="等线" w:hAnsi="等线" w:eastAsia="等线" w:cs="等线"/>
      <w:kern w:val="2"/>
      <w:sz w:val="16"/>
      <w:szCs w:val="16"/>
    </w:rPr>
  </w:style>
  <w:style w:type="character" w:customStyle="1" w:styleId="94">
    <w:name w:val="正文首行缩进 Char"/>
    <w:link w:val="21"/>
    <w:qFormat/>
    <w:uiPriority w:val="0"/>
    <w:rPr>
      <w:rFonts w:hint="default" w:ascii="Calibri" w:hAnsi="Calibri" w:eastAsia="楷体_GB2312" w:cs="Calibri"/>
      <w:kern w:val="2"/>
      <w:sz w:val="32"/>
      <w:szCs w:val="22"/>
    </w:rPr>
  </w:style>
  <w:style w:type="character" w:customStyle="1" w:styleId="95">
    <w:name w:val="表格文字 Char"/>
    <w:basedOn w:val="25"/>
    <w:link w:val="96"/>
    <w:qFormat/>
    <w:uiPriority w:val="0"/>
    <w:rPr>
      <w:bCs/>
      <w:spacing w:val="10"/>
      <w:sz w:val="24"/>
    </w:rPr>
  </w:style>
  <w:style w:type="paragraph" w:customStyle="1" w:styleId="96">
    <w:name w:val="表格文字"/>
    <w:basedOn w:val="1"/>
    <w:link w:val="95"/>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qFormat/>
    <w:uiPriority w:val="0"/>
    <w:rPr>
      <w:rFonts w:ascii="Times New Roman" w:hAnsi="Times New Roman" w:eastAsia="宋体" w:cs="Times New Roman"/>
    </w:rPr>
  </w:style>
  <w:style w:type="paragraph" w:customStyle="1" w:styleId="98">
    <w:name w:val="列表段落3"/>
    <w:basedOn w:val="1"/>
    <w:qFormat/>
    <w:uiPriority w:val="0"/>
    <w:pPr>
      <w:ind w:firstLine="420" w:firstLineChars="200"/>
    </w:pPr>
    <w:rPr>
      <w:rFonts w:ascii="Calibri" w:hAnsi="Calibri" w:eastAsia="宋体" w:cs="Times New Roman"/>
    </w:rPr>
  </w:style>
  <w:style w:type="character" w:customStyle="1" w:styleId="99">
    <w:name w:val="15"/>
    <w:basedOn w:val="25"/>
    <w:qFormat/>
    <w:uiPriority w:val="0"/>
    <w:rPr>
      <w:rFonts w:hint="default" w:ascii="Times New Roman" w:hAnsi="Times New Roman" w:cs="Times New Roman"/>
      <w:b/>
      <w:bCs/>
    </w:rPr>
  </w:style>
  <w:style w:type="character" w:customStyle="1" w:styleId="100">
    <w:name w:val="正文首行缩进 2 Char1"/>
    <w:basedOn w:val="25"/>
    <w:qFormat/>
    <w:uiPriority w:val="0"/>
  </w:style>
  <w:style w:type="character" w:customStyle="1" w:styleId="101">
    <w:name w:val="页眉 Char"/>
    <w:basedOn w:val="25"/>
    <w:link w:val="13"/>
    <w:qFormat/>
    <w:uiPriority w:val="0"/>
    <w:rPr>
      <w:sz w:val="18"/>
      <w:szCs w:val="18"/>
    </w:rPr>
  </w:style>
  <w:style w:type="character" w:customStyle="1" w:styleId="102">
    <w:name w:val="页眉 Char1"/>
    <w:qFormat/>
    <w:uiPriority w:val="99"/>
    <w:rPr>
      <w:sz w:val="18"/>
      <w:szCs w:val="18"/>
      <w:lang w:val="zh-CN" w:eastAsia="zh-CN"/>
    </w:rPr>
  </w:style>
  <w:style w:type="character" w:customStyle="1" w:styleId="103">
    <w:name w:val="标题 2 Char"/>
    <w:basedOn w:val="25"/>
    <w:qFormat/>
    <w:uiPriority w:val="0"/>
    <w:rPr>
      <w:rFonts w:ascii="Arial" w:hAnsi="Arial" w:eastAsia="黑体" w:cs="Times New Roman"/>
      <w:b/>
      <w:bCs/>
      <w:sz w:val="32"/>
      <w:szCs w:val="32"/>
    </w:rPr>
  </w:style>
  <w:style w:type="paragraph" w:customStyle="1" w:styleId="104">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5">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15</Pages>
  <Words>1395</Words>
  <Characters>7953</Characters>
  <Lines>66</Lines>
  <Paragraphs>18</Paragraphs>
  <TotalTime>19</TotalTime>
  <ScaleCrop>false</ScaleCrop>
  <LinksUpToDate>false</LinksUpToDate>
  <CharactersWithSpaces>9330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2024-01-18T07:02:00Z</dcterms:created>
  <dc:creator>dreamsummit</dc:creator>
  <cp:lastModifiedBy>云采链</cp:lastModifiedBy>
  <cp:lastPrinted>2018-10-16T04:01:00Z</cp:lastPrinted>
  <dcterms:modified xsi:type="dcterms:W3CDTF">2024-01-22T04:01:34Z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60722C3817CC4444B12560F906A3BDC5_13</vt:lpwstr>
  </property>
</Properties>
</file>